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2"/>
        <w:ind w:left="179" w:right="1710" w:firstLine="0"/>
        <w:jc w:val="left"/>
        <w:rPr>
          <w:b/>
          <w:sz w:val="24"/>
        </w:rPr>
      </w:pPr>
      <w:bookmarkStart w:name="Lesson TE9-4 – Briefing - privileges and" w:id="1"/>
      <w:bookmarkEnd w:id="1"/>
      <w:r>
        <w:rPr/>
      </w:r>
      <w:r>
        <w:rPr>
          <w:b/>
          <w:color w:val="1F497D"/>
          <w:sz w:val="24"/>
        </w:rPr>
        <w:t>Lesson TE9-4 – Briefing - privileges and limitations of night VFR rating training endorsement</w:t>
      </w:r>
    </w:p>
    <w:p>
      <w:pPr>
        <w:pStyle w:val="BodyText"/>
        <w:spacing w:before="8"/>
        <w:rPr>
          <w:b/>
          <w:sz w:val="1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2" w:hRule="atLeast"/>
        </w:trPr>
        <w:tc>
          <w:tcPr>
            <w:tcW w:w="2549" w:type="dxa"/>
            <w:shd w:val="clear" w:color="auto" w:fill="C0C0C0"/>
          </w:tcPr>
          <w:p>
            <w:pPr>
              <w:pStyle w:val="TableParagraph"/>
              <w:spacing w:before="86"/>
              <w:rPr>
                <w:b/>
                <w:sz w:val="20"/>
              </w:rPr>
            </w:pPr>
            <w:r>
              <w:rPr>
                <w:b/>
                <w:sz w:val="20"/>
              </w:rPr>
              <w:t>Trainee name:</w:t>
            </w:r>
          </w:p>
        </w:tc>
        <w:tc>
          <w:tcPr>
            <w:tcW w:w="2844" w:type="dxa"/>
          </w:tcPr>
          <w:p>
            <w:pPr>
              <w:pStyle w:val="TableParagraph"/>
              <w:ind w:left="0"/>
              <w:rPr>
                <w:rFonts w:ascii="Times New Roman"/>
                <w:sz w:val="18"/>
              </w:rPr>
            </w:pPr>
          </w:p>
        </w:tc>
        <w:tc>
          <w:tcPr>
            <w:tcW w:w="2834" w:type="dxa"/>
            <w:shd w:val="clear" w:color="auto" w:fill="C0C0C0"/>
          </w:tcPr>
          <w:p>
            <w:pPr>
              <w:pStyle w:val="TableParagraph"/>
              <w:spacing w:before="86"/>
              <w:rPr>
                <w:b/>
                <w:sz w:val="20"/>
              </w:rPr>
            </w:pPr>
            <w:r>
              <w:rPr>
                <w:b/>
                <w:sz w:val="20"/>
              </w:rPr>
              <w:t>Trainee ARN:</w:t>
            </w:r>
          </w:p>
        </w:tc>
        <w:tc>
          <w:tcPr>
            <w:tcW w:w="2433" w:type="dxa"/>
          </w:tcPr>
          <w:p>
            <w:pPr>
              <w:pStyle w:val="TableParagraph"/>
              <w:ind w:left="0"/>
              <w:rPr>
                <w:rFonts w:ascii="Times New Roman"/>
                <w:sz w:val="18"/>
              </w:rPr>
            </w:pPr>
          </w:p>
        </w:tc>
      </w:tr>
      <w:tr>
        <w:trPr>
          <w:trHeight w:val="345" w:hRule="atLeast"/>
        </w:trPr>
        <w:tc>
          <w:tcPr>
            <w:tcW w:w="2549" w:type="dxa"/>
            <w:shd w:val="clear" w:color="auto" w:fill="C0C0C0"/>
          </w:tcPr>
          <w:p>
            <w:pPr>
              <w:pStyle w:val="TableParagraph"/>
              <w:spacing w:before="52"/>
              <w:rPr>
                <w:b/>
                <w:sz w:val="20"/>
              </w:rPr>
            </w:pPr>
            <w:r>
              <w:rPr>
                <w:b/>
                <w:sz w:val="20"/>
              </w:rPr>
              <w:t>Instructor name</w:t>
            </w:r>
          </w:p>
        </w:tc>
        <w:tc>
          <w:tcPr>
            <w:tcW w:w="2844" w:type="dxa"/>
          </w:tcPr>
          <w:p>
            <w:pPr>
              <w:pStyle w:val="TableParagraph"/>
              <w:ind w:left="0"/>
              <w:rPr>
                <w:rFonts w:ascii="Times New Roman"/>
                <w:sz w:val="18"/>
              </w:rPr>
            </w:pPr>
          </w:p>
        </w:tc>
        <w:tc>
          <w:tcPr>
            <w:tcW w:w="2834" w:type="dxa"/>
            <w:shd w:val="clear" w:color="auto" w:fill="C0C0C0"/>
          </w:tcPr>
          <w:p>
            <w:pPr>
              <w:pStyle w:val="TableParagraph"/>
              <w:spacing w:before="52"/>
              <w:rPr>
                <w:b/>
                <w:sz w:val="20"/>
              </w:rPr>
            </w:pPr>
            <w:r>
              <w:rPr>
                <w:b/>
                <w:sz w:val="20"/>
              </w:rPr>
              <w:t>Instructor ARN</w:t>
            </w:r>
          </w:p>
        </w:tc>
        <w:tc>
          <w:tcPr>
            <w:tcW w:w="2433" w:type="dxa"/>
          </w:tcPr>
          <w:p>
            <w:pPr>
              <w:pStyle w:val="TableParagraph"/>
              <w:ind w:left="0"/>
              <w:rPr>
                <w:rFonts w:ascii="Times New Roman"/>
                <w:sz w:val="18"/>
              </w:rPr>
            </w:pPr>
          </w:p>
        </w:tc>
      </w:tr>
      <w:tr>
        <w:trPr>
          <w:trHeight w:val="342" w:hRule="atLeast"/>
        </w:trPr>
        <w:tc>
          <w:tcPr>
            <w:tcW w:w="2549" w:type="dxa"/>
            <w:shd w:val="clear" w:color="auto" w:fill="C0C0C0"/>
          </w:tcPr>
          <w:p>
            <w:pPr>
              <w:pStyle w:val="TableParagraph"/>
              <w:spacing w:before="52"/>
              <w:rPr>
                <w:b/>
                <w:sz w:val="20"/>
              </w:rPr>
            </w:pPr>
            <w:r>
              <w:rPr>
                <w:b/>
                <w:sz w:val="20"/>
              </w:rPr>
              <w:t>Demonstration date</w:t>
            </w:r>
          </w:p>
        </w:tc>
        <w:tc>
          <w:tcPr>
            <w:tcW w:w="2844" w:type="dxa"/>
          </w:tcPr>
          <w:p>
            <w:pPr>
              <w:pStyle w:val="TableParagraph"/>
              <w:ind w:left="0"/>
              <w:rPr>
                <w:rFonts w:ascii="Times New Roman"/>
                <w:sz w:val="18"/>
              </w:rPr>
            </w:pPr>
          </w:p>
        </w:tc>
        <w:tc>
          <w:tcPr>
            <w:tcW w:w="2834" w:type="dxa"/>
            <w:shd w:val="clear" w:color="auto" w:fill="C0C0C0"/>
          </w:tcPr>
          <w:p>
            <w:pPr>
              <w:pStyle w:val="TableParagraph"/>
              <w:spacing w:before="52"/>
              <w:rPr>
                <w:b/>
                <w:sz w:val="20"/>
              </w:rPr>
            </w:pPr>
            <w:r>
              <w:rPr>
                <w:b/>
                <w:sz w:val="20"/>
              </w:rPr>
              <w:t>Trainee read back date:</w:t>
            </w:r>
          </w:p>
        </w:tc>
        <w:tc>
          <w:tcPr>
            <w:tcW w:w="2433" w:type="dxa"/>
          </w:tcPr>
          <w:p>
            <w:pPr>
              <w:pStyle w:val="TableParagraph"/>
              <w:ind w:left="0"/>
              <w:rPr>
                <w:rFonts w:ascii="Times New Roman"/>
                <w:sz w:val="18"/>
              </w:rPr>
            </w:pPr>
          </w:p>
        </w:tc>
      </w:tr>
    </w:tbl>
    <w:p>
      <w:pPr>
        <w:pStyle w:val="BodyText"/>
        <w:spacing w:before="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520" w:hRule="atLeast"/>
        </w:trPr>
        <w:tc>
          <w:tcPr>
            <w:tcW w:w="10661" w:type="dxa"/>
            <w:gridSpan w:val="3"/>
            <w:shd w:val="clear" w:color="auto" w:fill="C0C0C0"/>
          </w:tcPr>
          <w:p>
            <w:pPr>
              <w:pStyle w:val="TableParagraph"/>
              <w:spacing w:before="138"/>
              <w:ind w:left="3869" w:right="3864"/>
              <w:jc w:val="center"/>
              <w:rPr>
                <w:b/>
                <w:sz w:val="20"/>
              </w:rPr>
            </w:pPr>
            <w:r>
              <w:rPr>
                <w:b/>
                <w:sz w:val="20"/>
              </w:rPr>
              <w:t>PERFORMANCE STANDARDS</w:t>
            </w:r>
          </w:p>
        </w:tc>
      </w:tr>
      <w:tr>
        <w:trPr>
          <w:trHeight w:val="520" w:hRule="atLeast"/>
        </w:trPr>
        <w:tc>
          <w:tcPr>
            <w:tcW w:w="3583" w:type="dxa"/>
          </w:tcPr>
          <w:p>
            <w:pPr>
              <w:pStyle w:val="TableParagraph"/>
              <w:spacing w:before="138"/>
              <w:ind w:left="7"/>
              <w:jc w:val="center"/>
              <w:rPr>
                <w:b/>
                <w:sz w:val="20"/>
              </w:rPr>
            </w:pPr>
            <w:r>
              <w:rPr>
                <w:b/>
                <w:w w:val="99"/>
                <w:sz w:val="20"/>
              </w:rPr>
              <w:t>3</w:t>
            </w:r>
          </w:p>
        </w:tc>
        <w:tc>
          <w:tcPr>
            <w:tcW w:w="3497" w:type="dxa"/>
          </w:tcPr>
          <w:p>
            <w:pPr>
              <w:pStyle w:val="TableParagraph"/>
              <w:spacing w:before="138"/>
              <w:ind w:left="7"/>
              <w:jc w:val="center"/>
              <w:rPr>
                <w:b/>
                <w:sz w:val="20"/>
              </w:rPr>
            </w:pPr>
            <w:r>
              <w:rPr>
                <w:b/>
                <w:w w:val="99"/>
                <w:sz w:val="20"/>
              </w:rPr>
              <w:t>2</w:t>
            </w:r>
          </w:p>
        </w:tc>
        <w:tc>
          <w:tcPr>
            <w:tcW w:w="3581" w:type="dxa"/>
          </w:tcPr>
          <w:p>
            <w:pPr>
              <w:pStyle w:val="TableParagraph"/>
              <w:spacing w:before="138"/>
              <w:ind w:left="9"/>
              <w:jc w:val="center"/>
              <w:rPr>
                <w:b/>
                <w:sz w:val="20"/>
              </w:rPr>
            </w:pPr>
            <w:r>
              <w:rPr>
                <w:b/>
                <w:w w:val="99"/>
                <w:sz w:val="20"/>
              </w:rPr>
              <w:t>1</w:t>
            </w:r>
          </w:p>
        </w:tc>
      </w:tr>
      <w:tr>
        <w:trPr>
          <w:trHeight w:val="1115" w:hRule="atLeast"/>
        </w:trPr>
        <w:tc>
          <w:tcPr>
            <w:tcW w:w="3583" w:type="dxa"/>
          </w:tcPr>
          <w:p>
            <w:pPr>
              <w:pStyle w:val="TableParagraph"/>
              <w:spacing w:before="143"/>
              <w:ind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143"/>
              <w:ind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143"/>
              <w:ind w:right="181"/>
              <w:rPr>
                <w:sz w:val="18"/>
              </w:rPr>
            </w:pPr>
            <w:r>
              <w:rPr>
                <w:sz w:val="18"/>
              </w:rPr>
              <w:t>Achieves competency to the standard required for the grant of the authorisation.</w:t>
            </w:r>
          </w:p>
        </w:tc>
      </w:tr>
      <w:tr>
        <w:trPr>
          <w:trHeight w:val="1485" w:hRule="atLeast"/>
        </w:trPr>
        <w:tc>
          <w:tcPr>
            <w:tcW w:w="10661" w:type="dxa"/>
            <w:gridSpan w:val="3"/>
          </w:tcPr>
          <w:p>
            <w:pPr>
              <w:pStyle w:val="TableParagraph"/>
              <w:spacing w:before="81"/>
              <w:rPr>
                <w:b/>
                <w:sz w:val="20"/>
              </w:rPr>
            </w:pPr>
            <w:r>
              <w:rPr>
                <w:b/>
                <w:sz w:val="20"/>
              </w:rPr>
              <w:t>LESSON OVERVIEW</w:t>
            </w:r>
          </w:p>
          <w:p>
            <w:pPr>
              <w:pStyle w:val="TableParagraph"/>
              <w:spacing w:before="165"/>
              <w:rPr>
                <w:sz w:val="18"/>
              </w:rPr>
            </w:pPr>
            <w:r>
              <w:rPr>
                <w:sz w:val="18"/>
              </w:rPr>
              <w:t>The objectives of the training session are to:</w:t>
            </w:r>
          </w:p>
          <w:p>
            <w:pPr>
              <w:pStyle w:val="TableParagraph"/>
              <w:numPr>
                <w:ilvl w:val="0"/>
                <w:numId w:val="1"/>
              </w:numPr>
              <w:tabs>
                <w:tab w:pos="341" w:val="left" w:leader="none"/>
              </w:tabs>
              <w:spacing w:line="219" w:lineRule="exact" w:before="60" w:after="0"/>
              <w:ind w:left="340" w:right="0" w:hanging="226"/>
              <w:jc w:val="left"/>
              <w:rPr>
                <w:sz w:val="18"/>
              </w:rPr>
            </w:pPr>
            <w:r>
              <w:rPr>
                <w:sz w:val="18"/>
              </w:rPr>
              <w:t>Brief and review the privileges of a night VFR training endorsement with reference to Part</w:t>
            </w:r>
            <w:r>
              <w:rPr>
                <w:spacing w:val="-14"/>
                <w:sz w:val="18"/>
              </w:rPr>
              <w:t> </w:t>
            </w:r>
            <w:r>
              <w:rPr>
                <w:sz w:val="18"/>
              </w:rPr>
              <w:t>61T.</w:t>
            </w:r>
          </w:p>
          <w:p>
            <w:pPr>
              <w:pStyle w:val="TableParagraph"/>
              <w:numPr>
                <w:ilvl w:val="0"/>
                <w:numId w:val="1"/>
              </w:numPr>
              <w:tabs>
                <w:tab w:pos="341" w:val="left" w:leader="none"/>
              </w:tabs>
              <w:spacing w:line="218" w:lineRule="exact" w:before="0" w:after="0"/>
              <w:ind w:left="340" w:right="0" w:hanging="227"/>
              <w:jc w:val="left"/>
              <w:rPr>
                <w:sz w:val="18"/>
              </w:rPr>
            </w:pPr>
            <w:r>
              <w:rPr>
                <w:sz w:val="18"/>
              </w:rPr>
              <w:t>Review administration requirements for issue of endorsements on a night VFR</w:t>
            </w:r>
            <w:r>
              <w:rPr>
                <w:spacing w:val="-10"/>
                <w:sz w:val="18"/>
              </w:rPr>
              <w:t> </w:t>
            </w:r>
            <w:r>
              <w:rPr>
                <w:sz w:val="18"/>
              </w:rPr>
              <w:t>rating.</w:t>
            </w:r>
          </w:p>
          <w:p>
            <w:pPr>
              <w:pStyle w:val="TableParagraph"/>
              <w:numPr>
                <w:ilvl w:val="0"/>
                <w:numId w:val="1"/>
              </w:numPr>
              <w:tabs>
                <w:tab w:pos="341" w:val="left" w:leader="none"/>
              </w:tabs>
              <w:spacing w:line="219" w:lineRule="exact" w:before="0" w:after="0"/>
              <w:ind w:left="340" w:right="0" w:hanging="226"/>
              <w:jc w:val="left"/>
              <w:rPr>
                <w:sz w:val="18"/>
              </w:rPr>
            </w:pPr>
            <w:r>
              <w:rPr>
                <w:sz w:val="18"/>
              </w:rPr>
              <w:t>Review the administration requirements for recording a night VFR flight</w:t>
            </w:r>
            <w:r>
              <w:rPr>
                <w:spacing w:val="-8"/>
                <w:sz w:val="18"/>
              </w:rPr>
              <w:t> </w:t>
            </w:r>
            <w:r>
              <w:rPr>
                <w:sz w:val="18"/>
              </w:rPr>
              <w:t>review.</w:t>
            </w:r>
          </w:p>
        </w:tc>
      </w:tr>
      <w:tr>
        <w:trPr>
          <w:trHeight w:val="3726" w:hRule="atLeast"/>
        </w:trPr>
        <w:tc>
          <w:tcPr>
            <w:tcW w:w="10661" w:type="dxa"/>
            <w:gridSpan w:val="3"/>
          </w:tcPr>
          <w:p>
            <w:pPr>
              <w:pStyle w:val="TableParagraph"/>
              <w:spacing w:before="81"/>
              <w:rPr>
                <w:b/>
                <w:sz w:val="20"/>
              </w:rPr>
            </w:pPr>
            <w:r>
              <w:rPr>
                <w:b/>
                <w:sz w:val="20"/>
              </w:rPr>
              <w:t>TRAINING NOTES</w:t>
            </w:r>
          </w:p>
          <w:p>
            <w:pPr>
              <w:pStyle w:val="TableParagraph"/>
              <w:numPr>
                <w:ilvl w:val="0"/>
                <w:numId w:val="2"/>
              </w:numPr>
              <w:tabs>
                <w:tab w:pos="341" w:val="left" w:leader="none"/>
              </w:tabs>
              <w:spacing w:line="240" w:lineRule="auto" w:before="163" w:after="0"/>
              <w:ind w:left="340" w:right="79" w:hanging="226"/>
              <w:jc w:val="left"/>
              <w:rPr>
                <w:sz w:val="18"/>
              </w:rPr>
            </w:pPr>
            <w:r>
              <w:rPr>
                <w:sz w:val="18"/>
              </w:rPr>
              <w:t>The training should address the application of aviation legislation as they pertain to a night VFR training endorsement by ensuring the trainee has an in-depth knowledge and understanding of Part 61.O – Night VFR ratings and the relevant sections of part 61.T - Pilot instructor ratings. For a night VFR flight review, the instructor should ensure that the trainee has an understanding of the requirements of a flight review by reference to schedule 7 of the Part 61MOS, and the responsibilities and administration for signing off a flight</w:t>
            </w:r>
            <w:r>
              <w:rPr>
                <w:spacing w:val="-6"/>
                <w:sz w:val="18"/>
              </w:rPr>
              <w:t> </w:t>
            </w:r>
            <w:r>
              <w:rPr>
                <w:sz w:val="18"/>
              </w:rPr>
              <w:t>review.</w:t>
            </w:r>
          </w:p>
          <w:p>
            <w:pPr>
              <w:pStyle w:val="TableParagraph"/>
              <w:numPr>
                <w:ilvl w:val="0"/>
                <w:numId w:val="2"/>
              </w:numPr>
              <w:tabs>
                <w:tab w:pos="341" w:val="left" w:leader="none"/>
              </w:tabs>
              <w:spacing w:line="240" w:lineRule="auto" w:before="0" w:after="0"/>
              <w:ind w:left="340" w:right="432" w:hanging="226"/>
              <w:jc w:val="left"/>
              <w:rPr>
                <w:sz w:val="18"/>
              </w:rPr>
            </w:pPr>
            <w:r>
              <w:rPr>
                <w:sz w:val="18"/>
              </w:rPr>
              <w:t>The instructor must ensure the trainee is guided through the procedures for completing and submitting the CASA forms. The session should include a demonstration of the appropriate sections of the CASA website and where to find the forms and guidance material, including the CASA flight crew licencing procedures</w:t>
            </w:r>
            <w:r>
              <w:rPr>
                <w:spacing w:val="-10"/>
                <w:sz w:val="18"/>
              </w:rPr>
              <w:t> </w:t>
            </w:r>
            <w:r>
              <w:rPr>
                <w:sz w:val="18"/>
              </w:rPr>
              <w:t>manual.</w:t>
            </w:r>
          </w:p>
          <w:p>
            <w:pPr>
              <w:pStyle w:val="TableParagraph"/>
              <w:numPr>
                <w:ilvl w:val="0"/>
                <w:numId w:val="2"/>
              </w:numPr>
              <w:tabs>
                <w:tab w:pos="341" w:val="left" w:leader="none"/>
              </w:tabs>
              <w:spacing w:line="240" w:lineRule="auto" w:before="0" w:after="0"/>
              <w:ind w:left="340" w:right="50" w:hanging="226"/>
              <w:jc w:val="left"/>
              <w:rPr>
                <w:sz w:val="18"/>
              </w:rPr>
            </w:pPr>
            <w:r>
              <w:rPr>
                <w:sz w:val="18"/>
              </w:rPr>
              <w:t>The performance standard for this lesson relies on the trainee instructor holding a flight instructor rating and night VFR rating and therefore possesses reasonable knowledge of night VFR rating operational</w:t>
            </w:r>
            <w:r>
              <w:rPr>
                <w:spacing w:val="-2"/>
                <w:sz w:val="18"/>
              </w:rPr>
              <w:t> </w:t>
            </w:r>
            <w:r>
              <w:rPr>
                <w:sz w:val="18"/>
              </w:rPr>
              <w:t>requirements.</w:t>
            </w:r>
          </w:p>
          <w:p>
            <w:pPr>
              <w:pStyle w:val="TableParagraph"/>
              <w:numPr>
                <w:ilvl w:val="0"/>
                <w:numId w:val="2"/>
              </w:numPr>
              <w:tabs>
                <w:tab w:pos="341" w:val="left" w:leader="none"/>
              </w:tabs>
              <w:spacing w:line="240" w:lineRule="auto" w:before="0" w:after="0"/>
              <w:ind w:left="340" w:right="401" w:hanging="226"/>
              <w:jc w:val="left"/>
              <w:rPr>
                <w:sz w:val="18"/>
              </w:rPr>
            </w:pPr>
            <w:r>
              <w:rPr>
                <w:sz w:val="18"/>
              </w:rPr>
              <w:t>The training session should include an informal assessment to confirm the trainee instructor has the required knowledge and understanding at performance standard 1, for example a quiz or short written</w:t>
            </w:r>
            <w:r>
              <w:rPr>
                <w:spacing w:val="-16"/>
                <w:sz w:val="18"/>
              </w:rPr>
              <w:t> </w:t>
            </w:r>
            <w:r>
              <w:rPr>
                <w:sz w:val="18"/>
              </w:rPr>
              <w:t>assessment.</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spacing w:before="10"/>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585" w:hRule="atLeast"/>
        </w:trPr>
        <w:tc>
          <w:tcPr>
            <w:tcW w:w="1085" w:type="dxa"/>
            <w:shd w:val="clear" w:color="auto" w:fill="C0C0C0"/>
          </w:tcPr>
          <w:p>
            <w:pPr>
              <w:pStyle w:val="TableParagraph"/>
              <w:spacing w:line="207" w:lineRule="exact" w:before="80"/>
              <w:rPr>
                <w:b/>
                <w:sz w:val="18"/>
              </w:rPr>
            </w:pPr>
            <w:r>
              <w:rPr>
                <w:b/>
                <w:sz w:val="18"/>
              </w:rPr>
              <w:t>MOS</w:t>
            </w:r>
          </w:p>
          <w:p>
            <w:pPr>
              <w:pStyle w:val="TableParagraph"/>
              <w:spacing w:line="207" w:lineRule="exact"/>
              <w:rPr>
                <w:b/>
                <w:sz w:val="18"/>
              </w:rPr>
            </w:pPr>
            <w:r>
              <w:rPr>
                <w:b/>
                <w:sz w:val="18"/>
              </w:rPr>
              <w:t>reference</w:t>
            </w:r>
          </w:p>
        </w:tc>
        <w:tc>
          <w:tcPr>
            <w:tcW w:w="9576" w:type="dxa"/>
            <w:shd w:val="clear" w:color="auto" w:fill="C0C0C0"/>
          </w:tcPr>
          <w:p>
            <w:pPr>
              <w:pStyle w:val="TableParagraph"/>
              <w:spacing w:before="141"/>
              <w:ind w:left="3304" w:right="3298"/>
              <w:jc w:val="center"/>
              <w:rPr>
                <w:b/>
                <w:sz w:val="20"/>
              </w:rPr>
            </w:pPr>
            <w:r>
              <w:rPr>
                <w:b/>
                <w:sz w:val="20"/>
              </w:rPr>
              <w:t>UNDERPINNING KNOWLEDGE</w:t>
            </w:r>
          </w:p>
        </w:tc>
      </w:tr>
      <w:tr>
        <w:trPr>
          <w:trHeight w:val="376" w:hRule="atLeast"/>
        </w:trPr>
        <w:tc>
          <w:tcPr>
            <w:tcW w:w="1085" w:type="dxa"/>
          </w:tcPr>
          <w:p>
            <w:pPr>
              <w:pStyle w:val="TableParagraph"/>
              <w:spacing w:before="78"/>
              <w:rPr>
                <w:b/>
                <w:sz w:val="18"/>
              </w:rPr>
            </w:pPr>
            <w:r>
              <w:rPr>
                <w:b/>
                <w:sz w:val="18"/>
              </w:rPr>
              <w:t>FIR-TE9</w:t>
            </w:r>
          </w:p>
        </w:tc>
        <w:tc>
          <w:tcPr>
            <w:tcW w:w="9576" w:type="dxa"/>
          </w:tcPr>
          <w:p>
            <w:pPr>
              <w:pStyle w:val="TableParagraph"/>
              <w:spacing w:before="78"/>
              <w:rPr>
                <w:b/>
                <w:sz w:val="18"/>
              </w:rPr>
            </w:pPr>
            <w:r>
              <w:rPr>
                <w:b/>
                <w:sz w:val="18"/>
              </w:rPr>
              <w:t>Night VFR training endorsement</w:t>
            </w:r>
          </w:p>
        </w:tc>
      </w:tr>
      <w:tr>
        <w:trPr>
          <w:trHeight w:val="585" w:hRule="atLeast"/>
        </w:trPr>
        <w:tc>
          <w:tcPr>
            <w:tcW w:w="1085" w:type="dxa"/>
          </w:tcPr>
          <w:p>
            <w:pPr>
              <w:pStyle w:val="TableParagraph"/>
              <w:ind w:left="0"/>
              <w:rPr>
                <w:rFonts w:ascii="Times New Roman"/>
                <w:sz w:val="18"/>
              </w:rPr>
            </w:pPr>
          </w:p>
        </w:tc>
        <w:tc>
          <w:tcPr>
            <w:tcW w:w="9576" w:type="dxa"/>
          </w:tcPr>
          <w:p>
            <w:pPr>
              <w:pStyle w:val="TableParagraph"/>
              <w:spacing w:before="83"/>
              <w:rPr>
                <w:sz w:val="18"/>
              </w:rPr>
            </w:pPr>
            <w:r>
              <w:rPr>
                <w:sz w:val="18"/>
              </w:rPr>
              <w:t>relevant sections of Civil Aviation legislation</w:t>
            </w:r>
          </w:p>
          <w:p>
            <w:pPr>
              <w:pStyle w:val="TableParagraph"/>
              <w:spacing w:before="1"/>
              <w:rPr>
                <w:sz w:val="18"/>
              </w:rPr>
            </w:pPr>
            <w:r>
              <w:rPr>
                <w:sz w:val="18"/>
              </w:rPr>
              <w:t>underpinning knowledge included in units IFF, IFL, NVR1, NVR2 and NVR3</w:t>
            </w:r>
          </w:p>
        </w:tc>
      </w:tr>
    </w:tbl>
    <w:p>
      <w:pPr>
        <w:spacing w:after="0"/>
        <w:rPr>
          <w:sz w:val="18"/>
        </w:rPr>
        <w:sectPr>
          <w:headerReference w:type="default" r:id="rId5"/>
          <w:footerReference w:type="default" r:id="rId6"/>
          <w:type w:val="continuous"/>
          <w:pgSz w:w="11910" w:h="16840"/>
          <w:pgMar w:header="717" w:footer="740" w:top="1640" w:bottom="940" w:left="500" w:right="500"/>
          <w:pgNumType w:start="1"/>
        </w:sectPr>
      </w:pPr>
    </w:p>
    <w:p>
      <w:pPr>
        <w:pStyle w:val="BodyText"/>
        <w:spacing w:before="4"/>
        <w:rPr>
          <w:b/>
          <w:sz w:val="23"/>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328"/>
        <w:gridCol w:w="624"/>
        <w:gridCol w:w="624"/>
      </w:tblGrid>
      <w:tr>
        <w:trPr>
          <w:trHeight w:val="553" w:hRule="atLeast"/>
        </w:trPr>
        <w:tc>
          <w:tcPr>
            <w:tcW w:w="1085" w:type="dxa"/>
            <w:vMerge w:val="restart"/>
            <w:shd w:val="clear" w:color="auto" w:fill="C0C0C0"/>
          </w:tcPr>
          <w:p>
            <w:pPr>
              <w:pStyle w:val="TableParagraph"/>
              <w:spacing w:line="207" w:lineRule="exact" w:before="35"/>
              <w:rPr>
                <w:b/>
                <w:sz w:val="18"/>
              </w:rPr>
            </w:pPr>
            <w:r>
              <w:rPr>
                <w:b/>
                <w:sz w:val="18"/>
              </w:rPr>
              <w:t>MOS</w:t>
            </w:r>
          </w:p>
          <w:p>
            <w:pPr>
              <w:pStyle w:val="TableParagraph"/>
              <w:spacing w:line="207" w:lineRule="exact"/>
              <w:rPr>
                <w:b/>
                <w:sz w:val="18"/>
              </w:rPr>
            </w:pPr>
            <w:r>
              <w:rPr>
                <w:b/>
                <w:sz w:val="18"/>
              </w:rPr>
              <w:t>reference</w:t>
            </w:r>
          </w:p>
        </w:tc>
        <w:tc>
          <w:tcPr>
            <w:tcW w:w="8328" w:type="dxa"/>
            <w:vMerge w:val="restart"/>
            <w:shd w:val="clear" w:color="auto" w:fill="C0C0C0"/>
          </w:tcPr>
          <w:p>
            <w:pPr>
              <w:pStyle w:val="TableParagraph"/>
              <w:spacing w:before="95"/>
              <w:ind w:left="2347" w:right="2344"/>
              <w:jc w:val="center"/>
              <w:rPr>
                <w:b/>
                <w:sz w:val="20"/>
              </w:rPr>
            </w:pPr>
            <w:r>
              <w:rPr>
                <w:b/>
                <w:sz w:val="20"/>
              </w:rPr>
              <w:t>LESSON CONTENT</w:t>
            </w:r>
          </w:p>
          <w:p>
            <w:pPr>
              <w:pStyle w:val="TableParagraph"/>
              <w:spacing w:before="121"/>
              <w:ind w:left="2351" w:right="2344"/>
              <w:jc w:val="center"/>
              <w:rPr>
                <w:b/>
                <w:sz w:val="22"/>
              </w:rPr>
            </w:pPr>
            <w:r>
              <w:rPr>
                <w:b/>
                <w:sz w:val="22"/>
              </w:rPr>
              <w:t>(Elements &amp; Performance Criteria)</w:t>
            </w:r>
          </w:p>
        </w:tc>
        <w:tc>
          <w:tcPr>
            <w:tcW w:w="1248" w:type="dxa"/>
            <w:gridSpan w:val="2"/>
            <w:shd w:val="clear" w:color="auto" w:fill="C0C0C0"/>
          </w:tcPr>
          <w:p>
            <w:pPr>
              <w:pStyle w:val="TableParagraph"/>
              <w:spacing w:before="35"/>
              <w:ind w:right="60"/>
              <w:rPr>
                <w:b/>
                <w:sz w:val="18"/>
              </w:rPr>
            </w:pPr>
            <w:r>
              <w:rPr>
                <w:b/>
                <w:sz w:val="18"/>
              </w:rPr>
              <w:t>Performance standard</w:t>
            </w:r>
          </w:p>
        </w:tc>
      </w:tr>
      <w:tr>
        <w:trPr>
          <w:trHeight w:val="1060" w:hRule="atLeast"/>
        </w:trPr>
        <w:tc>
          <w:tcPr>
            <w:tcW w:w="1085" w:type="dxa"/>
            <w:vMerge/>
            <w:tcBorders>
              <w:top w:val="nil"/>
            </w:tcBorders>
            <w:shd w:val="clear" w:color="auto" w:fill="C0C0C0"/>
          </w:tcPr>
          <w:p>
            <w:pPr>
              <w:rPr>
                <w:sz w:val="2"/>
                <w:szCs w:val="2"/>
              </w:rPr>
            </w:pPr>
          </w:p>
        </w:tc>
        <w:tc>
          <w:tcPr>
            <w:tcW w:w="8328" w:type="dxa"/>
            <w:vMerge/>
            <w:tcBorders>
              <w:top w:val="nil"/>
            </w:tcBorders>
            <w:shd w:val="clear" w:color="auto" w:fill="C0C0C0"/>
          </w:tcPr>
          <w:p>
            <w:pPr>
              <w:rPr>
                <w:sz w:val="2"/>
                <w:szCs w:val="2"/>
              </w:rPr>
            </w:pPr>
          </w:p>
        </w:tc>
        <w:tc>
          <w:tcPr>
            <w:tcW w:w="624" w:type="dxa"/>
            <w:textDirection w:val="btLr"/>
          </w:tcPr>
          <w:p>
            <w:pPr>
              <w:pStyle w:val="TableParagraph"/>
              <w:spacing w:before="56"/>
              <w:ind w:left="86"/>
              <w:rPr>
                <w:sz w:val="18"/>
              </w:rPr>
            </w:pPr>
            <w:r>
              <w:rPr>
                <w:sz w:val="18"/>
              </w:rPr>
              <w:t>Required</w:t>
            </w:r>
          </w:p>
        </w:tc>
        <w:tc>
          <w:tcPr>
            <w:tcW w:w="624" w:type="dxa"/>
            <w:textDirection w:val="btLr"/>
          </w:tcPr>
          <w:p>
            <w:pPr>
              <w:pStyle w:val="TableParagraph"/>
              <w:spacing w:before="56"/>
              <w:ind w:left="86"/>
              <w:rPr>
                <w:sz w:val="18"/>
              </w:rPr>
            </w:pPr>
            <w:r>
              <w:rPr>
                <w:sz w:val="18"/>
              </w:rPr>
              <w:t>Achieved</w:t>
            </w:r>
          </w:p>
        </w:tc>
      </w:tr>
      <w:tr>
        <w:trPr>
          <w:trHeight w:val="376" w:hRule="atLeast"/>
        </w:trPr>
        <w:tc>
          <w:tcPr>
            <w:tcW w:w="1085" w:type="dxa"/>
          </w:tcPr>
          <w:p>
            <w:pPr>
              <w:pStyle w:val="TableParagraph"/>
              <w:spacing w:before="78"/>
              <w:rPr>
                <w:b/>
                <w:sz w:val="18"/>
              </w:rPr>
            </w:pPr>
            <w:r>
              <w:rPr>
                <w:b/>
                <w:sz w:val="18"/>
              </w:rPr>
              <w:t>FIR-TE9.1</w:t>
            </w:r>
          </w:p>
        </w:tc>
        <w:tc>
          <w:tcPr>
            <w:tcW w:w="8328" w:type="dxa"/>
          </w:tcPr>
          <w:p>
            <w:pPr>
              <w:pStyle w:val="TableParagraph"/>
              <w:spacing w:before="78"/>
              <w:rPr>
                <w:b/>
                <w:sz w:val="18"/>
              </w:rPr>
            </w:pPr>
            <w:r>
              <w:rPr>
                <w:b/>
                <w:sz w:val="18"/>
              </w:rPr>
              <w:t>Demonstrate knowledge of competency based training as applied to Night VFR rating training</w:t>
            </w:r>
          </w:p>
        </w:tc>
        <w:tc>
          <w:tcPr>
            <w:tcW w:w="624" w:type="dxa"/>
          </w:tcPr>
          <w:p>
            <w:pPr>
              <w:pStyle w:val="TableParagraph"/>
              <w:ind w:left="0"/>
              <w:rPr>
                <w:rFonts w:ascii="Times New Roman"/>
                <w:sz w:val="18"/>
              </w:rPr>
            </w:pPr>
          </w:p>
        </w:tc>
        <w:tc>
          <w:tcPr>
            <w:tcW w:w="624" w:type="dxa"/>
          </w:tcPr>
          <w:p>
            <w:pPr>
              <w:pStyle w:val="TableParagraph"/>
              <w:ind w:left="0"/>
              <w:rPr>
                <w:rFonts w:ascii="Times New Roman"/>
                <w:sz w:val="18"/>
              </w:rPr>
            </w:pPr>
          </w:p>
        </w:tc>
      </w:tr>
      <w:tr>
        <w:trPr>
          <w:trHeight w:val="376" w:hRule="atLeast"/>
        </w:trPr>
        <w:tc>
          <w:tcPr>
            <w:tcW w:w="1085" w:type="dxa"/>
          </w:tcPr>
          <w:p>
            <w:pPr>
              <w:pStyle w:val="TableParagraph"/>
              <w:spacing w:before="85"/>
              <w:rPr>
                <w:sz w:val="18"/>
              </w:rPr>
            </w:pPr>
            <w:r>
              <w:rPr>
                <w:sz w:val="18"/>
              </w:rPr>
              <w:t>(c)</w:t>
            </w:r>
          </w:p>
        </w:tc>
        <w:tc>
          <w:tcPr>
            <w:tcW w:w="8328" w:type="dxa"/>
          </w:tcPr>
          <w:p>
            <w:pPr>
              <w:pStyle w:val="TableParagraph"/>
              <w:spacing w:before="85"/>
              <w:rPr>
                <w:sz w:val="18"/>
              </w:rPr>
            </w:pPr>
            <w:r>
              <w:rPr>
                <w:sz w:val="18"/>
              </w:rPr>
              <w:t>describe the requirements for a night VFR rating flight review</w:t>
            </w:r>
          </w:p>
        </w:tc>
        <w:tc>
          <w:tcPr>
            <w:tcW w:w="624" w:type="dxa"/>
          </w:tcPr>
          <w:p>
            <w:pPr>
              <w:pStyle w:val="TableParagraph"/>
              <w:spacing w:before="85"/>
              <w:ind w:left="8"/>
              <w:jc w:val="center"/>
              <w:rPr>
                <w:sz w:val="18"/>
              </w:rPr>
            </w:pPr>
            <w:r>
              <w:rPr>
                <w:w w:val="99"/>
                <w:sz w:val="18"/>
              </w:rPr>
              <w:t>1</w:t>
            </w:r>
          </w:p>
        </w:tc>
        <w:tc>
          <w:tcPr>
            <w:tcW w:w="624" w:type="dxa"/>
          </w:tcPr>
          <w:p>
            <w:pPr>
              <w:pStyle w:val="TableParagraph"/>
              <w:ind w:left="0"/>
              <w:rPr>
                <w:rFonts w:ascii="Times New Roman"/>
                <w:sz w:val="18"/>
              </w:rPr>
            </w:pPr>
          </w:p>
        </w:tc>
      </w:tr>
    </w:tbl>
    <w:p>
      <w:pPr>
        <w:pStyle w:val="BodyText"/>
        <w:spacing w:before="3"/>
        <w:rPr>
          <w:b/>
          <w:sz w:val="8"/>
        </w:rPr>
      </w:pPr>
      <w:r>
        <w:rPr/>
        <w:pict>
          <v:group style="position:absolute;margin-left:30.8395pt;margin-top:6.9595pt;width:533.550pt;height:189.25pt;mso-position-horizontal-relative:page;mso-position-vertical-relative:paragraph;z-index:-251657216;mso-wrap-distance-left:0;mso-wrap-distance-right:0" coordorigin="617,139" coordsize="10671,3785">
            <v:rect style="position:absolute;left:628;top:235;width:10649;height:579" filled="true" fillcolor="#c0c0c0" stroked="false">
              <v:fill type="solid"/>
            </v:rect>
            <v:rect style="position:absolute;left:679;top:232;width:10548;height:291" filled="true" fillcolor="#c0c0c0" stroked="false">
              <v:fill type="solid"/>
            </v:rect>
            <v:rect style="position:absolute;left:679;top:523;width:10548;height:291" filled="true" fillcolor="#c0c0c0" stroked="false">
              <v:fill type="solid"/>
            </v:rect>
            <v:rect style="position:absolute;left:626;top:148;width:10652;height:87" filled="true" fillcolor="#c0c0c0" stroked="false">
              <v:fill type="solid"/>
            </v:rect>
            <v:rect style="position:absolute;left:621;top:813;width:10661;height:84" filled="true" fillcolor="#c0c0c0" stroked="false">
              <v:fill type="solid"/>
            </v:rect>
            <v:line style="position:absolute" from="626,905" to="11278,905" stroked="true" strokeweight=".48pt" strokecolor="#000000">
              <v:stroke dashstyle="solid"/>
            </v:line>
            <v:line style="position:absolute" from="622,139" to="622,3924" stroked="true" strokeweight=".48pt" strokecolor="#000000">
              <v:stroke dashstyle="solid"/>
            </v:line>
            <v:line style="position:absolute" from="626,3919" to="11278,3919" stroked="true" strokeweight=".481pt" strokecolor="#000000">
              <v:stroke dashstyle="solid"/>
            </v:line>
            <v:line style="position:absolute" from="11282,139" to="11282,3924" stroked="true" strokeweight=".481pt" strokecolor="#000000">
              <v:stroke dashstyle="solid"/>
            </v:line>
            <v:shape style="position:absolute;left:621;top:144;width:10661;height:761" type="#_x0000_t202" filled="true" fillcolor="#c0c0c0" stroked="true" strokeweight=".481pt" strokecolor="#000000">
              <v:textbox inset="0,0,0,0">
                <w:txbxContent>
                  <w:p>
                    <w:pPr>
                      <w:spacing w:before="138"/>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w10:wrap type="topAndBottom"/>
          </v:group>
        </w:pict>
      </w:r>
    </w:p>
    <w:p>
      <w:pPr>
        <w:pStyle w:val="BodyText"/>
        <w:spacing w:before="10" w:after="1"/>
        <w:rPr>
          <w:b/>
          <w:sz w:val="8"/>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5"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1247" w:hRule="atLeast"/>
        </w:trPr>
        <w:tc>
          <w:tcPr>
            <w:tcW w:w="5330" w:type="dxa"/>
          </w:tcPr>
          <w:p>
            <w:pPr>
              <w:pStyle w:val="TableParagraph"/>
              <w:ind w:left="0"/>
              <w:rPr>
                <w:rFonts w:ascii="Times New Roman"/>
                <w:sz w:val="18"/>
              </w:rPr>
            </w:pPr>
          </w:p>
        </w:tc>
        <w:tc>
          <w:tcPr>
            <w:tcW w:w="5330" w:type="dxa"/>
          </w:tcPr>
          <w:p>
            <w:pPr>
              <w:pStyle w:val="TableParagraph"/>
              <w:ind w:left="0"/>
              <w:rPr>
                <w:rFonts w:ascii="Times New Roman"/>
                <w:sz w:val="18"/>
              </w:rPr>
            </w:pPr>
          </w:p>
        </w:tc>
      </w:tr>
    </w:tbl>
    <w:sectPr>
      <w:pgSz w:w="11910" w:h="16840"/>
      <w:pgMar w:header="717" w:footer="740" w:top="164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1907072"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1906048"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1905024"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1904000"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41.160004pt;margin-top:34.863461pt;width:321.2pt;height:39.050pt;mso-position-horizontal-relative:page;mso-position-vertical-relative:page;z-index:-251908096"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18"/>
                  <w:jc w:val="right"/>
                </w:pPr>
                <w:r>
                  <w:rPr/>
                  <w:t>BRIEFING - PRIVILEGES AND LIMITATIONS OF NIGHT VFR</w:t>
                </w:r>
                <w:r>
                  <w:rPr>
                    <w:spacing w:val="-14"/>
                  </w:rPr>
                  <w:t> </w:t>
                </w:r>
                <w:r>
                  <w:rPr/>
                  <w:t>RATING</w:t>
                </w:r>
              </w:p>
              <w:p>
                <w:pPr>
                  <w:pStyle w:val="BodyText"/>
                  <w:spacing w:before="1"/>
                  <w:ind w:right="18"/>
                  <w:jc w:val="right"/>
                </w:pPr>
                <w:r>
                  <w:rPr/>
                  <w:t>TRAINING</w:t>
                </w:r>
                <w:r>
                  <w:rPr>
                    <w:spacing w:val="-7"/>
                  </w:rPr>
                  <w:t> </w:t>
                </w:r>
                <w:r>
                  <w:rPr/>
                  <w:t>ENDORSEMENT</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ind w:left="57"/>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Briefing - privileges and limitations of night VFR rating training endorsement</dc:title>
  <dcterms:created xsi:type="dcterms:W3CDTF">2021-11-10T01:05:56Z</dcterms:created>
  <dcterms:modified xsi:type="dcterms:W3CDTF">2021-11-10T01:05:56Z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