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TE3-26: AUTOROTATION 1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b/>
                <w:sz w:val="18"/>
              </w:rPr>
              <w:t>Consolidate AIT for a complex</w:t>
            </w:r>
            <w:r>
              <w:rPr>
                <w:b/>
                <w:spacing w:val="1"/>
                <w:sz w:val="18"/>
              </w:rPr>
              <w:t> </w:t>
            </w:r>
            <w:r>
              <w:rPr>
                <w:b/>
                <w:sz w:val="18"/>
              </w:rPr>
              <w:t>lesson</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This is a </w:t>
            </w:r>
            <w:r>
              <w:rPr>
                <w:b/>
                <w:sz w:val="18"/>
              </w:rPr>
              <w:t>demonstration</w:t>
            </w:r>
            <w:r>
              <w:rPr>
                <w:b/>
                <w:spacing w:val="-1"/>
                <w:sz w:val="18"/>
              </w:rPr>
              <w:t> </w:t>
            </w:r>
            <w:r>
              <w:rPr>
                <w:sz w:val="18"/>
              </w:rPr>
              <w:t>lesson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pre-flight brief for</w:t>
            </w:r>
            <w:r>
              <w:rPr>
                <w:spacing w:val="-5"/>
                <w:sz w:val="18"/>
              </w:rPr>
              <w:t> </w:t>
            </w:r>
            <w:r>
              <w:rPr>
                <w:b/>
                <w:sz w:val="18"/>
              </w:rPr>
              <w:t>Autorotation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w:t>
            </w:r>
            <w:r>
              <w:rPr>
                <w:spacing w:val="-4"/>
                <w:sz w:val="18"/>
              </w:rPr>
              <w:t> </w:t>
            </w:r>
            <w:r>
              <w:rPr>
                <w:b/>
                <w:sz w:val="18"/>
              </w:rPr>
              <w:t>Autorotation</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 blueprint for the pre-flight brief and in-flight lesson is the operator’s approved lesson from their PPL/CPL</w:t>
            </w:r>
            <w:r>
              <w:rPr>
                <w:spacing w:val="-36"/>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2555"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jc w:val="both"/>
              <w:rPr>
                <w:b/>
                <w:sz w:val="20"/>
              </w:rPr>
            </w:pPr>
            <w:r>
              <w:rPr>
                <w:b/>
                <w:sz w:val="20"/>
              </w:rPr>
              <w:t>Training Notes</w:t>
            </w:r>
          </w:p>
          <w:p>
            <w:pPr>
              <w:pStyle w:val="TableParagraph"/>
              <w:numPr>
                <w:ilvl w:val="0"/>
                <w:numId w:val="2"/>
              </w:numPr>
              <w:tabs>
                <w:tab w:pos="624" w:val="left" w:leader="none"/>
              </w:tabs>
              <w:spacing w:line="240" w:lineRule="auto" w:before="2" w:after="0"/>
              <w:ind w:left="623" w:right="557" w:hanging="356"/>
              <w:jc w:val="both"/>
              <w:rPr>
                <w:sz w:val="18"/>
              </w:rPr>
            </w:pPr>
            <w:r>
              <w:rPr>
                <w:sz w:val="18"/>
              </w:rPr>
              <w:t>The pre-flight brief should include review of basic principles associated with autorotation as covered in the long brief with emphasis on aircraft</w:t>
            </w:r>
            <w:r>
              <w:rPr>
                <w:spacing w:val="1"/>
                <w:sz w:val="18"/>
              </w:rPr>
              <w:t> </w:t>
            </w:r>
            <w:r>
              <w:rPr>
                <w:sz w:val="18"/>
              </w:rPr>
              <w:t>control.</w:t>
            </w:r>
          </w:p>
          <w:p>
            <w:pPr>
              <w:pStyle w:val="TableParagraph"/>
              <w:numPr>
                <w:ilvl w:val="0"/>
                <w:numId w:val="2"/>
              </w:numPr>
              <w:tabs>
                <w:tab w:pos="624" w:val="left" w:leader="none"/>
              </w:tabs>
              <w:spacing w:line="240" w:lineRule="auto" w:before="40" w:after="0"/>
              <w:ind w:left="623" w:right="0" w:hanging="356"/>
              <w:jc w:val="both"/>
              <w:rPr>
                <w:sz w:val="18"/>
              </w:rPr>
            </w:pPr>
            <w:r>
              <w:rPr>
                <w:sz w:val="18"/>
              </w:rPr>
              <w:t>The Flight Instructor manual will provide reference for some of the content of this</w:t>
            </w:r>
            <w:r>
              <w:rPr>
                <w:spacing w:val="-13"/>
                <w:sz w:val="18"/>
              </w:rPr>
              <w:t> </w:t>
            </w:r>
            <w:r>
              <w:rPr>
                <w:sz w:val="18"/>
              </w:rPr>
              <w:t>lesson.</w:t>
            </w:r>
          </w:p>
          <w:p>
            <w:pPr>
              <w:pStyle w:val="TableParagraph"/>
              <w:numPr>
                <w:ilvl w:val="0"/>
                <w:numId w:val="2"/>
              </w:numPr>
              <w:tabs>
                <w:tab w:pos="624" w:val="left" w:leader="none"/>
              </w:tabs>
              <w:spacing w:line="240" w:lineRule="auto" w:before="40" w:after="0"/>
              <w:ind w:left="623" w:right="699" w:hanging="356"/>
              <w:jc w:val="both"/>
              <w:rPr>
                <w:sz w:val="18"/>
              </w:rPr>
            </w:pPr>
            <w:r>
              <w:rPr>
                <w:sz w:val="18"/>
              </w:rPr>
              <w:t>The lesson should cover basic autorotation techniques for entry, maintenance of and power recovery techniques. Time permitting basic turns can be introduced 180</w:t>
            </w:r>
            <w:r>
              <w:rPr>
                <w:spacing w:val="-8"/>
                <w:sz w:val="18"/>
              </w:rPr>
              <w:t> </w:t>
            </w:r>
            <w:r>
              <w:rPr>
                <w:sz w:val="18"/>
              </w:rPr>
              <w:t>deg.</w:t>
            </w:r>
          </w:p>
          <w:p>
            <w:pPr>
              <w:pStyle w:val="TableParagraph"/>
              <w:numPr>
                <w:ilvl w:val="0"/>
                <w:numId w:val="2"/>
              </w:numPr>
              <w:tabs>
                <w:tab w:pos="624" w:val="left" w:leader="none"/>
              </w:tabs>
              <w:spacing w:line="237" w:lineRule="auto" w:before="44" w:after="0"/>
              <w:ind w:left="623" w:right="46" w:hanging="356"/>
              <w:jc w:val="both"/>
              <w:rPr>
                <w:sz w:val="18"/>
              </w:rPr>
            </w:pPr>
            <w:r>
              <w:rPr>
                <w:sz w:val="18"/>
              </w:rPr>
              <w:t>The instructor should demonstrate the integration of HF/NTS items introduced in the pre-flight brief including reviewing with the student the concepts of an undesired aircraft state and management as it relates to the planned flight and re-inforce items from previous</w:t>
            </w:r>
            <w:r>
              <w:rPr>
                <w:spacing w:val="-2"/>
                <w:sz w:val="18"/>
              </w:rPr>
              <w:t> </w:t>
            </w:r>
            <w:r>
              <w:rPr>
                <w:sz w:val="18"/>
              </w:rPr>
              <w:t>lessons.</w:t>
            </w:r>
          </w:p>
          <w:p>
            <w:pPr>
              <w:pStyle w:val="TableParagraph"/>
              <w:numPr>
                <w:ilvl w:val="0"/>
                <w:numId w:val="2"/>
              </w:numPr>
              <w:tabs>
                <w:tab w:pos="624" w:val="left" w:leader="none"/>
              </w:tabs>
              <w:spacing w:line="237" w:lineRule="auto" w:before="45" w:after="0"/>
              <w:ind w:left="623" w:right="266" w:hanging="356"/>
              <w:jc w:val="both"/>
              <w:rPr>
                <w:sz w:val="18"/>
              </w:rPr>
            </w:pPr>
            <w:r>
              <w:rPr>
                <w:sz w:val="18"/>
              </w:rPr>
              <w:t>The instructor should deliver a post-flight debrief of the lesson also as a blueprint and to give the trainee instructor additional exposure to this aspect of a training lesson.</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4"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17"/>
              <w:ind w:right="178"/>
              <w:jc w:val="right"/>
              <w:rPr>
                <w:b/>
                <w:sz w:val="18"/>
              </w:rPr>
            </w:pPr>
            <w:r>
              <w:rPr>
                <w:b/>
                <w:sz w:val="18"/>
              </w:rPr>
              <w:t>FIR-TE3.2</w:t>
            </w:r>
          </w:p>
        </w:tc>
        <w:tc>
          <w:tcPr>
            <w:tcW w:w="8489"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77"/>
              <w:ind w:right="251"/>
              <w:jc w:val="right"/>
              <w:rPr>
                <w:sz w:val="20"/>
              </w:rPr>
            </w:pPr>
            <w:r>
              <w:rPr>
                <w:sz w:val="20"/>
              </w:rPr>
              <w:t>(a)</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(ii) C1 through C5</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4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45"/>
              <w:rPr>
                <w:sz w:val="18"/>
              </w:rPr>
            </w:pPr>
            <w:r>
              <w:rPr>
                <w:sz w:val="18"/>
              </w:rPr>
              <w:t>(xiii) H6.2(a) to (e) – Autorotative flight</w:t>
            </w:r>
          </w:p>
        </w:tc>
        <w:tc>
          <w:tcPr>
            <w:tcW w:w="564" w:type="dxa"/>
            <w:shd w:val="clear" w:color="auto" w:fill="F2F2F2"/>
          </w:tcPr>
          <w:p>
            <w:pPr>
              <w:pStyle w:val="TableParagraph"/>
              <w:spacing w:before="22"/>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9"/>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17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9"/>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direction appropriate to trainee's progress;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4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(iv) provide sufficient practice for the trainee to achieve the task;</w:t>
            </w:r>
          </w:p>
        </w:tc>
        <w:tc>
          <w:tcPr>
            <w:tcW w:w="564" w:type="dxa"/>
            <w:shd w:val="clear" w:color="auto" w:fill="F2F2F2"/>
          </w:tcPr>
          <w:p>
            <w:pPr>
              <w:pStyle w:val="TableParagraph"/>
              <w:spacing w:before="22"/>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9"/>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NTS1.3 Assess situations and make decisions</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w w:val="95"/>
                <w:sz w:val="18"/>
              </w:rPr>
              <w:t>(d)</w:t>
            </w:r>
          </w:p>
        </w:tc>
        <w:tc>
          <w:tcPr>
            <w:tcW w:w="8489" w:type="dxa"/>
          </w:tcPr>
          <w:p>
            <w:pPr>
              <w:pStyle w:val="TableParagraph"/>
              <w:spacing w:before="25"/>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NTS2.1 Recognise and manage threats</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4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5"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252"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2118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020160" type="#_x0000_t202" filled="false" stroked="false">
          <v:textbox inset="0,0,0,0">
            <w:txbxContent>
              <w:p>
                <w:pPr>
                  <w:spacing w:line="203" w:lineRule="exact" w:before="0"/>
                  <w:ind w:left="20" w:right="0" w:firstLine="0"/>
                  <w:jc w:val="left"/>
                  <w:rPr>
                    <w:rFonts w:ascii="Calibri"/>
                    <w:sz w:val="18"/>
                  </w:rPr>
                </w:pPr>
                <w:r>
                  <w:rPr>
                    <w:rFonts w:ascii="Calibri"/>
                    <w:sz w:val="18"/>
                  </w:rPr>
                  <w:t>FIR-TE3-26</w:t>
                </w:r>
              </w:p>
            </w:txbxContent>
          </v:textbox>
          <w10:wrap type="none"/>
        </v:shape>
      </w:pict>
    </w:r>
    <w:r>
      <w:rPr/>
      <w:pict>
        <v:shape style="position:absolute;margin-left:274.763pt;margin-top:801.289978pt;width:45.95pt;height:11pt;mso-position-horizontal-relative:page;mso-position-vertical-relative:page;z-index:-25301913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1811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1504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014016" type="#_x0000_t202" filled="false" stroked="false">
          <v:textbox inset="0,0,0,0">
            <w:txbxContent>
              <w:p>
                <w:pPr>
                  <w:spacing w:line="203" w:lineRule="exact" w:before="0"/>
                  <w:ind w:left="20" w:right="0" w:firstLine="0"/>
                  <w:jc w:val="left"/>
                  <w:rPr>
                    <w:rFonts w:ascii="Calibri"/>
                    <w:sz w:val="18"/>
                  </w:rPr>
                </w:pPr>
                <w:r>
                  <w:rPr>
                    <w:rFonts w:ascii="Calibri"/>
                    <w:sz w:val="18"/>
                  </w:rPr>
                  <w:t>FIR-TE3-26</w:t>
                </w:r>
              </w:p>
            </w:txbxContent>
          </v:textbox>
          <w10:wrap type="none"/>
        </v:shape>
      </w:pict>
    </w:r>
    <w:r>
      <w:rPr/>
      <w:pict>
        <v:shape style="position:absolute;margin-left:274.763pt;margin-top:801.289978pt;width:45.95pt;height:11pt;mso-position-horizontal-relative:page;mso-position-vertical-relative:page;z-index:-25301299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1196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017088"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388pt;height:13.15pt;mso-position-horizontal-relative:page;mso-position-vertical-relative:page;z-index:-253016064" type="#_x0000_t202" filled="false" stroked="false">
          <v:textbox inset="0,0,0,0">
            <w:txbxContent>
              <w:p>
                <w:pPr>
                  <w:pStyle w:val="BodyText"/>
                  <w:spacing w:before="12"/>
                  <w:ind w:left="20"/>
                </w:pPr>
                <w:r>
                  <w:rPr/>
                  <w:t>LESSON TE3-26: AUTOROTATION 1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TE3-26 Autorotation 1 - pre-flight &amp; in-flight Lesson plan &amp; Training record</dc:title>
  <dcterms:created xsi:type="dcterms:W3CDTF">2021-11-10T00:51:15Z</dcterms:created>
  <dcterms:modified xsi:type="dcterms:W3CDTF">2021-11-10T00:51:15Z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