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TE3-41: CIRCUITS (NORMAL)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Normal</w:t>
            </w:r>
            <w:r>
              <w:rPr>
                <w:b/>
                <w:spacing w:val="-5"/>
                <w:sz w:val="18"/>
              </w:rPr>
              <w:t> </w:t>
            </w:r>
            <w:r>
              <w:rPr>
                <w:b/>
                <w:sz w:val="18"/>
              </w:rPr>
              <w:t>Circuits</w:t>
            </w:r>
          </w:p>
          <w:p>
            <w:pPr>
              <w:pStyle w:val="TableParagraph"/>
              <w:numPr>
                <w:ilvl w:val="0"/>
                <w:numId w:val="1"/>
              </w:numPr>
              <w:tabs>
                <w:tab w:pos="775" w:val="left" w:leader="none"/>
                <w:tab w:pos="776" w:val="left" w:leader="none"/>
              </w:tabs>
              <w:spacing w:line="240" w:lineRule="auto" w:before="0" w:after="0"/>
              <w:ind w:left="775" w:right="0" w:hanging="361"/>
              <w:jc w:val="left"/>
              <w:rPr>
                <w:b/>
                <w:sz w:val="18"/>
              </w:rPr>
            </w:pPr>
            <w:r>
              <w:rPr>
                <w:sz w:val="18"/>
              </w:rPr>
              <w:t>Read back of pre-flight brief for </w:t>
            </w:r>
            <w:r>
              <w:rPr>
                <w:b/>
                <w:sz w:val="18"/>
              </w:rPr>
              <w:t>Normal</w:t>
            </w:r>
            <w:r>
              <w:rPr>
                <w:b/>
                <w:spacing w:val="-3"/>
                <w:sz w:val="18"/>
              </w:rPr>
              <w:t> </w:t>
            </w:r>
            <w:r>
              <w:rPr>
                <w:b/>
                <w:sz w:val="18"/>
              </w:rPr>
              <w:t>Circuits</w:t>
            </w:r>
          </w:p>
          <w:p>
            <w:pPr>
              <w:pStyle w:val="TableParagraph"/>
              <w:numPr>
                <w:ilvl w:val="0"/>
                <w:numId w:val="1"/>
              </w:numPr>
              <w:tabs>
                <w:tab w:pos="775" w:val="left" w:leader="none"/>
                <w:tab w:pos="776"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833" w:hRule="atLeast"/>
        </w:trPr>
        <w:tc>
          <w:tcPr>
            <w:tcW w:w="11062" w:type="dxa"/>
            <w:gridSpan w:val="6"/>
          </w:tcPr>
          <w:p>
            <w:pPr>
              <w:pStyle w:val="TableParagraph"/>
              <w:spacing w:before="23"/>
              <w:ind w:left="55"/>
              <w:rPr>
                <w:b/>
                <w:sz w:val="18"/>
              </w:rPr>
            </w:pPr>
            <w:r>
              <w:rPr>
                <w:b/>
                <w:sz w:val="18"/>
              </w:rPr>
              <w:t>Training Notes</w:t>
            </w:r>
          </w:p>
          <w:p>
            <w:pPr>
              <w:pStyle w:val="TableParagraph"/>
              <w:numPr>
                <w:ilvl w:val="0"/>
                <w:numId w:val="2"/>
              </w:numPr>
              <w:tabs>
                <w:tab w:pos="621" w:val="left" w:leader="none"/>
                <w:tab w:pos="622" w:val="left" w:leader="none"/>
              </w:tabs>
              <w:spacing w:line="240" w:lineRule="auto" w:before="1" w:after="0"/>
              <w:ind w:left="621" w:right="0" w:hanging="356"/>
              <w:jc w:val="left"/>
              <w:rPr>
                <w:sz w:val="18"/>
              </w:rPr>
            </w:pPr>
            <w:r>
              <w:rPr>
                <w:sz w:val="18"/>
              </w:rPr>
              <w:t>The trainee should be able to demonstrate a performance standard of 1 for the majority of the</w:t>
            </w:r>
            <w:r>
              <w:rPr>
                <w:spacing w:val="-18"/>
                <w:sz w:val="18"/>
              </w:rPr>
              <w:t> </w:t>
            </w:r>
            <w:r>
              <w:rPr>
                <w:sz w:val="18"/>
              </w:rPr>
              <w:t>criteria</w:t>
            </w:r>
          </w:p>
          <w:p>
            <w:pPr>
              <w:pStyle w:val="TableParagraph"/>
              <w:numPr>
                <w:ilvl w:val="0"/>
                <w:numId w:val="2"/>
              </w:numPr>
              <w:tabs>
                <w:tab w:pos="621" w:val="left" w:leader="none"/>
                <w:tab w:pos="622" w:val="left" w:leader="none"/>
              </w:tabs>
              <w:spacing w:line="240" w:lineRule="auto" w:before="43" w:after="0"/>
              <w:ind w:left="621" w:right="150" w:hanging="356"/>
              <w:jc w:val="left"/>
              <w:rPr>
                <w:sz w:val="18"/>
              </w:rPr>
            </w:pPr>
            <w:r>
              <w:rPr>
                <w:sz w:val="18"/>
              </w:rPr>
              <w:t>The pre-flight brief should include review of basic circuit pattern covered in the long brief with emphasise on recognition of correct circuit procedures and approach</w:t>
            </w:r>
            <w:r>
              <w:rPr>
                <w:spacing w:val="-3"/>
                <w:sz w:val="18"/>
              </w:rPr>
              <w:t> </w:t>
            </w:r>
            <w:r>
              <w:rPr>
                <w:sz w:val="18"/>
              </w:rPr>
              <w:t>path</w:t>
            </w:r>
          </w:p>
          <w:p>
            <w:pPr>
              <w:pStyle w:val="TableParagraph"/>
              <w:numPr>
                <w:ilvl w:val="0"/>
                <w:numId w:val="2"/>
              </w:numPr>
              <w:tabs>
                <w:tab w:pos="621" w:val="left" w:leader="none"/>
                <w:tab w:pos="622" w:val="left" w:leader="none"/>
              </w:tabs>
              <w:spacing w:line="240" w:lineRule="auto" w:before="40" w:after="0"/>
              <w:ind w:left="621" w:right="0" w:hanging="361"/>
              <w:jc w:val="left"/>
              <w:rPr>
                <w:sz w:val="18"/>
              </w:rPr>
            </w:pPr>
            <w:r>
              <w:rPr>
                <w:sz w:val="18"/>
              </w:rPr>
              <w:t>The</w:t>
            </w:r>
            <w:r>
              <w:rPr>
                <w:spacing w:val="-1"/>
                <w:sz w:val="18"/>
              </w:rPr>
              <w:t> </w:t>
            </w:r>
            <w:r>
              <w:rPr>
                <w:sz w:val="18"/>
              </w:rPr>
              <w:t>Flight</w:t>
            </w:r>
            <w:r>
              <w:rPr>
                <w:spacing w:val="-1"/>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 references</w:t>
            </w:r>
            <w:r>
              <w:rPr>
                <w:spacing w:val="-1"/>
                <w:sz w:val="18"/>
              </w:rPr>
              <w:t> </w:t>
            </w:r>
            <w:r>
              <w:rPr>
                <w:sz w:val="18"/>
              </w:rPr>
              <w:t>for</w:t>
            </w:r>
            <w:r>
              <w:rPr>
                <w:spacing w:val="-1"/>
                <w:sz w:val="18"/>
              </w:rPr>
              <w:t> </w:t>
            </w:r>
            <w:r>
              <w:rPr>
                <w:sz w:val="18"/>
              </w:rPr>
              <w:t>some</w:t>
            </w:r>
            <w:r>
              <w:rPr>
                <w:spacing w:val="-1"/>
                <w:sz w:val="18"/>
              </w:rPr>
              <w:t> </w:t>
            </w:r>
            <w:r>
              <w:rPr>
                <w:sz w:val="18"/>
              </w:rPr>
              <w:t>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4"/>
                <w:sz w:val="18"/>
              </w:rPr>
              <w:t> </w:t>
            </w:r>
            <w:r>
              <w:rPr>
                <w:sz w:val="18"/>
              </w:rPr>
              <w:t>that</w:t>
            </w:r>
            <w:r>
              <w:rPr>
                <w:spacing w:val="-3"/>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2"/>
                <w:sz w:val="18"/>
              </w:rPr>
              <w:t> </w:t>
            </w:r>
            <w:r>
              <w:rPr>
                <w:sz w:val="18"/>
              </w:rPr>
              <w:t>briefing</w:t>
            </w:r>
          </w:p>
          <w:p>
            <w:pPr>
              <w:pStyle w:val="TableParagraph"/>
              <w:numPr>
                <w:ilvl w:val="0"/>
                <w:numId w:val="2"/>
              </w:numPr>
              <w:tabs>
                <w:tab w:pos="621" w:val="left" w:leader="none"/>
                <w:tab w:pos="622" w:val="left" w:leader="none"/>
              </w:tabs>
              <w:spacing w:line="237" w:lineRule="auto" w:before="3" w:after="0"/>
              <w:ind w:left="621" w:right="3" w:hanging="356"/>
              <w:jc w:val="left"/>
              <w:rPr>
                <w:sz w:val="18"/>
              </w:rPr>
            </w:pPr>
            <w:r>
              <w:rPr>
                <w:sz w:val="18"/>
              </w:rPr>
              <w:t>The pre-flight brief should re-inforce the basic HF/NTS considerations required for safe flight introduced in previous lesson and with emphasis on application of situational awareness to identify potential threats to flight safety and use of speed control and pattern adjustments for traffic</w:t>
            </w:r>
            <w:r>
              <w:rPr>
                <w:spacing w:val="-3"/>
                <w:sz w:val="18"/>
              </w:rPr>
              <w:t> </w:t>
            </w:r>
            <w:r>
              <w:rPr>
                <w:sz w:val="18"/>
              </w:rPr>
              <w:t>management.</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6"/>
              <w:jc w:val="center"/>
              <w:rPr>
                <w:b/>
                <w:sz w:val="18"/>
              </w:rPr>
            </w:pPr>
            <w:r>
              <w:rPr>
                <w:b/>
                <w:sz w:val="18"/>
              </w:rPr>
              <w:t>MOS</w:t>
            </w:r>
          </w:p>
          <w:p>
            <w:pPr>
              <w:pStyle w:val="TableParagraph"/>
              <w:spacing w:before="5"/>
              <w:ind w:left="154"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1"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7"/>
              <w:rPr>
                <w:b/>
                <w:sz w:val="16"/>
              </w:rPr>
            </w:pPr>
            <w:r>
              <w:rPr>
                <w:b/>
                <w:sz w:val="16"/>
              </w:rPr>
              <w:t>Achieved</w:t>
            </w:r>
          </w:p>
        </w:tc>
      </w:tr>
      <w:tr>
        <w:trPr>
          <w:trHeight w:val="281" w:hRule="atLeast"/>
        </w:trPr>
        <w:tc>
          <w:tcPr>
            <w:tcW w:w="1178" w:type="dxa"/>
          </w:tcPr>
          <w:p>
            <w:pPr>
              <w:pStyle w:val="TableParagraph"/>
              <w:spacing w:before="17"/>
              <w:ind w:right="160"/>
              <w:jc w:val="right"/>
              <w:rPr>
                <w:b/>
                <w:sz w:val="18"/>
              </w:rPr>
            </w:pPr>
            <w:r>
              <w:rPr>
                <w:b/>
                <w:sz w:val="18"/>
              </w:rPr>
              <w:t>FIR-TE3.2</w:t>
            </w:r>
          </w:p>
        </w:tc>
        <w:tc>
          <w:tcPr>
            <w:tcW w:w="8572" w:type="dxa"/>
            <w:tcBorders>
              <w:top w:val="single" w:sz="24" w:space="0" w:color="F2F2F2"/>
            </w:tcBorders>
          </w:tcPr>
          <w:p>
            <w:pPr>
              <w:pStyle w:val="TableParagraph"/>
              <w:spacing w:before="17"/>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9"/>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(xiii) A2.1,A2.2, A2.4, A3.6 and A4.1 – normal circuits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25"/>
              <w:ind w:right="187"/>
              <w:jc w:val="right"/>
              <w:rPr>
                <w:sz w:val="18"/>
              </w:rPr>
            </w:pPr>
            <w:r>
              <w:rPr>
                <w:w w:val="95"/>
                <w:sz w:val="18"/>
              </w:rPr>
              <w:t>(b)</w:t>
            </w:r>
          </w:p>
        </w:tc>
        <w:tc>
          <w:tcPr>
            <w:tcW w:w="8572" w:type="dxa"/>
          </w:tcPr>
          <w:p>
            <w:pPr>
              <w:pStyle w:val="TableParagraph"/>
              <w:spacing w:before="25"/>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0"/>
              <w:jc w:val="right"/>
              <w:rPr>
                <w:b/>
                <w:sz w:val="18"/>
              </w:rPr>
            </w:pPr>
            <w:r>
              <w:rPr>
                <w:b/>
                <w:sz w:val="18"/>
              </w:rPr>
              <w:t>FIR-TE3.6</w:t>
            </w:r>
          </w:p>
        </w:tc>
        <w:tc>
          <w:tcPr>
            <w:tcW w:w="8572" w:type="dxa"/>
          </w:tcPr>
          <w:p>
            <w:pPr>
              <w:pStyle w:val="TableParagraph"/>
              <w:spacing w:before="20"/>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2"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8.75pt;mso-position-horizontal-relative:char;mso-position-vertical-relative:line" type="#_x0000_t202" filled="true" fillcolor="#f2f2f2" stroked="true" strokeweight=".48pt" strokecolor="#000000">
            <w10:anchorlock/>
            <v:textbox inset="0,0,0,0">
              <w:txbxContent>
                <w:p>
                  <w:pPr>
                    <w:pStyle w:val="BodyText"/>
                    <w:spacing w:before="38"/>
                    <w:ind w:left="28"/>
                  </w:pPr>
                  <w:r>
                    <w:rPr/>
                    <w:t>LESSON TE3-41: CIRCUITS (NORMAL) – PRE-FLIGHT BRIEF</w:t>
                  </w:r>
                </w:p>
              </w:txbxContent>
            </v:textbox>
            <v:fill type="solid"/>
            <v:stroke dashstyle="solid"/>
          </v:shape>
        </w:pict>
      </w:r>
      <w:r>
        <w:rPr>
          <w:rFonts w:ascii="Times New Roman"/>
          <w:b w:val="0"/>
        </w:rPr>
      </w:r>
    </w:p>
    <w:p>
      <w:pPr>
        <w:pStyle w:val="BodyText"/>
        <w:spacing w:before="6" w:after="1"/>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5"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2"/>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(e) 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678"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4"/>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(c) link previous training to the current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shd w:val="clear" w:color="auto" w:fill="F2F2F2"/>
          </w:tcPr>
          <w:p>
            <w:pPr>
              <w:pStyle w:val="TableParagraph"/>
              <w:spacing w:before="23"/>
              <w:ind w:left="26"/>
              <w:rPr>
                <w:b/>
                <w:sz w:val="20"/>
              </w:rPr>
            </w:pPr>
            <w:r>
              <w:rPr>
                <w:b/>
                <w:sz w:val="20"/>
              </w:rPr>
              <w:t>MOS Ref</w:t>
            </w:r>
          </w:p>
        </w:tc>
        <w:tc>
          <w:tcPr>
            <w:tcW w:w="9730" w:type="dxa"/>
            <w:gridSpan w:val="3"/>
            <w:shd w:val="clear" w:color="auto" w:fill="F2F2F2"/>
          </w:tcPr>
          <w:p>
            <w:pPr>
              <w:pStyle w:val="TableParagraph"/>
              <w:spacing w:before="23"/>
              <w:ind w:left="33"/>
              <w:rPr>
                <w:b/>
                <w:sz w:val="20"/>
              </w:rPr>
            </w:pPr>
            <w:r>
              <w:rPr>
                <w:b/>
                <w:sz w:val="20"/>
              </w:rPr>
              <w:t>Underpinning knowledge</w:t>
            </w:r>
          </w:p>
        </w:tc>
      </w:tr>
      <w:tr>
        <w:trPr>
          <w:trHeight w:val="285" w:hRule="atLeast"/>
        </w:trPr>
        <w:tc>
          <w:tcPr>
            <w:tcW w:w="1178" w:type="dxa"/>
          </w:tcPr>
          <w:p>
            <w:pPr>
              <w:pStyle w:val="TableParagraph"/>
              <w:spacing w:before="21"/>
              <w:ind w:left="225"/>
              <w:rPr>
                <w:b/>
                <w:sz w:val="20"/>
              </w:rPr>
            </w:pPr>
            <w:r>
              <w:rPr>
                <w:b/>
                <w:sz w:val="20"/>
              </w:rPr>
              <w:t>FIR-TE3</w:t>
            </w:r>
          </w:p>
        </w:tc>
        <w:tc>
          <w:tcPr>
            <w:tcW w:w="9730" w:type="dxa"/>
            <w:gridSpan w:val="3"/>
          </w:tcPr>
          <w:p>
            <w:pPr>
              <w:pStyle w:val="TableParagraph"/>
              <w:spacing w:before="21"/>
              <w:ind w:left="117"/>
              <w:rPr>
                <w:b/>
                <w:sz w:val="20"/>
              </w:rPr>
            </w:pPr>
            <w:r>
              <w:rPr>
                <w:b/>
                <w:sz w:val="20"/>
              </w:rPr>
              <w:t>Grade 3 training endorsement</w:t>
            </w:r>
          </w:p>
        </w:tc>
      </w:tr>
      <w:tr>
        <w:trPr>
          <w:trHeight w:val="774"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5" w:lineRule="auto" w:before="44"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8"/>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3"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3563" w:hRule="atLeast"/>
        </w:trPr>
        <w:tc>
          <w:tcPr>
            <w:tcW w:w="10916" w:type="dxa"/>
            <w:gridSpan w:val="2"/>
            <w:tcBorders>
              <w:bottom w:val="single" w:sz="8" w:space="0" w:color="000000"/>
            </w:tcBorders>
          </w:tcPr>
          <w:p>
            <w:pPr>
              <w:pStyle w:val="TableParagraph"/>
              <w:rPr>
                <w:rFonts w:ascii="Times New Roman"/>
                <w:sz w:val="18"/>
              </w:rPr>
            </w:pPr>
          </w:p>
        </w:tc>
      </w:tr>
      <w:tr>
        <w:trPr>
          <w:trHeight w:val="345"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5"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4320"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43296" type="#_x0000_t202" filled="false" stroked="false">
          <v:textbox inset="0,0,0,0">
            <w:txbxContent>
              <w:p>
                <w:pPr>
                  <w:spacing w:before="14"/>
                  <w:ind w:left="20" w:right="0" w:firstLine="0"/>
                  <w:jc w:val="left"/>
                  <w:rPr>
                    <w:sz w:val="18"/>
                  </w:rPr>
                </w:pPr>
                <w:r>
                  <w:rPr>
                    <w:sz w:val="18"/>
                  </w:rPr>
                  <w:t>FIR-TE3-41</w:t>
                </w:r>
              </w:p>
            </w:txbxContent>
          </v:textbox>
          <w10:wrap type="none"/>
        </v:shape>
      </w:pict>
    </w:r>
    <w:r>
      <w:rPr/>
      <w:pict>
        <v:shape style="position:absolute;margin-left:272.95401pt;margin-top:800.492493pt;width:49.6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4"/>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TE3-41 - Circuits - pre-flight - training plan &amp; student record</dc:title>
  <dcterms:created xsi:type="dcterms:W3CDTF">2021-11-09T23:49:39Z</dcterms:created>
  <dcterms:modified xsi:type="dcterms:W3CDTF">2021-11-09T23:49:39Z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