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1"/>
        <w:rPr>
          <w:rFonts w:ascii="Times New Roman"/>
          <w:b w:val="0"/>
        </w:rPr>
      </w:pPr>
      <w:r>
        <w:rPr>
          <w:rFonts w:ascii="Times New Roman"/>
          <w:b w:val="0"/>
        </w:rPr>
        <w:pict>
          <v:group style="width:549.6pt;height:64pt;mso-position-horizontal-relative:char;mso-position-vertical-relative:line" coordorigin="0,0" coordsize="10992,1280">
            <v:line style="position:absolute" from="12,5" to="10982,5" stroked="true" strokeweight=".481pt" strokecolor="#000000">
              <v:stroke dashstyle="solid"/>
            </v:line>
            <v:rect style="position:absolute;left:2;top:669;width:10;height:10" filled="true" fillcolor="#000000" stroked="false">
              <v:fill type="solid"/>
            </v:rect>
            <v:line style="position:absolute" from="12,674" to="10982,674" stroked="true" strokeweight=".481pt" strokecolor="#000000">
              <v:stroke dashstyle="solid"/>
            </v:line>
            <v:line style="position:absolute" from="10987,0" to="10987,679" stroked="true" strokeweight=".48pt" strokecolor="#000000">
              <v:stroke dashstyle="solid"/>
            </v:line>
            <v:line style="position:absolute" from="10,684" to="10978,684" stroked="true" strokeweight=".48pt" strokecolor="#000000">
              <v:stroke dashstyle="solid"/>
            </v:line>
            <v:line style="position:absolute" from="10,1274" to="10978,1274" stroked="true" strokeweight=".48pt" strokecolor="#000000">
              <v:stroke dashstyle="solid"/>
            </v:line>
            <v:line style="position:absolute" from="5,0" to="5,1279" stroked="true" strokeweight=".481pt" strokecolor="#000000">
              <v:stroke dashstyle="solid"/>
            </v:line>
            <v:line style="position:absolute" from="10982,679" to="10982,1279" stroked="true" strokeweight=".48pt" strokecolor="#000000">
              <v:stroke dashstyle="solid"/>
            </v:line>
            <v:shape style="position:absolute;left:9;top:688;width:10971;height:581" type="#_x0000_t202" filled="true" fillcolor="#f2f2f2" stroked="false">
              <v:textbox inset="0,0,0,0">
                <w:txbxContent>
                  <w:p>
                    <w:pPr>
                      <w:spacing w:before="57"/>
                      <w:ind w:left="28" w:right="678" w:firstLine="0"/>
                      <w:jc w:val="left"/>
                      <w:rPr>
                        <w:b/>
                        <w:sz w:val="20"/>
                      </w:rPr>
                    </w:pPr>
                    <w:r>
                      <w:rPr>
                        <w:b/>
                        <w:sz w:val="20"/>
                      </w:rPr>
                      <w:t>LESSONTE3-61: PREC SEARCH &amp; LANDING AND SYSTEM MALFUNCTIONS – PRE-FLIGHT BRIEF &amp;FLIGHT TRAINING</w:t>
                    </w:r>
                  </w:p>
                </w:txbxContent>
              </v:textbox>
              <v:fill type="solid"/>
              <w10:wrap type="none"/>
            </v:shape>
            <v:shape style="position:absolute;left:9;top:9;width:10971;height:660" type="#_x0000_t202" filled="true" fillcolor="#dadada" stroked="false">
              <v:textbox inset="0,0,0,0">
                <w:txbxContent>
                  <w:p>
                    <w:pPr>
                      <w:spacing w:line="273" w:lineRule="auto" w:before="57"/>
                      <w:ind w:left="3434" w:right="109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7"/>
        <w:rPr>
          <w:rFonts w:ascii="Times New Roman"/>
          <w:b w:val="0"/>
          <w:sz w:val="6"/>
        </w:rPr>
      </w:pPr>
    </w:p>
    <w:tbl>
      <w:tblPr>
        <w:tblW w:w="0" w:type="auto"/>
        <w:jc w:val="left"/>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267"/>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267"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267"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267"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912"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7"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18"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5"/>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5"/>
              <w:ind w:left="57" w:right="65"/>
              <w:rPr>
                <w:sz w:val="18"/>
              </w:rPr>
            </w:pPr>
            <w:r>
              <w:rPr>
                <w:sz w:val="18"/>
              </w:rPr>
              <w:t>Is able to achieve competency to the standard required for the grant of the authorisation on the majority of occasions.</w:t>
            </w:r>
          </w:p>
        </w:tc>
        <w:tc>
          <w:tcPr>
            <w:tcW w:w="3401"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5"/>
              <w:ind w:left="60" w:right="309"/>
              <w:rPr>
                <w:sz w:val="18"/>
              </w:rPr>
            </w:pPr>
            <w:r>
              <w:rPr>
                <w:sz w:val="18"/>
              </w:rPr>
              <w:t>Achieves competency to the standard required for the grant of the authorisation.</w:t>
            </w:r>
          </w:p>
        </w:tc>
      </w:tr>
      <w:tr>
        <w:trPr>
          <w:trHeight w:val="1602" w:hRule="atLeast"/>
        </w:trPr>
        <w:tc>
          <w:tcPr>
            <w:tcW w:w="10912"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pre-flight brief for </w:t>
            </w:r>
            <w:r>
              <w:rPr>
                <w:b/>
                <w:sz w:val="18"/>
              </w:rPr>
              <w:t>Precautionary Search &amp; Landing </w:t>
            </w:r>
            <w:r>
              <w:rPr>
                <w:sz w:val="18"/>
              </w:rPr>
              <w:t>incorporating </w:t>
            </w:r>
            <w:r>
              <w:rPr>
                <w:b/>
                <w:sz w:val="18"/>
              </w:rPr>
              <w:t>Fire Emergencies and System</w:t>
            </w:r>
            <w:r>
              <w:rPr>
                <w:b/>
                <w:spacing w:val="-30"/>
                <w:sz w:val="18"/>
              </w:rPr>
              <w:t> </w:t>
            </w:r>
            <w:r>
              <w:rPr>
                <w:b/>
                <w:sz w:val="18"/>
              </w:rPr>
              <w:t>Failures</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in-flight lesson for </w:t>
            </w:r>
            <w:r>
              <w:rPr>
                <w:b/>
                <w:sz w:val="18"/>
              </w:rPr>
              <w:t>Precautionary Search &amp; Landing </w:t>
            </w:r>
            <w:r>
              <w:rPr>
                <w:sz w:val="18"/>
              </w:rPr>
              <w:t>incorporating </w:t>
            </w:r>
            <w:r>
              <w:rPr>
                <w:b/>
                <w:sz w:val="18"/>
              </w:rPr>
              <w:t>Fire Emergencies and System</w:t>
            </w:r>
            <w:r>
              <w:rPr>
                <w:b/>
                <w:spacing w:val="-29"/>
                <w:sz w:val="18"/>
              </w:rPr>
              <w:t> </w:t>
            </w:r>
            <w:r>
              <w:rPr>
                <w:b/>
                <w:sz w:val="18"/>
              </w:rPr>
              <w:t>Failures</w:t>
            </w:r>
          </w:p>
          <w:p>
            <w:pPr>
              <w:pStyle w:val="TableParagraph"/>
              <w:numPr>
                <w:ilvl w:val="0"/>
                <w:numId w:val="1"/>
              </w:numPr>
              <w:tabs>
                <w:tab w:pos="286" w:val="left" w:leader="none"/>
              </w:tabs>
              <w:spacing w:line="240" w:lineRule="auto" w:before="0" w:after="0"/>
              <w:ind w:left="285" w:right="0" w:hanging="219"/>
              <w:jc w:val="left"/>
              <w:rPr>
                <w:b/>
                <w:sz w:val="18"/>
              </w:rPr>
            </w:pPr>
            <w:r>
              <w:rPr>
                <w:sz w:val="18"/>
              </w:rPr>
              <w:t>Read back of in-flight lesson for </w:t>
            </w:r>
            <w:r>
              <w:rPr>
                <w:b/>
                <w:sz w:val="18"/>
              </w:rPr>
              <w:t>Flapless landings, short field take-off and landings and cross-wind take-off and</w:t>
            </w:r>
            <w:r>
              <w:rPr>
                <w:b/>
                <w:spacing w:val="-32"/>
                <w:sz w:val="18"/>
              </w:rPr>
              <w:t> </w:t>
            </w:r>
            <w:r>
              <w:rPr>
                <w:b/>
                <w:sz w:val="18"/>
              </w:rPr>
              <w:t>landings</w:t>
            </w:r>
          </w:p>
          <w:p>
            <w:pPr>
              <w:pStyle w:val="TableParagraph"/>
              <w:numPr>
                <w:ilvl w:val="0"/>
                <w:numId w:val="1"/>
              </w:numPr>
              <w:tabs>
                <w:tab w:pos="286" w:val="left" w:leader="none"/>
              </w:tabs>
              <w:spacing w:line="219" w:lineRule="exact" w:before="3" w:after="0"/>
              <w:ind w:left="285"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9" w:lineRule="exact" w:before="0" w:after="0"/>
              <w:ind w:left="285" w:right="0" w:hanging="219"/>
              <w:jc w:val="left"/>
              <w:rPr>
                <w:sz w:val="18"/>
              </w:rPr>
            </w:pPr>
            <w:r>
              <w:rPr>
                <w:sz w:val="18"/>
              </w:rPr>
              <w:t>The blueprint for the pre-flight brief and in-flight lesson is the operator’s approved lesson from their RPL/PPL/CPL</w:t>
            </w:r>
            <w:r>
              <w:rPr>
                <w:spacing w:val="-33"/>
                <w:sz w:val="18"/>
              </w:rPr>
              <w:t> </w:t>
            </w:r>
            <w:r>
              <w:rPr>
                <w:sz w:val="18"/>
              </w:rPr>
              <w:t>syllabus</w:t>
            </w:r>
          </w:p>
          <w:p>
            <w:pPr>
              <w:pStyle w:val="TableParagraph"/>
              <w:numPr>
                <w:ilvl w:val="0"/>
                <w:numId w:val="1"/>
              </w:numPr>
              <w:tabs>
                <w:tab w:pos="286" w:val="left" w:leader="none"/>
              </w:tabs>
              <w:spacing w:line="240" w:lineRule="auto"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3026" w:hRule="atLeast"/>
        </w:trPr>
        <w:tc>
          <w:tcPr>
            <w:tcW w:w="10912"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0"/>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9" w:after="0"/>
              <w:ind w:left="623" w:right="58" w:hanging="356"/>
              <w:jc w:val="left"/>
              <w:rPr>
                <w:sz w:val="18"/>
              </w:rPr>
            </w:pPr>
            <w:r>
              <w:rPr>
                <w:sz w:val="18"/>
              </w:rPr>
              <w:t>The instructor should brief the trainee that this lesson will include read back of forced landings, flapless landings and short field and</w:t>
            </w:r>
            <w:r>
              <w:rPr>
                <w:spacing w:val="-5"/>
                <w:sz w:val="18"/>
              </w:rPr>
              <w:t> </w:t>
            </w:r>
            <w:r>
              <w:rPr>
                <w:sz w:val="18"/>
              </w:rPr>
              <w:t>cross-wind</w:t>
            </w:r>
            <w:r>
              <w:rPr>
                <w:spacing w:val="-2"/>
                <w:sz w:val="18"/>
              </w:rPr>
              <w:t> </w:t>
            </w:r>
            <w:r>
              <w:rPr>
                <w:sz w:val="18"/>
              </w:rPr>
              <w:t>take-offs</w:t>
            </w:r>
            <w:r>
              <w:rPr>
                <w:spacing w:val="-4"/>
                <w:sz w:val="18"/>
              </w:rPr>
              <w:t> </w:t>
            </w:r>
            <w:r>
              <w:rPr>
                <w:sz w:val="18"/>
              </w:rPr>
              <w:t>and</w:t>
            </w:r>
            <w:r>
              <w:rPr>
                <w:spacing w:val="-5"/>
                <w:sz w:val="18"/>
              </w:rPr>
              <w:t> </w:t>
            </w:r>
            <w:r>
              <w:rPr>
                <w:sz w:val="18"/>
              </w:rPr>
              <w:t>landings</w:t>
            </w:r>
            <w:r>
              <w:rPr>
                <w:spacing w:val="-4"/>
                <w:sz w:val="18"/>
              </w:rPr>
              <w:t> </w:t>
            </w:r>
            <w:r>
              <w:rPr>
                <w:sz w:val="18"/>
              </w:rPr>
              <w:t>in-flight</w:t>
            </w:r>
            <w:r>
              <w:rPr>
                <w:spacing w:val="-3"/>
                <w:sz w:val="18"/>
              </w:rPr>
              <w:t> </w:t>
            </w:r>
            <w:r>
              <w:rPr>
                <w:sz w:val="18"/>
              </w:rPr>
              <w:t>lessons.</w:t>
            </w:r>
            <w:r>
              <w:rPr>
                <w:spacing w:val="-3"/>
                <w:sz w:val="18"/>
              </w:rPr>
              <w:t> </w:t>
            </w:r>
            <w:r>
              <w:rPr>
                <w:sz w:val="18"/>
              </w:rPr>
              <w:t>These</w:t>
            </w:r>
            <w:r>
              <w:rPr>
                <w:spacing w:val="-2"/>
                <w:sz w:val="18"/>
              </w:rPr>
              <w:t> </w:t>
            </w:r>
            <w:r>
              <w:rPr>
                <w:sz w:val="18"/>
              </w:rPr>
              <w:t>read</w:t>
            </w:r>
            <w:r>
              <w:rPr>
                <w:spacing w:val="-5"/>
                <w:sz w:val="18"/>
              </w:rPr>
              <w:t> </w:t>
            </w:r>
            <w:r>
              <w:rPr>
                <w:sz w:val="18"/>
              </w:rPr>
              <w:t>backs</w:t>
            </w:r>
            <w:r>
              <w:rPr>
                <w:spacing w:val="-2"/>
                <w:sz w:val="18"/>
              </w:rPr>
              <w:t> </w:t>
            </w:r>
            <w:r>
              <w:rPr>
                <w:sz w:val="18"/>
              </w:rPr>
              <w:t>provide</w:t>
            </w:r>
            <w:r>
              <w:rPr>
                <w:spacing w:val="-2"/>
                <w:sz w:val="18"/>
              </w:rPr>
              <w:t> </w:t>
            </w:r>
            <w:r>
              <w:rPr>
                <w:sz w:val="18"/>
              </w:rPr>
              <w:t>consolidation</w:t>
            </w:r>
            <w:r>
              <w:rPr>
                <w:spacing w:val="-5"/>
                <w:sz w:val="18"/>
              </w:rPr>
              <w:t> </w:t>
            </w:r>
            <w:r>
              <w:rPr>
                <w:sz w:val="18"/>
              </w:rPr>
              <w:t>practice</w:t>
            </w:r>
            <w:r>
              <w:rPr>
                <w:spacing w:val="-2"/>
                <w:sz w:val="18"/>
              </w:rPr>
              <w:t> </w:t>
            </w:r>
            <w:r>
              <w:rPr>
                <w:sz w:val="18"/>
              </w:rPr>
              <w:t>for</w:t>
            </w:r>
            <w:r>
              <w:rPr>
                <w:spacing w:val="-3"/>
                <w:sz w:val="18"/>
              </w:rPr>
              <w:t> </w:t>
            </w:r>
            <w:r>
              <w:rPr>
                <w:sz w:val="18"/>
              </w:rPr>
              <w:t>the</w:t>
            </w:r>
            <w:r>
              <w:rPr>
                <w:spacing w:val="-4"/>
                <w:sz w:val="18"/>
              </w:rPr>
              <w:t> </w:t>
            </w:r>
            <w:r>
              <w:rPr>
                <w:sz w:val="18"/>
              </w:rPr>
              <w:t>trainee</w:t>
            </w:r>
            <w:r>
              <w:rPr>
                <w:spacing w:val="-5"/>
                <w:sz w:val="18"/>
              </w:rPr>
              <w:t> </w:t>
            </w:r>
            <w:r>
              <w:rPr>
                <w:sz w:val="18"/>
              </w:rPr>
              <w:t>instructor</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to read back the pre-flight brief on Precautionary Search and landings and System</w:t>
            </w:r>
            <w:r>
              <w:rPr>
                <w:spacing w:val="-12"/>
                <w:sz w:val="18"/>
              </w:rPr>
              <w:t> </w:t>
            </w:r>
            <w:r>
              <w:rPr>
                <w:sz w:val="18"/>
              </w:rPr>
              <w:t>malfunctions</w:t>
            </w:r>
          </w:p>
          <w:p>
            <w:pPr>
              <w:pStyle w:val="TableParagraph"/>
              <w:numPr>
                <w:ilvl w:val="0"/>
                <w:numId w:val="2"/>
              </w:numPr>
              <w:tabs>
                <w:tab w:pos="623" w:val="left" w:leader="none"/>
                <w:tab w:pos="624" w:val="left" w:leader="none"/>
              </w:tabs>
              <w:spacing w:line="237" w:lineRule="auto" w:before="45" w:after="0"/>
              <w:ind w:left="623" w:right="20" w:hanging="356"/>
              <w:jc w:val="left"/>
              <w:rPr>
                <w:sz w:val="18"/>
              </w:rPr>
            </w:pPr>
            <w:r>
              <w:rPr>
                <w:sz w:val="18"/>
              </w:rPr>
              <w:t>During the in-flight lesson, the trainee must demonstrate the correct procedures for precautionary search and landing emphasisin the importance of the vital actions, hazards associated with low flying and logical prioritisation of tasks. The instructor should ensure that that the trainee understands how to set up for a</w:t>
            </w:r>
            <w:r>
              <w:rPr>
                <w:spacing w:val="-8"/>
                <w:sz w:val="18"/>
              </w:rPr>
              <w:t> </w:t>
            </w:r>
            <w:r>
              <w:rPr>
                <w:sz w:val="18"/>
              </w:rPr>
              <w:t>demonstration.</w:t>
            </w:r>
          </w:p>
          <w:p>
            <w:pPr>
              <w:pStyle w:val="TableParagraph"/>
              <w:numPr>
                <w:ilvl w:val="0"/>
                <w:numId w:val="2"/>
              </w:numPr>
              <w:tabs>
                <w:tab w:pos="623" w:val="left" w:leader="none"/>
                <w:tab w:pos="624" w:val="left" w:leader="none"/>
              </w:tabs>
              <w:spacing w:line="240" w:lineRule="auto" w:before="43" w:after="0"/>
              <w:ind w:left="623" w:right="16" w:hanging="356"/>
              <w:jc w:val="left"/>
              <w:rPr>
                <w:sz w:val="18"/>
              </w:rPr>
            </w:pPr>
            <w:r>
              <w:rPr>
                <w:sz w:val="18"/>
              </w:rPr>
              <w:t>The trainee should demonstrate the integration of HF/NTS items introduced in the pre-flight brief including reviewing with the student management of threats and errors and an undesired aircraft state that can result from unmanaged threats and errors and workload management using available resources to</w:t>
            </w:r>
            <w:r>
              <w:rPr>
                <w:spacing w:val="-6"/>
                <w:sz w:val="18"/>
              </w:rPr>
              <w:t> </w:t>
            </w:r>
            <w:r>
              <w:rPr>
                <w:sz w:val="18"/>
              </w:rPr>
              <w:t>support.</w:t>
            </w:r>
          </w:p>
          <w:p>
            <w:pPr>
              <w:pStyle w:val="TableParagraph"/>
              <w:numPr>
                <w:ilvl w:val="0"/>
                <w:numId w:val="2"/>
              </w:numPr>
              <w:tabs>
                <w:tab w:pos="623" w:val="left" w:leader="none"/>
                <w:tab w:pos="624" w:val="left" w:leader="none"/>
              </w:tabs>
              <w:spacing w:line="240" w:lineRule="auto" w:before="37"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r>
              <w:rPr>
                <w:color w:val="4F81BD"/>
                <w:sz w:val="18"/>
              </w:rPr>
              <w: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be able to demonstrate most of the criteria to standard</w:t>
            </w:r>
            <w:r>
              <w:rPr>
                <w:spacing w:val="-14"/>
                <w:sz w:val="18"/>
              </w:rPr>
              <w:t> </w:t>
            </w:r>
            <w:r>
              <w:rPr>
                <w:sz w:val="18"/>
              </w:rPr>
              <w:t>1.</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8"/>
        <w:rPr>
          <w:rFonts w:ascii="Times New Roman"/>
          <w:b w:val="0"/>
          <w:sz w:val="2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358" w:top="500" w:bottom="540" w:left="580" w:right="140"/>
          <w:pgNumType w:start="1"/>
        </w:sectPr>
      </w:pPr>
    </w:p>
    <w:p>
      <w:pPr>
        <w:pStyle w:val="BodyText"/>
        <w:spacing w:before="7" w:after="1"/>
        <w:rPr>
          <w:rFonts w:ascii="Times New Roman"/>
          <w:b w:val="0"/>
          <w:sz w:val="1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45"/>
              <w:rPr>
                <w:sz w:val="18"/>
              </w:rPr>
            </w:pPr>
            <w:r>
              <w:rPr>
                <w:sz w:val="18"/>
              </w:rPr>
              <w:t>(xviii) A2.1,A2.2, A2.4, A3.6, and A4.1 – flapless circuits</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6"/>
              <w:ind w:left="345"/>
              <w:rPr>
                <w:sz w:val="20"/>
              </w:rPr>
            </w:pPr>
            <w:r>
              <w:rPr>
                <w:sz w:val="20"/>
              </w:rPr>
              <w:t>(xix) A2.5 and A4.5 – Short field take-off and landings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(xvii) A2.3 and A4.2 – Cross-wind take-off and landings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422"/>
              <w:rPr>
                <w:sz w:val="18"/>
              </w:rPr>
            </w:pPr>
            <w:r>
              <w:rPr>
                <w:sz w:val="18"/>
              </w:rPr>
              <w:t>(xxiii) A6.4, A6.3 – Precautionary search and landing and partial engine failure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422"/>
              <w:rPr>
                <w:sz w:val="18"/>
              </w:rPr>
            </w:pPr>
            <w:r>
              <w:rPr>
                <w:sz w:val="18"/>
              </w:rPr>
              <w:t>(xxiv) A6.5 – Fire drill and system malfunctions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directs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11" w:footer="358" w:top="1100" w:bottom="540" w:left="580" w:right="140"/>
          <w:pgNumType w:start="2"/>
        </w:sectPr>
      </w:pPr>
    </w:p>
    <w:p>
      <w:pPr>
        <w:pStyle w:val="BodyText"/>
        <w:spacing w:before="7" w:after="1"/>
        <w:rPr>
          <w:rFonts w:ascii="Times New Roman"/>
          <w:b w:val="0"/>
          <w:sz w:val="1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 implement handover and takeover procedures for control of the aircraft;</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monitors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NTS1.3 Assess situations and make decisions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(d)</w:t>
            </w:r>
          </w:p>
        </w:tc>
        <w:tc>
          <w:tcPr>
            <w:tcW w:w="8489" w:type="dxa"/>
          </w:tcPr>
          <w:p>
            <w:pPr>
              <w:pStyle w:val="TableParagraph"/>
              <w:spacing w:before="25"/>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NTS2.1 Recognise and manage threats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0"/>
              <w:ind w:right="178"/>
              <w:jc w:val="right"/>
              <w:rPr>
                <w:b/>
                <w:sz w:val="18"/>
              </w:rPr>
            </w:pPr>
            <w:r>
              <w:rPr>
                <w:b/>
                <w:sz w:val="18"/>
              </w:rPr>
              <w:t>FIR-TE3.8</w:t>
            </w:r>
          </w:p>
        </w:tc>
        <w:tc>
          <w:tcPr>
            <w:tcW w:w="8489" w:type="dxa"/>
          </w:tcPr>
          <w:p>
            <w:pPr>
              <w:pStyle w:val="TableParagraph"/>
              <w:spacing w:before="20"/>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11" w:footer="358" w:top="1100" w:bottom="540" w:left="580" w:right="140"/>
        </w:sectPr>
      </w:pPr>
    </w:p>
    <w:p>
      <w:pPr>
        <w:pStyle w:val="BodyText"/>
        <w:spacing w:before="4" w:after="1"/>
        <w:rPr>
          <w:rFonts w:ascii="Times New Roman"/>
          <w:b w:val="0"/>
          <w:sz w:val="10"/>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78"/>
      </w:tblGrid>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tcPr>
          <w:p>
            <w:pPr>
              <w:pStyle w:val="TableParagraph"/>
              <w:numPr>
                <w:ilvl w:val="0"/>
                <w:numId w:val="3"/>
              </w:numPr>
              <w:tabs>
                <w:tab w:pos="707" w:val="left" w:leader="none"/>
                <w:tab w:pos="708" w:val="left" w:leader="none"/>
              </w:tabs>
              <w:spacing w:line="240" w:lineRule="auto" w:before="63"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1"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4254"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1"/>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11" w:footer="358" w:top="1100" w:bottom="540" w:left="580" w:right="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8400" from="41.16pt,810.359985pt" to="575.521pt,810.359985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5.450012pt;width:41.4pt;height:11pt;mso-position-horizontal-relative:page;mso-position-vertical-relative:page;z-index:-253157376" type="#_x0000_t202" filled="false" stroked="false">
          <v:textbox inset="0,0,0,0">
            <w:txbxContent>
              <w:p>
                <w:pPr>
                  <w:spacing w:line="203" w:lineRule="exact" w:before="0"/>
                  <w:ind w:left="20" w:right="0" w:firstLine="0"/>
                  <w:jc w:val="left"/>
                  <w:rPr>
                    <w:rFonts w:ascii="Calibri"/>
                    <w:sz w:val="18"/>
                  </w:rPr>
                </w:pPr>
                <w:r>
                  <w:rPr>
                    <w:rFonts w:ascii="Calibri"/>
                    <w:sz w:val="18"/>
                  </w:rPr>
                  <w:t>FIR-TE3-61</w:t>
                </w:r>
              </w:p>
            </w:txbxContent>
          </v:textbox>
          <w10:wrap type="none"/>
        </v:shape>
      </w:pict>
    </w:r>
    <w:r>
      <w:rPr/>
      <w:pict>
        <v:shape style="position:absolute;margin-left:274.763pt;margin-top:815.450012pt;width:45.95pt;height:11pt;mso-position-horizontal-relative:page;mso-position-vertical-relative:page;z-index:-25315635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15.450012pt;width:42.45pt;height:11pt;mso-position-horizontal-relative:page;mso-position-vertical-relative:page;z-index:-25315532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2256" from="41.16pt,810.359985pt" to="575.521pt,810.359985pt" stroked="true" strokeweight=".72pt" strokecolor="#000000">
          <v:stroke dashstyle="solid"/>
          <w10:wrap type="none"/>
        </v:line>
      </w:pict>
    </w:r>
    <w:r>
      <w:rPr/>
      <w:pict>
        <v:shape style="position:absolute;margin-left:41.599998pt;margin-top:815.450012pt;width:41.4pt;height:11pt;mso-position-horizontal-relative:page;mso-position-vertical-relative:page;z-index:-253151232" type="#_x0000_t202" filled="false" stroked="false">
          <v:textbox inset="0,0,0,0">
            <w:txbxContent>
              <w:p>
                <w:pPr>
                  <w:spacing w:line="203" w:lineRule="exact" w:before="0"/>
                  <w:ind w:left="20" w:right="0" w:firstLine="0"/>
                  <w:jc w:val="left"/>
                  <w:rPr>
                    <w:rFonts w:ascii="Calibri"/>
                    <w:sz w:val="18"/>
                  </w:rPr>
                </w:pPr>
                <w:r>
                  <w:rPr>
                    <w:rFonts w:ascii="Calibri"/>
                    <w:sz w:val="18"/>
                  </w:rPr>
                  <w:t>FIR-TE3-61</w:t>
                </w:r>
              </w:p>
            </w:txbxContent>
          </v:textbox>
          <w10:wrap type="none"/>
        </v:shape>
      </w:pict>
    </w:r>
    <w:r>
      <w:rPr/>
      <w:pict>
        <v:shape style="position:absolute;margin-left:274.763pt;margin-top:815.450012pt;width:45.95pt;height:11pt;mso-position-horizontal-relative:page;mso-position-vertical-relative:page;z-index:-25315020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15.450012pt;width:42.45pt;height:11pt;mso-position-horizontal-relative:page;mso-position-vertical-relative:page;z-index:-25314918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5.558983pt;width:549.4pt;height:30.05pt;mso-position-horizontal-relative:page;mso-position-vertical-relative:page;z-index:-253154304" coordorigin="672,511" coordsize="10988,601">
          <v:rect style="position:absolute;left:681;top:520;width:10968;height:291" filled="true" fillcolor="#f2f2f2" stroked="false">
            <v:fill type="solid"/>
          </v:rect>
          <v:line style="position:absolute" from="682,516" to="11650,516" stroked="true" strokeweight=".481pt" strokecolor="#000000">
            <v:stroke dashstyle="solid"/>
          </v:line>
          <v:rect style="position:absolute;left:681;top:811;width:10968;height:291" filled="true" fillcolor="#f2f2f2" stroked="false">
            <v:fill type="solid"/>
          </v:rect>
          <v:shape style="position:absolute;left:676;top:511;width:10973;height:601" coordorigin="677,511" coordsize="10973,601" path="m682,1106l11650,1106m677,511l677,1111e" filled="false" stroked="true" strokeweight=".481pt" strokecolor="#000000">
            <v:path arrowok="t"/>
            <v:stroke dashstyle="solid"/>
          </v:shape>
          <v:line style="position:absolute" from="11654,511" to="11654,1111" stroked="true" strokeweight=".48pt" strokecolor="#000000">
            <v:stroke dashstyle="solid"/>
          </v:line>
          <w10:wrap type="none"/>
        </v:group>
      </w:pict>
    </w:r>
    <w:r>
      <w:rPr/>
      <w:pict>
        <v:shape style="position:absolute;margin-left:34.520pt;margin-top:28.26346pt;width:530.35pt;height:24.65pt;mso-position-horizontal-relative:page;mso-position-vertical-relative:page;z-index:-253153280" type="#_x0000_t202" filled="false" stroked="false">
          <v:textbox inset="0,0,0,0">
            <w:txbxContent>
              <w:p>
                <w:pPr>
                  <w:pStyle w:val="BodyText"/>
                  <w:spacing w:before="12"/>
                  <w:ind w:left="20" w:right="-1"/>
                </w:pPr>
                <w:r>
                  <w:rPr/>
                  <w:t>LESSON TE3-61: PREC SEARCH &amp; LANDING AND SYSTEM MALFUNCTIONS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TE3-61 - Prec Search and system failures - pre-flight &amp; in-flight training plan &amp; student record</dc:title>
  <dcterms:created xsi:type="dcterms:W3CDTF">2021-11-09T23:35:11Z</dcterms:created>
  <dcterms:modified xsi:type="dcterms:W3CDTF">2021-11-09T23:35:11Z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