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TE3-39: CONFINED AREA OPERATIONS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381"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pre-flight brief for </w:t>
            </w:r>
            <w:r>
              <w:rPr>
                <w:b/>
                <w:sz w:val="18"/>
              </w:rPr>
              <w:t>Confined Area</w:t>
            </w:r>
            <w:r>
              <w:rPr>
                <w:b/>
                <w:spacing w:val="-3"/>
                <w:sz w:val="18"/>
              </w:rPr>
              <w:t> </w:t>
            </w:r>
            <w:r>
              <w:rPr>
                <w:b/>
                <w:sz w:val="18"/>
              </w:rPr>
              <w:t>Operations</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in-flight lesson for </w:t>
            </w:r>
            <w:r>
              <w:rPr>
                <w:b/>
                <w:sz w:val="18"/>
              </w:rPr>
              <w:t>Confined Area</w:t>
            </w:r>
            <w:r>
              <w:rPr>
                <w:b/>
                <w:spacing w:val="-4"/>
                <w:sz w:val="18"/>
              </w:rPr>
              <w:t> </w:t>
            </w:r>
            <w:r>
              <w:rPr>
                <w:b/>
                <w:sz w:val="18"/>
              </w:rPr>
              <w:t>Operations</w:t>
            </w:r>
          </w:p>
          <w:p>
            <w:pPr>
              <w:pStyle w:val="TableParagraph"/>
              <w:numPr>
                <w:ilvl w:val="0"/>
                <w:numId w:val="1"/>
              </w:numPr>
              <w:tabs>
                <w:tab w:pos="286" w:val="left" w:leader="none"/>
              </w:tabs>
              <w:spacing w:line="219" w:lineRule="exact" w:before="5" w:after="0"/>
              <w:ind w:left="285" w:right="0" w:hanging="219"/>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8" w:lineRule="exact" w:before="0" w:after="0"/>
              <w:ind w:left="285" w:right="0" w:hanging="219"/>
              <w:jc w:val="left"/>
              <w:rPr>
                <w:sz w:val="18"/>
              </w:rPr>
            </w:pPr>
            <w:r>
              <w:rPr>
                <w:sz w:val="18"/>
              </w:rPr>
              <w:t>The blueprint for the pre-flight brief and in-flight lesson is the operator’s approved lesson from their PPL/CPL</w:t>
            </w:r>
            <w:r>
              <w:rPr>
                <w:spacing w:val="-29"/>
                <w:sz w:val="18"/>
              </w:rPr>
              <w:t> </w:t>
            </w:r>
            <w:r>
              <w:rPr>
                <w:sz w:val="18"/>
              </w:rPr>
              <w:t>syllabus</w:t>
            </w:r>
          </w:p>
          <w:p>
            <w:pPr>
              <w:pStyle w:val="TableParagraph"/>
              <w:numPr>
                <w:ilvl w:val="0"/>
                <w:numId w:val="1"/>
              </w:numPr>
              <w:tabs>
                <w:tab w:pos="286" w:val="left" w:leader="none"/>
              </w:tabs>
              <w:spacing w:line="220" w:lineRule="exact"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2819"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spacing w:before="1"/>
              <w:rPr>
                <w:rFonts w:ascii="Times New Roman"/>
                <w:sz w:val="18"/>
              </w:rPr>
            </w:pPr>
          </w:p>
          <w:p>
            <w:pPr>
              <w:pStyle w:val="TableParagraph"/>
              <w:numPr>
                <w:ilvl w:val="0"/>
                <w:numId w:val="2"/>
              </w:numPr>
              <w:tabs>
                <w:tab w:pos="623" w:val="left" w:leader="none"/>
                <w:tab w:pos="624" w:val="left" w:leader="none"/>
              </w:tabs>
              <w:spacing w:line="240" w:lineRule="auto" w:before="0" w:after="0"/>
              <w:ind w:left="623" w:right="0" w:hanging="356"/>
              <w:jc w:val="left"/>
              <w:rPr>
                <w:sz w:val="18"/>
              </w:rPr>
            </w:pPr>
            <w:r>
              <w:rPr>
                <w:sz w:val="18"/>
              </w:rPr>
              <w:t>The trainee to read back the pre-flight brief on confined area operations if not already conducted in the previous</w:t>
            </w:r>
            <w:r>
              <w:rPr>
                <w:spacing w:val="-35"/>
                <w:sz w:val="18"/>
              </w:rPr>
              <w:t> </w:t>
            </w:r>
            <w:r>
              <w:rPr>
                <w:sz w:val="18"/>
              </w:rPr>
              <w:t>lesson.</w:t>
            </w:r>
          </w:p>
          <w:p>
            <w:pPr>
              <w:pStyle w:val="TableParagraph"/>
              <w:numPr>
                <w:ilvl w:val="0"/>
                <w:numId w:val="2"/>
              </w:numPr>
              <w:tabs>
                <w:tab w:pos="623" w:val="left" w:leader="none"/>
                <w:tab w:pos="624" w:val="left" w:leader="none"/>
              </w:tabs>
              <w:spacing w:line="240" w:lineRule="auto" w:before="43" w:after="0"/>
              <w:ind w:left="623" w:right="155" w:hanging="356"/>
              <w:jc w:val="left"/>
              <w:rPr>
                <w:sz w:val="18"/>
              </w:rPr>
            </w:pPr>
            <w:r>
              <w:rPr>
                <w:sz w:val="18"/>
              </w:rPr>
              <w:t>This lesson provides opportunity for the trainee FI to read back an airborne lesson without first seeing a demonstration. The trainee</w:t>
            </w:r>
            <w:r>
              <w:rPr>
                <w:spacing w:val="-2"/>
                <w:sz w:val="18"/>
              </w:rPr>
              <w:t> </w:t>
            </w:r>
            <w:r>
              <w:rPr>
                <w:sz w:val="18"/>
              </w:rPr>
              <w:t>should</w:t>
            </w:r>
            <w:r>
              <w:rPr>
                <w:spacing w:val="-1"/>
                <w:sz w:val="18"/>
              </w:rPr>
              <w:t> </w:t>
            </w:r>
            <w:r>
              <w:rPr>
                <w:sz w:val="18"/>
              </w:rPr>
              <w:t>be</w:t>
            </w:r>
            <w:r>
              <w:rPr>
                <w:spacing w:val="-2"/>
                <w:sz w:val="18"/>
              </w:rPr>
              <w:t> </w:t>
            </w:r>
            <w:r>
              <w:rPr>
                <w:sz w:val="18"/>
              </w:rPr>
              <w:t>able</w:t>
            </w:r>
            <w:r>
              <w:rPr>
                <w:spacing w:val="-1"/>
                <w:sz w:val="18"/>
              </w:rPr>
              <w:t> </w:t>
            </w:r>
            <w:r>
              <w:rPr>
                <w:sz w:val="18"/>
              </w:rPr>
              <w:t>to</w:t>
            </w:r>
            <w:r>
              <w:rPr>
                <w:spacing w:val="-4"/>
                <w:sz w:val="18"/>
              </w:rPr>
              <w:t> </w:t>
            </w:r>
            <w:r>
              <w:rPr>
                <w:sz w:val="18"/>
              </w:rPr>
              <w:t>plan</w:t>
            </w:r>
            <w:r>
              <w:rPr>
                <w:spacing w:val="-4"/>
                <w:sz w:val="18"/>
              </w:rPr>
              <w:t> </w:t>
            </w:r>
            <w:r>
              <w:rPr>
                <w:sz w:val="18"/>
              </w:rPr>
              <w:t>the</w:t>
            </w:r>
            <w:r>
              <w:rPr>
                <w:spacing w:val="-2"/>
                <w:sz w:val="18"/>
              </w:rPr>
              <w:t> </w:t>
            </w:r>
            <w:r>
              <w:rPr>
                <w:sz w:val="18"/>
              </w:rPr>
              <w:t>lesson</w:t>
            </w:r>
            <w:r>
              <w:rPr>
                <w:spacing w:val="-4"/>
                <w:sz w:val="18"/>
              </w:rPr>
              <w:t> </w:t>
            </w:r>
            <w:r>
              <w:rPr>
                <w:sz w:val="18"/>
              </w:rPr>
              <w:t>and</w:t>
            </w:r>
            <w:r>
              <w:rPr>
                <w:spacing w:val="-4"/>
                <w:sz w:val="18"/>
              </w:rPr>
              <w:t> </w:t>
            </w:r>
            <w:r>
              <w:rPr>
                <w:sz w:val="18"/>
              </w:rPr>
              <w:t>apply</w:t>
            </w:r>
            <w:r>
              <w:rPr>
                <w:spacing w:val="-3"/>
                <w:sz w:val="18"/>
              </w:rPr>
              <w:t> </w:t>
            </w:r>
            <w:r>
              <w:rPr>
                <w:sz w:val="18"/>
              </w:rPr>
              <w:t>AIT</w:t>
            </w:r>
            <w:r>
              <w:rPr>
                <w:spacing w:val="-5"/>
                <w:sz w:val="18"/>
              </w:rPr>
              <w:t> </w:t>
            </w:r>
            <w:r>
              <w:rPr>
                <w:sz w:val="18"/>
              </w:rPr>
              <w:t>principles</w:t>
            </w:r>
            <w:r>
              <w:rPr>
                <w:spacing w:val="-1"/>
                <w:sz w:val="18"/>
              </w:rPr>
              <w:t> </w:t>
            </w:r>
            <w:r>
              <w:rPr>
                <w:sz w:val="18"/>
              </w:rPr>
              <w:t>including</w:t>
            </w:r>
            <w:r>
              <w:rPr>
                <w:spacing w:val="-1"/>
                <w:sz w:val="18"/>
              </w:rPr>
              <w:t> </w:t>
            </w:r>
            <w:r>
              <w:rPr>
                <w:sz w:val="18"/>
              </w:rPr>
              <w:t>the</w:t>
            </w:r>
            <w:r>
              <w:rPr>
                <w:spacing w:val="-2"/>
                <w:sz w:val="18"/>
              </w:rPr>
              <w:t> </w:t>
            </w:r>
            <w:r>
              <w:rPr>
                <w:sz w:val="18"/>
              </w:rPr>
              <w:t>application</w:t>
            </w:r>
            <w:r>
              <w:rPr>
                <w:spacing w:val="-4"/>
                <w:sz w:val="18"/>
              </w:rPr>
              <w:t> </w:t>
            </w:r>
            <w:r>
              <w:rPr>
                <w:sz w:val="18"/>
              </w:rPr>
              <w:t>of</w:t>
            </w:r>
            <w:r>
              <w:rPr>
                <w:spacing w:val="-2"/>
                <w:sz w:val="18"/>
              </w:rPr>
              <w:t> </w:t>
            </w:r>
            <w:r>
              <w:rPr>
                <w:sz w:val="18"/>
              </w:rPr>
              <w:t>DDM</w:t>
            </w:r>
            <w:r>
              <w:rPr>
                <w:spacing w:val="-6"/>
                <w:sz w:val="18"/>
              </w:rPr>
              <w:t> </w:t>
            </w:r>
            <w:r>
              <w:rPr>
                <w:sz w:val="18"/>
              </w:rPr>
              <w:t>to</w:t>
            </w:r>
            <w:r>
              <w:rPr>
                <w:spacing w:val="-2"/>
                <w:sz w:val="18"/>
              </w:rPr>
              <w:t> </w:t>
            </w:r>
            <w:r>
              <w:rPr>
                <w:sz w:val="18"/>
              </w:rPr>
              <w:t>confined</w:t>
            </w:r>
            <w:r>
              <w:rPr>
                <w:spacing w:val="-1"/>
                <w:sz w:val="18"/>
              </w:rPr>
              <w:t> </w:t>
            </w:r>
            <w:r>
              <w:rPr>
                <w:sz w:val="18"/>
              </w:rPr>
              <w:t>area</w:t>
            </w:r>
            <w:r>
              <w:rPr>
                <w:spacing w:val="-1"/>
                <w:sz w:val="18"/>
              </w:rPr>
              <w:t> </w:t>
            </w:r>
            <w:r>
              <w:rPr>
                <w:sz w:val="18"/>
              </w:rPr>
              <w:t>operations.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40" w:lineRule="auto" w:before="40" w:after="0"/>
              <w:ind w:left="623" w:right="-29" w:hanging="356"/>
              <w:jc w:val="left"/>
              <w:rPr>
                <w:sz w:val="18"/>
              </w:rPr>
            </w:pPr>
            <w:r>
              <w:rPr>
                <w:sz w:val="18"/>
              </w:rPr>
              <w:t>The trainee should demonstrate the integration of HF/NTS items introduced in the pre-flight brief with emphasis on the application of situational awareness to identify potential threats to flight safety in the context of this</w:t>
            </w:r>
            <w:r>
              <w:rPr>
                <w:spacing w:val="-14"/>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459" w:hanging="356"/>
              <w:jc w:val="left"/>
              <w:rPr>
                <w:sz w:val="18"/>
              </w:rPr>
            </w:pPr>
            <w:r>
              <w:rPr>
                <w:sz w:val="18"/>
              </w:rPr>
              <w:t>The instructor should discuss and demonstrate the intervention and recovery techniques from tutorial 7 as they apply to this 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‘bloggs’ and complete a training record where the instructor role played a</w:t>
            </w:r>
            <w:r>
              <w:rPr>
                <w:spacing w:val="-20"/>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28"/>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 NTS1 and NTS2</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1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30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45"/>
              <w:rPr>
                <w:sz w:val="18"/>
              </w:rPr>
            </w:pPr>
            <w:r>
              <w:rPr>
                <w:sz w:val="18"/>
              </w:rPr>
              <w:t>(xxv) H6.4 – Confined area operations</w:t>
            </w:r>
          </w:p>
        </w:tc>
        <w:tc>
          <w:tcPr>
            <w:tcW w:w="564" w:type="dxa"/>
            <w:shd w:val="clear" w:color="auto" w:fill="F2F2F2"/>
          </w:tcPr>
          <w:p>
            <w:pPr>
              <w:pStyle w:val="TableParagraph"/>
              <w:spacing w:before="48"/>
              <w:ind w:left="1"/>
              <w:jc w:val="center"/>
              <w:rPr>
                <w:sz w:val="18"/>
              </w:rPr>
            </w:pPr>
            <w:r>
              <w:rPr>
                <w:w w:val="99"/>
                <w:sz w:val="18"/>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1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(iv) provide sufficient practice for the trainee to achieve the task;</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NTS1.3 Assess situations and make decisions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7" w:hRule="atLeast"/>
        </w:trPr>
        <w:tc>
          <w:tcPr>
            <w:tcW w:w="1212" w:type="dxa"/>
          </w:tcPr>
          <w:p>
            <w:pPr>
              <w:pStyle w:val="TableParagraph"/>
              <w:spacing w:before="25"/>
              <w:ind w:right="187"/>
              <w:jc w:val="right"/>
              <w:rPr>
                <w:sz w:val="18"/>
              </w:rPr>
            </w:pPr>
            <w:r>
              <w:rPr>
                <w:w w:val="95"/>
                <w:sz w:val="18"/>
              </w:rPr>
              <w:t>(d)</w:t>
            </w:r>
          </w:p>
        </w:tc>
        <w:tc>
          <w:tcPr>
            <w:tcW w:w="8489" w:type="dxa"/>
          </w:tcPr>
          <w:p>
            <w:pPr>
              <w:pStyle w:val="TableParagraph"/>
              <w:spacing w:before="25"/>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1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25"/>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25"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25"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25"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2"/>
                <w:sz w:val="18"/>
              </w:rPr>
              <w:t> </w:t>
            </w:r>
            <w:r>
              <w:rPr>
                <w:sz w:val="18"/>
              </w:rPr>
              <w:t>for</w:t>
            </w:r>
            <w:r>
              <w:rPr>
                <w:spacing w:val="-4"/>
                <w:sz w:val="18"/>
              </w:rPr>
              <w:t> </w:t>
            </w:r>
            <w:r>
              <w:rPr>
                <w:sz w:val="18"/>
              </w:rPr>
              <w:t>the</w:t>
            </w:r>
            <w:r>
              <w:rPr>
                <w:spacing w:val="-5"/>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3"/>
                <w:sz w:val="18"/>
              </w:rPr>
              <w:t> </w:t>
            </w:r>
            <w:r>
              <w:rPr>
                <w:sz w:val="18"/>
              </w:rPr>
              <w:t>RPL,</w:t>
            </w:r>
            <w:r>
              <w:rPr>
                <w:spacing w:val="-2"/>
                <w:sz w:val="18"/>
              </w:rPr>
              <w:t> </w:t>
            </w:r>
            <w:r>
              <w:rPr>
                <w:sz w:val="18"/>
              </w:rPr>
              <w:t>PPL</w:t>
            </w:r>
            <w:r>
              <w:rPr>
                <w:spacing w:val="-2"/>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2"/>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484"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6656"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25632" type="#_x0000_t202" filled="false" stroked="false">
          <v:textbox inset="0,0,0,0">
            <w:txbxContent>
              <w:p>
                <w:pPr>
                  <w:spacing w:line="203" w:lineRule="exact" w:before="0"/>
                  <w:ind w:left="20" w:right="0" w:firstLine="0"/>
                  <w:jc w:val="left"/>
                  <w:rPr>
                    <w:rFonts w:ascii="Calibri"/>
                    <w:sz w:val="18"/>
                  </w:rPr>
                </w:pPr>
                <w:r>
                  <w:rPr>
                    <w:rFonts w:ascii="Calibri"/>
                    <w:sz w:val="18"/>
                  </w:rPr>
                  <w:t>FIR-TE3-39</w:t>
                </w:r>
              </w:p>
            </w:txbxContent>
          </v:textbox>
          <w10:wrap type="none"/>
        </v:shape>
      </w:pict>
    </w:r>
    <w:r>
      <w:rPr/>
      <w:pict>
        <v:shape style="position:absolute;margin-left:274.763pt;margin-top:801.289978pt;width:45.95pt;height:11pt;mso-position-horizontal-relative:page;mso-position-vertical-relative:page;z-index:-25312460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2358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0512"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19488" type="#_x0000_t202" filled="false" stroked="false">
          <v:textbox inset="0,0,0,0">
            <w:txbxContent>
              <w:p>
                <w:pPr>
                  <w:spacing w:line="203" w:lineRule="exact" w:before="0"/>
                  <w:ind w:left="20" w:right="0" w:firstLine="0"/>
                  <w:jc w:val="left"/>
                  <w:rPr>
                    <w:rFonts w:ascii="Calibri"/>
                    <w:sz w:val="18"/>
                  </w:rPr>
                </w:pPr>
                <w:r>
                  <w:rPr>
                    <w:rFonts w:ascii="Calibri"/>
                    <w:sz w:val="18"/>
                  </w:rPr>
                  <w:t>FIR-TE3-39</w:t>
                </w:r>
              </w:p>
            </w:txbxContent>
          </v:textbox>
          <w10:wrap type="none"/>
        </v:shape>
      </w:pict>
    </w:r>
    <w:r>
      <w:rPr/>
      <w:pict>
        <v:shape style="position:absolute;margin-left:274.763pt;margin-top:801.289978pt;width:45.95pt;height:11pt;mso-position-horizontal-relative:page;mso-position-vertical-relative:page;z-index:-25311846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1744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22560"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51.35pt;height:13.15pt;mso-position-horizontal-relative:page;mso-position-vertical-relative:page;z-index:-253121536" type="#_x0000_t202" filled="false" stroked="false">
          <v:textbox inset="0,0,0,0">
            <w:txbxContent>
              <w:p>
                <w:pPr>
                  <w:pStyle w:val="BodyText"/>
                  <w:spacing w:before="12"/>
                  <w:ind w:left="20"/>
                </w:pPr>
                <w:r>
                  <w:rPr/>
                  <w:t>LESSON TE3-39: CONFINED AREA OPERATIONS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1" w:hanging="456"/>
      </w:pPr>
      <w:rPr>
        <w:rFonts w:hint="default"/>
        <w:lang w:val="en-au" w:eastAsia="en-au" w:bidi="en-au"/>
      </w:rPr>
    </w:lvl>
    <w:lvl w:ilvl="2">
      <w:start w:val="0"/>
      <w:numFmt w:val="bullet"/>
      <w:lvlText w:val="•"/>
      <w:lvlJc w:val="left"/>
      <w:pPr>
        <w:ind w:left="2503" w:hanging="456"/>
      </w:pPr>
      <w:rPr>
        <w:rFonts w:hint="default"/>
        <w:lang w:val="en-au" w:eastAsia="en-au" w:bidi="en-au"/>
      </w:rPr>
    </w:lvl>
    <w:lvl w:ilvl="3">
      <w:start w:val="0"/>
      <w:numFmt w:val="bullet"/>
      <w:lvlText w:val="•"/>
      <w:lvlJc w:val="left"/>
      <w:pPr>
        <w:ind w:left="3404" w:hanging="456"/>
      </w:pPr>
      <w:rPr>
        <w:rFonts w:hint="default"/>
        <w:lang w:val="en-au" w:eastAsia="en-au" w:bidi="en-au"/>
      </w:rPr>
    </w:lvl>
    <w:lvl w:ilvl="4">
      <w:start w:val="0"/>
      <w:numFmt w:val="bullet"/>
      <w:lvlText w:val="•"/>
      <w:lvlJc w:val="left"/>
      <w:pPr>
        <w:ind w:left="4306" w:hanging="456"/>
      </w:pPr>
      <w:rPr>
        <w:rFonts w:hint="default"/>
        <w:lang w:val="en-au" w:eastAsia="en-au" w:bidi="en-au"/>
      </w:rPr>
    </w:lvl>
    <w:lvl w:ilvl="5">
      <w:start w:val="0"/>
      <w:numFmt w:val="bullet"/>
      <w:lvlText w:val="•"/>
      <w:lvlJc w:val="left"/>
      <w:pPr>
        <w:ind w:left="5207" w:hanging="456"/>
      </w:pPr>
      <w:rPr>
        <w:rFonts w:hint="default"/>
        <w:lang w:val="en-au" w:eastAsia="en-au" w:bidi="en-au"/>
      </w:rPr>
    </w:lvl>
    <w:lvl w:ilvl="6">
      <w:start w:val="0"/>
      <w:numFmt w:val="bullet"/>
      <w:lvlText w:val="•"/>
      <w:lvlJc w:val="left"/>
      <w:pPr>
        <w:ind w:left="6109" w:hanging="456"/>
      </w:pPr>
      <w:rPr>
        <w:rFonts w:hint="default"/>
        <w:lang w:val="en-au" w:eastAsia="en-au" w:bidi="en-au"/>
      </w:rPr>
    </w:lvl>
    <w:lvl w:ilvl="7">
      <w:start w:val="0"/>
      <w:numFmt w:val="bullet"/>
      <w:lvlText w:val="•"/>
      <w:lvlJc w:val="left"/>
      <w:pPr>
        <w:ind w:left="7010"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TE3-39 Confined area operations Preflight &amp; Inflight Lesson plan Trng record</dc:title>
  <dcterms:created xsi:type="dcterms:W3CDTF">2021-11-10T00:59:33Z</dcterms:created>
  <dcterms:modified xsi:type="dcterms:W3CDTF">2021-11-10T00:59:33Z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