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sz w:val="20"/>
        </w:rPr>
      </w:pPr>
      <w:r>
        <w:rPr>
          <w:rFonts w:ascii="Times New Roman"/>
          <w:b w:val="0"/>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TE3-16 &amp; TE3-17: MEDIUM TURNS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sz w:val="2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Medium</w:t>
            </w:r>
            <w:r>
              <w:rPr>
                <w:b/>
                <w:spacing w:val="-9"/>
                <w:sz w:val="18"/>
              </w:rPr>
              <w:t> </w:t>
            </w:r>
            <w:r>
              <w:rPr>
                <w:b/>
                <w:sz w:val="18"/>
              </w:rPr>
              <w:t>Turns</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b/>
                <w:sz w:val="18"/>
              </w:rPr>
            </w:pPr>
            <w:r>
              <w:rPr>
                <w:sz w:val="18"/>
              </w:rPr>
              <w:t>Read back of long brief for </w:t>
            </w:r>
            <w:r>
              <w:rPr>
                <w:b/>
                <w:sz w:val="18"/>
              </w:rPr>
              <w:t>Medium</w:t>
            </w:r>
            <w:r>
              <w:rPr>
                <w:b/>
                <w:spacing w:val="-7"/>
                <w:sz w:val="18"/>
              </w:rPr>
              <w:t> </w:t>
            </w:r>
            <w:r>
              <w:rPr>
                <w:b/>
                <w:sz w:val="18"/>
              </w:rPr>
              <w:t>Turns</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675" w:hRule="atLeast"/>
        </w:trPr>
        <w:tc>
          <w:tcPr>
            <w:tcW w:w="10915" w:type="dxa"/>
            <w:gridSpan w:val="7"/>
          </w:tcPr>
          <w:p>
            <w:pPr>
              <w:pStyle w:val="TableParagraph"/>
              <w:spacing w:before="20"/>
              <w:ind w:left="55"/>
              <w:rPr>
                <w:b/>
                <w:sz w:val="18"/>
              </w:rPr>
            </w:pPr>
            <w:r>
              <w:rPr>
                <w:b/>
                <w:sz w:val="18"/>
              </w:rPr>
              <w:t>Training Notes</w:t>
            </w:r>
          </w:p>
          <w:p>
            <w:pPr>
              <w:pStyle w:val="TableParagraph"/>
              <w:spacing w:before="7"/>
              <w:ind w:left="196" w:right="113"/>
              <w:rPr>
                <w:sz w:val="18"/>
              </w:rPr>
            </w:pPr>
            <w:r>
              <w:rPr>
                <w:sz w:val="18"/>
              </w:rPr>
              <w:t>It is expected that the trainee instructor will be comfortable with the long brief format and may demonstrate competency to standard 2 in some areas.</w:t>
            </w:r>
          </w:p>
          <w:p>
            <w:pPr>
              <w:pStyle w:val="TableParagraph"/>
              <w:spacing w:line="205" w:lineRule="exact"/>
              <w:ind w:left="196"/>
              <w:rPr>
                <w:sz w:val="18"/>
              </w:rPr>
            </w:pPr>
            <w:r>
              <w:rPr>
                <w:sz w:val="18"/>
              </w:rPr>
              <w:t>The long briefing should address</w:t>
            </w:r>
          </w:p>
          <w:p>
            <w:pPr>
              <w:pStyle w:val="TableParagraph"/>
              <w:numPr>
                <w:ilvl w:val="0"/>
                <w:numId w:val="2"/>
              </w:numPr>
              <w:tabs>
                <w:tab w:pos="621" w:val="left" w:leader="none"/>
                <w:tab w:pos="622" w:val="left" w:leader="none"/>
              </w:tabs>
              <w:spacing w:line="220" w:lineRule="exact" w:before="0" w:after="0"/>
              <w:ind w:left="621" w:right="0" w:hanging="361"/>
              <w:jc w:val="left"/>
              <w:rPr>
                <w:rFonts w:ascii="Symbol" w:hAnsi="Symbol"/>
                <w:sz w:val="18"/>
              </w:rPr>
            </w:pPr>
            <w:r>
              <w:rPr>
                <w:sz w:val="18"/>
              </w:rPr>
              <w:t>Aerodynamic forces acting on the aeroplane during a</w:t>
            </w:r>
            <w:r>
              <w:rPr>
                <w:spacing w:val="-10"/>
                <w:sz w:val="18"/>
              </w:rPr>
              <w:t> </w:t>
            </w:r>
            <w:r>
              <w:rPr>
                <w:sz w:val="18"/>
              </w:rPr>
              <w:t>turn</w:t>
            </w:r>
          </w:p>
          <w:p>
            <w:pPr>
              <w:pStyle w:val="TableParagraph"/>
              <w:numPr>
                <w:ilvl w:val="0"/>
                <w:numId w:val="2"/>
              </w:numPr>
              <w:tabs>
                <w:tab w:pos="621" w:val="left" w:leader="none"/>
                <w:tab w:pos="622" w:val="left" w:leader="none"/>
              </w:tabs>
              <w:spacing w:line="219" w:lineRule="exact" w:before="0" w:after="0"/>
              <w:ind w:left="621" w:right="0" w:hanging="361"/>
              <w:jc w:val="left"/>
              <w:rPr>
                <w:rFonts w:ascii="Symbol" w:hAnsi="Symbol"/>
                <w:sz w:val="18"/>
              </w:rPr>
            </w:pPr>
            <w:r>
              <w:rPr>
                <w:sz w:val="18"/>
              </w:rPr>
              <w:t>Adverse yaw</w:t>
            </w:r>
          </w:p>
          <w:p>
            <w:pPr>
              <w:pStyle w:val="TableParagraph"/>
              <w:numPr>
                <w:ilvl w:val="0"/>
                <w:numId w:val="2"/>
              </w:numPr>
              <w:tabs>
                <w:tab w:pos="621" w:val="left" w:leader="none"/>
                <w:tab w:pos="622" w:val="left" w:leader="none"/>
              </w:tabs>
              <w:spacing w:line="218" w:lineRule="exact" w:before="0" w:after="0"/>
              <w:ind w:left="621" w:right="0" w:hanging="361"/>
              <w:jc w:val="left"/>
              <w:rPr>
                <w:rFonts w:ascii="Symbol" w:hAnsi="Symbol"/>
                <w:sz w:val="18"/>
              </w:rPr>
            </w:pPr>
            <w:r>
              <w:rPr>
                <w:sz w:val="18"/>
              </w:rPr>
              <w:t>Over bank/under bank</w:t>
            </w:r>
            <w:r>
              <w:rPr>
                <w:spacing w:val="-2"/>
                <w:sz w:val="18"/>
              </w:rPr>
              <w:t> </w:t>
            </w:r>
            <w:r>
              <w:rPr>
                <w:sz w:val="18"/>
              </w:rPr>
              <w:t>tendency</w:t>
            </w:r>
          </w:p>
          <w:p>
            <w:pPr>
              <w:pStyle w:val="TableParagraph"/>
              <w:numPr>
                <w:ilvl w:val="0"/>
                <w:numId w:val="2"/>
              </w:numPr>
              <w:tabs>
                <w:tab w:pos="621" w:val="left" w:leader="none"/>
                <w:tab w:pos="622" w:val="left" w:leader="none"/>
              </w:tabs>
              <w:spacing w:line="219" w:lineRule="exact" w:before="0" w:after="0"/>
              <w:ind w:left="621" w:right="0" w:hanging="361"/>
              <w:jc w:val="left"/>
              <w:rPr>
                <w:rFonts w:ascii="Symbol" w:hAnsi="Symbol"/>
                <w:sz w:val="18"/>
              </w:rPr>
            </w:pPr>
            <w:r>
              <w:rPr>
                <w:sz w:val="18"/>
              </w:rPr>
              <w:t>Attitude flying</w:t>
            </w:r>
          </w:p>
          <w:p>
            <w:pPr>
              <w:pStyle w:val="TableParagraph"/>
              <w:numPr>
                <w:ilvl w:val="0"/>
                <w:numId w:val="2"/>
              </w:numPr>
              <w:tabs>
                <w:tab w:pos="621" w:val="left" w:leader="none"/>
                <w:tab w:pos="622" w:val="left" w:leader="none"/>
              </w:tabs>
              <w:spacing w:line="219" w:lineRule="exact" w:before="1" w:after="0"/>
              <w:ind w:left="621" w:right="0" w:hanging="361"/>
              <w:jc w:val="left"/>
              <w:rPr>
                <w:rFonts w:ascii="Symbol" w:hAnsi="Symbol"/>
                <w:sz w:val="18"/>
              </w:rPr>
            </w:pPr>
            <w:r>
              <w:rPr>
                <w:sz w:val="18"/>
              </w:rPr>
              <w:t>Medium level</w:t>
            </w:r>
            <w:r>
              <w:rPr>
                <w:spacing w:val="1"/>
                <w:sz w:val="18"/>
              </w:rPr>
              <w:t> </w:t>
            </w:r>
            <w:r>
              <w:rPr>
                <w:sz w:val="18"/>
              </w:rPr>
              <w:t>turns</w:t>
            </w:r>
          </w:p>
          <w:p>
            <w:pPr>
              <w:pStyle w:val="TableParagraph"/>
              <w:numPr>
                <w:ilvl w:val="0"/>
                <w:numId w:val="2"/>
              </w:numPr>
              <w:tabs>
                <w:tab w:pos="621" w:val="left" w:leader="none"/>
                <w:tab w:pos="622" w:val="left" w:leader="none"/>
              </w:tabs>
              <w:spacing w:line="218" w:lineRule="exact" w:before="0" w:after="0"/>
              <w:ind w:left="621" w:right="0" w:hanging="361"/>
              <w:jc w:val="left"/>
              <w:rPr>
                <w:rFonts w:ascii="Symbol" w:hAnsi="Symbol"/>
                <w:sz w:val="18"/>
              </w:rPr>
            </w:pPr>
            <w:r>
              <w:rPr>
                <w:sz w:val="18"/>
              </w:rPr>
              <w:t>Spiral dive introduction - causes, symptoms, recognition and recovery</w:t>
            </w:r>
            <w:r>
              <w:rPr>
                <w:spacing w:val="-10"/>
                <w:sz w:val="18"/>
              </w:rPr>
              <w:t> </w:t>
            </w:r>
            <w:r>
              <w:rPr>
                <w:sz w:val="18"/>
              </w:rPr>
              <w:t>technique</w:t>
            </w:r>
          </w:p>
          <w:p>
            <w:pPr>
              <w:pStyle w:val="TableParagraph"/>
              <w:numPr>
                <w:ilvl w:val="0"/>
                <w:numId w:val="2"/>
              </w:numPr>
              <w:tabs>
                <w:tab w:pos="621" w:val="left" w:leader="none"/>
                <w:tab w:pos="622" w:val="left" w:leader="none"/>
              </w:tabs>
              <w:spacing w:line="241" w:lineRule="exact" w:before="0" w:after="0"/>
              <w:ind w:left="621" w:right="0" w:hanging="361"/>
              <w:jc w:val="left"/>
              <w:rPr>
                <w:rFonts w:ascii="Symbol" w:hAnsi="Symbol"/>
                <w:sz w:val="20"/>
              </w:rPr>
            </w:pPr>
            <w:r>
              <w:rPr>
                <w:sz w:val="18"/>
              </w:rPr>
              <w:t>Instrument</w:t>
            </w:r>
            <w:r>
              <w:rPr>
                <w:spacing w:val="-1"/>
                <w:sz w:val="18"/>
              </w:rPr>
              <w:t> </w:t>
            </w:r>
            <w:r>
              <w:rPr>
                <w:sz w:val="18"/>
              </w:rPr>
              <w:t>indications</w:t>
            </w:r>
          </w:p>
          <w:p>
            <w:pPr>
              <w:pStyle w:val="TableParagraph"/>
              <w:numPr>
                <w:ilvl w:val="0"/>
                <w:numId w:val="2"/>
              </w:numPr>
              <w:tabs>
                <w:tab w:pos="621" w:val="left" w:leader="none"/>
                <w:tab w:pos="622" w:val="left" w:leader="none"/>
              </w:tabs>
              <w:spacing w:line="243" w:lineRule="exact" w:before="0" w:after="0"/>
              <w:ind w:left="621" w:right="0" w:hanging="361"/>
              <w:jc w:val="left"/>
              <w:rPr>
                <w:rFonts w:ascii="Symbol" w:hAnsi="Symbol"/>
                <w:sz w:val="20"/>
              </w:rPr>
            </w:pPr>
            <w:r>
              <w:rPr>
                <w:sz w:val="18"/>
              </w:rPr>
              <w:t>Application in</w:t>
            </w:r>
            <w:r>
              <w:rPr>
                <w:spacing w:val="-2"/>
                <w:sz w:val="18"/>
              </w:rPr>
              <w:t> </w:t>
            </w:r>
            <w:r>
              <w:rPr>
                <w:sz w:val="18"/>
              </w:rPr>
              <w:t>flight</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6"/>
        <w:gridCol w:w="566"/>
      </w:tblGrid>
      <w:tr>
        <w:trPr>
          <w:trHeight w:val="410" w:hRule="atLeast"/>
        </w:trPr>
        <w:tc>
          <w:tcPr>
            <w:tcW w:w="1106" w:type="dxa"/>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2"/>
              <w:rPr>
                <w:b/>
                <w:sz w:val="18"/>
              </w:rPr>
            </w:pPr>
            <w:r>
              <w:rPr>
                <w:b/>
                <w:sz w:val="18"/>
              </w:rPr>
              <w:t>MOS Reference</w:t>
            </w:r>
          </w:p>
        </w:tc>
        <w:tc>
          <w:tcPr>
            <w:tcW w:w="8647"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30" w:hRule="atLeast"/>
        </w:trPr>
        <w:tc>
          <w:tcPr>
            <w:tcW w:w="1106" w:type="dxa"/>
            <w:vMerge/>
            <w:tcBorders>
              <w:top w:val="nil"/>
            </w:tcBorders>
            <w:shd w:val="clear" w:color="auto" w:fill="F2F2F2"/>
            <w:textDirection w:val="btLr"/>
          </w:tcPr>
          <w:p>
            <w:pPr>
              <w:rPr>
                <w:sz w:val="2"/>
                <w:szCs w:val="2"/>
              </w:rPr>
            </w:pPr>
          </w:p>
        </w:tc>
        <w:tc>
          <w:tcPr>
            <w:tcW w:w="8647"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4"/>
              <w:ind w:left="141"/>
              <w:rPr>
                <w:b/>
                <w:sz w:val="18"/>
              </w:rPr>
            </w:pPr>
            <w:r>
              <w:rPr>
                <w:b/>
                <w:sz w:val="18"/>
              </w:rPr>
              <w:t>Planned</w:t>
            </w:r>
          </w:p>
        </w:tc>
        <w:tc>
          <w:tcPr>
            <w:tcW w:w="566" w:type="dxa"/>
            <w:vMerge w:val="restart"/>
            <w:shd w:val="clear" w:color="auto" w:fill="F2F2F2"/>
            <w:textDirection w:val="btLr"/>
          </w:tcPr>
          <w:p>
            <w:pPr>
              <w:pStyle w:val="TableParagraph"/>
              <w:spacing w:before="90"/>
              <w:ind w:left="136"/>
              <w:rPr>
                <w:b/>
                <w:sz w:val="16"/>
              </w:rPr>
            </w:pPr>
            <w:r>
              <w:rPr>
                <w:b/>
                <w:sz w:val="16"/>
              </w:rPr>
              <w:t>Achieved</w:t>
            </w:r>
          </w:p>
        </w:tc>
      </w:tr>
      <w:tr>
        <w:trPr>
          <w:trHeight w:val="146" w:hRule="atLeast"/>
        </w:trPr>
        <w:tc>
          <w:tcPr>
            <w:tcW w:w="1106" w:type="dxa"/>
            <w:vMerge/>
            <w:tcBorders>
              <w:top w:val="nil"/>
            </w:tcBorders>
            <w:shd w:val="clear" w:color="auto" w:fill="F2F2F2"/>
            <w:textDirection w:val="btLr"/>
          </w:tcPr>
          <w:p>
            <w:pPr>
              <w:rPr>
                <w:sz w:val="2"/>
                <w:szCs w:val="2"/>
              </w:rPr>
            </w:pPr>
          </w:p>
        </w:tc>
        <w:tc>
          <w:tcPr>
            <w:tcW w:w="8647"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6" w:type="dxa"/>
            <w:vMerge/>
            <w:tcBorders>
              <w:top w:val="nil"/>
            </w:tcBorders>
            <w:shd w:val="clear" w:color="auto" w:fill="F2F2F2"/>
            <w:textDirection w:val="btLr"/>
          </w:tcPr>
          <w:p>
            <w:pPr>
              <w:rPr>
                <w:sz w:val="2"/>
                <w:szCs w:val="2"/>
              </w:rPr>
            </w:pPr>
          </w:p>
        </w:tc>
      </w:tr>
      <w:tr>
        <w:trPr>
          <w:trHeight w:val="287" w:hRule="atLeast"/>
        </w:trPr>
        <w:tc>
          <w:tcPr>
            <w:tcW w:w="1106" w:type="dxa"/>
          </w:tcPr>
          <w:p>
            <w:pPr>
              <w:pStyle w:val="TableParagraph"/>
              <w:spacing w:before="23"/>
              <w:ind w:right="124"/>
              <w:jc w:val="right"/>
              <w:rPr>
                <w:b/>
                <w:sz w:val="18"/>
              </w:rPr>
            </w:pPr>
            <w:r>
              <w:rPr>
                <w:b/>
                <w:sz w:val="18"/>
              </w:rPr>
              <w:t>FIR-TE3.2</w:t>
            </w:r>
          </w:p>
        </w:tc>
        <w:tc>
          <w:tcPr>
            <w:tcW w:w="8647" w:type="dxa"/>
          </w:tcPr>
          <w:p>
            <w:pPr>
              <w:pStyle w:val="TableParagraph"/>
              <w:spacing w:before="23"/>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ight="46"/>
              <w:rPr>
                <w:sz w:val="18"/>
              </w:rPr>
            </w:pPr>
            <w:r>
              <w:rPr>
                <w:sz w:val="18"/>
              </w:rPr>
              <w:t>applies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(d)</w:t>
            </w:r>
          </w:p>
        </w:tc>
        <w:tc>
          <w:tcPr>
            <w:tcW w:w="8647" w:type="dxa"/>
          </w:tcPr>
          <w:p>
            <w:pPr>
              <w:pStyle w:val="TableParagraph"/>
              <w:spacing w:before="27"/>
              <w:ind w:left="26" w:right="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0"/>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sz w:val="20"/>
        </w:rPr>
      </w:pPr>
      <w:r>
        <w:rPr>
          <w:rFonts w:ascii="Times New Roman"/>
          <w:b w:val="0"/>
          <w:sz w:val="20"/>
        </w:rPr>
        <w:pict>
          <v:shape style="width:549pt;height:19.2pt;mso-position-horizontal-relative:char;mso-position-vertical-relative:line" type="#_x0000_t202" filled="true" fillcolor="#f2f2f2" stroked="true" strokeweight=".48pt" strokecolor="#000000">
            <w10:anchorlock/>
            <v:textbox inset="0,0,0,0">
              <w:txbxContent>
                <w:p>
                  <w:pPr>
                    <w:pStyle w:val="BodyText"/>
                    <w:spacing w:before="55"/>
                    <w:ind w:left="28"/>
                  </w:pPr>
                  <w:r>
                    <w:rPr/>
                    <w:t>LESSON TE3-16 &amp; TE3-17: MEDIUM TURNS – LONG BRIEF</w:t>
                  </w:r>
                </w:p>
              </w:txbxContent>
            </v:textbox>
            <v:fill type="solid"/>
            <v:stroke dashstyle="solid"/>
          </v:shape>
        </w:pict>
      </w:r>
      <w:r>
        <w:rPr>
          <w:rFonts w:ascii="Times New Roman"/>
          <w:b w:val="0"/>
          <w:sz w:val="20"/>
        </w:rPr>
      </w:r>
    </w:p>
    <w:p>
      <w:pPr>
        <w:pStyle w:val="BodyText"/>
        <w:spacing w:before="10"/>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6"/>
        <w:gridCol w:w="566"/>
      </w:tblGrid>
      <w:tr>
        <w:trPr>
          <w:trHeight w:val="409" w:hRule="atLeast"/>
        </w:trPr>
        <w:tc>
          <w:tcPr>
            <w:tcW w:w="1106" w:type="dxa"/>
            <w:gridSpan w:val="2"/>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5"/>
              <w:rPr>
                <w:b/>
                <w:sz w:val="18"/>
              </w:rPr>
            </w:pPr>
            <w:r>
              <w:rPr>
                <w:b/>
                <w:sz w:val="18"/>
              </w:rPr>
              <w:t>MOS Reference</w:t>
            </w:r>
          </w:p>
        </w:tc>
        <w:tc>
          <w:tcPr>
            <w:tcW w:w="8647"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1" w:lineRule="exact" w:before="1"/>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32"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4"/>
              <w:ind w:left="143"/>
              <w:rPr>
                <w:b/>
                <w:sz w:val="18"/>
              </w:rPr>
            </w:pPr>
            <w:r>
              <w:rPr>
                <w:b/>
                <w:sz w:val="18"/>
              </w:rPr>
              <w:t>Planned</w:t>
            </w:r>
          </w:p>
        </w:tc>
        <w:tc>
          <w:tcPr>
            <w:tcW w:w="566" w:type="dxa"/>
            <w:vMerge w:val="restart"/>
            <w:shd w:val="clear" w:color="auto" w:fill="F2F2F2"/>
            <w:textDirection w:val="btLr"/>
          </w:tcPr>
          <w:p>
            <w:pPr>
              <w:pStyle w:val="TableParagraph"/>
              <w:spacing w:before="90"/>
              <w:ind w:left="138"/>
              <w:rPr>
                <w:b/>
                <w:sz w:val="16"/>
              </w:rPr>
            </w:pPr>
            <w:r>
              <w:rPr>
                <w:b/>
                <w:sz w:val="16"/>
              </w:rPr>
              <w:t>Achieved</w:t>
            </w:r>
          </w:p>
        </w:tc>
      </w:tr>
      <w:tr>
        <w:trPr>
          <w:trHeight w:val="145" w:hRule="atLeast"/>
        </w:trPr>
        <w:tc>
          <w:tcPr>
            <w:tcW w:w="1106" w:type="dxa"/>
            <w:gridSpan w:val="2"/>
            <w:vMerge/>
            <w:tcBorders>
              <w:top w:val="nil"/>
            </w:tcBorders>
            <w:shd w:val="clear" w:color="auto" w:fill="F2F2F2"/>
            <w:textDirection w:val="btLr"/>
          </w:tcPr>
          <w:p>
            <w:pPr>
              <w:rPr>
                <w:sz w:val="2"/>
                <w:szCs w:val="2"/>
              </w:rPr>
            </w:pPr>
          </w:p>
        </w:tc>
        <w:tc>
          <w:tcPr>
            <w:tcW w:w="8647"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6" w:type="dxa"/>
            <w:vMerge/>
            <w:tcBorders>
              <w:top w:val="nil"/>
            </w:tcBorders>
            <w:shd w:val="clear" w:color="auto" w:fill="F2F2F2"/>
            <w:textDirection w:val="btLr"/>
          </w:tcPr>
          <w:p>
            <w:pPr>
              <w:rPr>
                <w:sz w:val="2"/>
                <w:szCs w:val="2"/>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101" w:hanging="360"/>
              <w:rPr>
                <w:sz w:val="18"/>
              </w:rPr>
            </w:pPr>
            <w:r>
              <w:rPr>
                <w:sz w:val="18"/>
              </w:rPr>
              <w:t>(f) apply appropriate instructional techniques; with instruction to the point using clear and deliberate speech;</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6" w:hRule="atLeast"/>
        </w:trPr>
        <w:tc>
          <w:tcPr>
            <w:tcW w:w="1106" w:type="dxa"/>
            <w:gridSpan w:val="2"/>
          </w:tcPr>
          <w:p>
            <w:pPr>
              <w:pStyle w:val="TableParagraph"/>
              <w:spacing w:before="27"/>
              <w:ind w:left="686"/>
              <w:rPr>
                <w:sz w:val="18"/>
              </w:rPr>
            </w:pPr>
            <w:r>
              <w:rPr>
                <w:sz w:val="18"/>
              </w:rPr>
              <w:t>(e)</w:t>
            </w:r>
          </w:p>
        </w:tc>
        <w:tc>
          <w:tcPr>
            <w:tcW w:w="8647" w:type="dxa"/>
          </w:tcPr>
          <w:p>
            <w:pPr>
              <w:pStyle w:val="TableParagraph"/>
              <w:spacing w:before="27"/>
              <w:ind w:left="26" w:right="101"/>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(ii) A3.4 – Medium Turns (level)</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321" w:hRule="atLeast"/>
        </w:trPr>
        <w:tc>
          <w:tcPr>
            <w:tcW w:w="962" w:type="dxa"/>
            <w:shd w:val="clear" w:color="auto" w:fill="EEECE1"/>
          </w:tcPr>
          <w:p>
            <w:pPr>
              <w:pStyle w:val="TableParagraph"/>
              <w:spacing w:before="56"/>
              <w:ind w:left="26"/>
              <w:rPr>
                <w:sz w:val="18"/>
              </w:rPr>
            </w:pPr>
            <w:r>
              <w:rPr>
                <w:sz w:val="18"/>
              </w:rPr>
              <w:t>MOS Ref</w:t>
            </w:r>
          </w:p>
        </w:tc>
        <w:tc>
          <w:tcPr>
            <w:tcW w:w="9923"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3"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3"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2"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 w:after="1"/>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0"/>
              <w:ind w:left="3100" w:right="684" w:hanging="2388"/>
              <w:rPr>
                <w:b/>
                <w:sz w:val="20"/>
              </w:rPr>
            </w:pPr>
            <w:r>
              <w:rPr>
                <w:b/>
                <w:sz w:val="20"/>
              </w:rPr>
              <w:t>COMMENTS AND OUTCOME (INCLUDING ELEMENTS &amp; PERFORMANCE CRITERIA THAT REQUIRE CONSOLIDATION AND/OR REMEDIAL TRAINING)</w:t>
            </w:r>
          </w:p>
        </w:tc>
      </w:tr>
      <w:tr>
        <w:trPr>
          <w:trHeight w:val="2874" w:hRule="atLeast"/>
        </w:trPr>
        <w:tc>
          <w:tcPr>
            <w:tcW w:w="10915" w:type="dxa"/>
            <w:gridSpan w:val="2"/>
            <w:tcBorders>
              <w:bottom w:val="single" w:sz="8" w:space="0" w:color="000000"/>
            </w:tcBorders>
          </w:tcPr>
          <w:p>
            <w:pPr>
              <w:pStyle w:val="TableParagraph"/>
              <w:rPr>
                <w:rFonts w:ascii="Times New Roman"/>
                <w:sz w:val="18"/>
              </w:rPr>
            </w:pPr>
          </w:p>
        </w:tc>
      </w:tr>
      <w:tr>
        <w:trPr>
          <w:trHeight w:val="306" w:hRule="atLeast"/>
        </w:trPr>
        <w:tc>
          <w:tcPr>
            <w:tcW w:w="5628" w:type="dxa"/>
            <w:tcBorders>
              <w:top w:val="single" w:sz="8" w:space="0" w:color="000000"/>
            </w:tcBorders>
            <w:shd w:val="clear" w:color="auto" w:fill="F2F2F2"/>
          </w:tcPr>
          <w:p>
            <w:pPr>
              <w:pStyle w:val="TableParagraph"/>
              <w:spacing w:before="21"/>
              <w:ind w:left="55"/>
              <w:rPr>
                <w:b/>
                <w:sz w:val="22"/>
              </w:rPr>
            </w:pPr>
            <w:r>
              <w:rPr>
                <w:b/>
                <w:sz w:val="22"/>
              </w:rPr>
              <w:t>Instructor’s Signature &amp; Date</w:t>
            </w:r>
          </w:p>
        </w:tc>
        <w:tc>
          <w:tcPr>
            <w:tcW w:w="5287" w:type="dxa"/>
            <w:tcBorders>
              <w:top w:val="single" w:sz="8" w:space="0" w:color="000000"/>
            </w:tcBorders>
            <w:shd w:val="clear" w:color="auto" w:fill="F2F2F2"/>
          </w:tcPr>
          <w:p>
            <w:pPr>
              <w:pStyle w:val="TableParagraph"/>
              <w:spacing w:before="21"/>
              <w:ind w:left="55"/>
              <w:rPr>
                <w:b/>
                <w:sz w:val="22"/>
              </w:rPr>
            </w:pPr>
            <w:r>
              <w:rPr>
                <w:b/>
                <w:sz w:val="22"/>
              </w:rPr>
              <w:t>Trainee’s Signature &amp; Date</w:t>
            </w:r>
          </w:p>
        </w:tc>
      </w:tr>
      <w:tr>
        <w:trPr>
          <w:trHeight w:val="436"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2498944"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497920" type="#_x0000_t202" filled="false" stroked="false">
          <v:textbox inset="0,0,0,0">
            <w:txbxContent>
              <w:p>
                <w:pPr>
                  <w:spacing w:before="14"/>
                  <w:ind w:left="20" w:right="0" w:firstLine="0"/>
                  <w:jc w:val="left"/>
                  <w:rPr>
                    <w:sz w:val="18"/>
                  </w:rPr>
                </w:pPr>
                <w:r>
                  <w:rPr>
                    <w:sz w:val="18"/>
                  </w:rPr>
                  <w:t>FIR-TE3-16 &amp; TE3-17</w:t>
                </w:r>
              </w:p>
            </w:txbxContent>
          </v:textbox>
          <w10:wrap type="none"/>
        </v:shape>
      </w:pict>
    </w:r>
    <w:r>
      <w:rPr/>
      <w:pict>
        <v:shape style="position:absolute;margin-left:272.95401pt;margin-top:802.052551pt;width:49.65pt;height:12.1pt;mso-position-horizontal-relative:page;mso-position-vertical-relative:page;z-index:-25249689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49587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5"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6" w:hanging="360"/>
      </w:pPr>
      <w:rPr>
        <w:rFonts w:hint="default"/>
        <w:lang w:val="en-au" w:eastAsia="en-au" w:bidi="en-au"/>
      </w:rPr>
    </w:lvl>
    <w:lvl w:ilvl="6">
      <w:start w:val="0"/>
      <w:numFmt w:val="bullet"/>
      <w:lvlText w:val="•"/>
      <w:lvlJc w:val="left"/>
      <w:pPr>
        <w:ind w:left="6171"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2" w:hanging="360"/>
      </w:pPr>
      <w:rPr>
        <w:rFonts w:hint="default"/>
        <w:lang w:val="en-au" w:eastAsia="en-au" w:bidi="en-au"/>
      </w:rPr>
    </w:lvl>
  </w:abstractNum>
  <w:abstractNum w:abstractNumId="1">
    <w:multiLevelType w:val="hybridMultilevel"/>
    <w:lvl w:ilvl="0">
      <w:start w:val="0"/>
      <w:numFmt w:val="bullet"/>
      <w:lvlText w:val=""/>
      <w:lvlJc w:val="left"/>
      <w:pPr>
        <w:ind w:left="621" w:hanging="360"/>
      </w:pPr>
      <w:rPr>
        <w:rFonts w:hint="default"/>
        <w:w w:val="100"/>
        <w:lang w:val="en-au" w:eastAsia="en-au" w:bidi="en-au"/>
      </w:rPr>
    </w:lvl>
    <w:lvl w:ilvl="1">
      <w:start w:val="0"/>
      <w:numFmt w:val="bullet"/>
      <w:lvlText w:val="•"/>
      <w:lvlJc w:val="left"/>
      <w:pPr>
        <w:ind w:left="1648" w:hanging="360"/>
      </w:pPr>
      <w:rPr>
        <w:rFonts w:hint="default"/>
        <w:lang w:val="en-au" w:eastAsia="en-au" w:bidi="en-au"/>
      </w:rPr>
    </w:lvl>
    <w:lvl w:ilvl="2">
      <w:start w:val="0"/>
      <w:numFmt w:val="bullet"/>
      <w:lvlText w:val="•"/>
      <w:lvlJc w:val="left"/>
      <w:pPr>
        <w:ind w:left="2677" w:hanging="360"/>
      </w:pPr>
      <w:rPr>
        <w:rFonts w:hint="default"/>
        <w:lang w:val="en-au" w:eastAsia="en-au" w:bidi="en-au"/>
      </w:rPr>
    </w:lvl>
    <w:lvl w:ilvl="3">
      <w:start w:val="0"/>
      <w:numFmt w:val="bullet"/>
      <w:lvlText w:val="•"/>
      <w:lvlJc w:val="left"/>
      <w:pPr>
        <w:ind w:left="3705" w:hanging="360"/>
      </w:pPr>
      <w:rPr>
        <w:rFonts w:hint="default"/>
        <w:lang w:val="en-au" w:eastAsia="en-au" w:bidi="en-au"/>
      </w:rPr>
    </w:lvl>
    <w:lvl w:ilvl="4">
      <w:start w:val="0"/>
      <w:numFmt w:val="bullet"/>
      <w:lvlText w:val="•"/>
      <w:lvlJc w:val="left"/>
      <w:pPr>
        <w:ind w:left="4734" w:hanging="360"/>
      </w:pPr>
      <w:rPr>
        <w:rFonts w:hint="default"/>
        <w:lang w:val="en-au" w:eastAsia="en-au" w:bidi="en-au"/>
      </w:rPr>
    </w:lvl>
    <w:lvl w:ilvl="5">
      <w:start w:val="0"/>
      <w:numFmt w:val="bullet"/>
      <w:lvlText w:val="•"/>
      <w:lvlJc w:val="left"/>
      <w:pPr>
        <w:ind w:left="5762" w:hanging="360"/>
      </w:pPr>
      <w:rPr>
        <w:rFonts w:hint="default"/>
        <w:lang w:val="en-au" w:eastAsia="en-au" w:bidi="en-au"/>
      </w:rPr>
    </w:lvl>
    <w:lvl w:ilvl="6">
      <w:start w:val="0"/>
      <w:numFmt w:val="bullet"/>
      <w:lvlText w:val="•"/>
      <w:lvlJc w:val="left"/>
      <w:pPr>
        <w:ind w:left="6791" w:hanging="360"/>
      </w:pPr>
      <w:rPr>
        <w:rFonts w:hint="default"/>
        <w:lang w:val="en-au" w:eastAsia="en-au" w:bidi="en-au"/>
      </w:rPr>
    </w:lvl>
    <w:lvl w:ilvl="7">
      <w:start w:val="0"/>
      <w:numFmt w:val="bullet"/>
      <w:lvlText w:val="•"/>
      <w:lvlJc w:val="left"/>
      <w:pPr>
        <w:ind w:left="7819" w:hanging="360"/>
      </w:pPr>
      <w:rPr>
        <w:rFonts w:hint="default"/>
        <w:lang w:val="en-au" w:eastAsia="en-au" w:bidi="en-au"/>
      </w:rPr>
    </w:lvl>
    <w:lvl w:ilvl="8">
      <w:start w:val="0"/>
      <w:numFmt w:val="bullet"/>
      <w:lvlText w:val="•"/>
      <w:lvlJc w:val="left"/>
      <w:pPr>
        <w:ind w:left="8848"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2"/>
      <w:szCs w:val="22"/>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TE3-16 &amp; TE3-17 - Medium Turns - long brief training plan &amp; student record</dc:title>
  <dcterms:created xsi:type="dcterms:W3CDTF">2021-11-10T00:12:32Z</dcterms:created>
  <dcterms:modified xsi:type="dcterms:W3CDTF">2021-11-10T00:12:32Z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