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TE3-45: CIRCUITS: SHORT FIELD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Prepare a long brief for </w:t>
            </w:r>
            <w:r>
              <w:rPr>
                <w:b/>
                <w:sz w:val="18"/>
              </w:rPr>
              <w:t>Short field take-offs and</w:t>
            </w:r>
            <w:r>
              <w:rPr>
                <w:b/>
                <w:spacing w:val="-9"/>
                <w:sz w:val="18"/>
              </w:rPr>
              <w:t> </w:t>
            </w:r>
            <w:r>
              <w:rPr>
                <w:b/>
                <w:sz w:val="18"/>
              </w:rPr>
              <w:t>landings</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 back of long brief for </w:t>
            </w:r>
            <w:r>
              <w:rPr>
                <w:b/>
                <w:sz w:val="18"/>
              </w:rPr>
              <w:t>Short field take-offs and</w:t>
            </w:r>
            <w:r>
              <w:rPr>
                <w:b/>
                <w:spacing w:val="-7"/>
                <w:sz w:val="18"/>
              </w:rPr>
              <w:t> </w:t>
            </w:r>
            <w:r>
              <w:rPr>
                <w:b/>
                <w:sz w:val="18"/>
              </w:rPr>
              <w:t>landings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017" w:hRule="atLeast"/>
        </w:trPr>
        <w:tc>
          <w:tcPr>
            <w:tcW w:w="10915" w:type="dxa"/>
            <w:gridSpan w:val="7"/>
          </w:tcPr>
          <w:p>
            <w:pPr>
              <w:pStyle w:val="TableParagraph"/>
              <w:spacing w:before="20"/>
              <w:ind w:left="138"/>
              <w:rPr>
                <w:b/>
                <w:sz w:val="18"/>
              </w:rPr>
            </w:pPr>
            <w:r>
              <w:rPr>
                <w:b/>
                <w:sz w:val="18"/>
              </w:rPr>
              <w:t>Training Notes</w:t>
            </w:r>
          </w:p>
          <w:p>
            <w:pPr>
              <w:pStyle w:val="TableParagraph"/>
              <w:spacing w:before="7"/>
              <w:ind w:left="196" w:right="43"/>
              <w:rPr>
                <w:sz w:val="18"/>
              </w:rPr>
            </w:pPr>
            <w:r>
              <w:rPr>
                <w:sz w:val="18"/>
              </w:rPr>
              <w:t>This is the first long brief read back where the instructor has not demonstrated first. It is reasonable that the nominated criteria may be assessed at standard 2</w:t>
            </w:r>
          </w:p>
          <w:p>
            <w:pPr>
              <w:pStyle w:val="TableParagraph"/>
              <w:spacing w:line="205"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rFonts w:ascii="Symbol" w:hAnsi="Symbol"/>
                <w:sz w:val="18"/>
              </w:rPr>
            </w:pPr>
            <w:r>
              <w:rPr>
                <w:sz w:val="18"/>
              </w:rPr>
              <w:t>Confirmation of essential knowledge from circuits and circuit emergency</w:t>
            </w:r>
            <w:r>
              <w:rPr>
                <w:spacing w:val="-10"/>
                <w:sz w:val="18"/>
              </w:rPr>
              <w:t> </w:t>
            </w:r>
            <w:r>
              <w:rPr>
                <w:sz w:val="18"/>
              </w:rPr>
              <w:t>briefs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Factors affecting take-off and landing performance and the distance</w:t>
            </w:r>
            <w:r>
              <w:rPr>
                <w:spacing w:val="4"/>
                <w:sz w:val="18"/>
              </w:rPr>
              <w:t> </w:t>
            </w:r>
            <w:r>
              <w:rPr>
                <w:sz w:val="18"/>
              </w:rPr>
              <w:t>required</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Factors affecting climb performance, missed approach performance and obstacle</w:t>
            </w:r>
            <w:r>
              <w:rPr>
                <w:spacing w:val="-8"/>
                <w:sz w:val="18"/>
              </w:rPr>
              <w:t> </w:t>
            </w:r>
            <w:r>
              <w:rPr>
                <w:sz w:val="18"/>
              </w:rPr>
              <w:t>clearance</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Calculation of headwind and crosswind components</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Calculation of take-off and landing run and distance</w:t>
            </w:r>
            <w:r>
              <w:rPr>
                <w:spacing w:val="3"/>
                <w:sz w:val="18"/>
              </w:rPr>
              <w:t> </w:t>
            </w:r>
            <w:r>
              <w:rPr>
                <w:sz w:val="18"/>
              </w:rPr>
              <w:t>required</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TE3-45: CIRCUITS: SHORT FIELD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28"/>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(xvi) A2.5 and A4.5 – Short Take-off and Landing</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 w:after="1"/>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563" w:hRule="atLeast"/>
        </w:trPr>
        <w:tc>
          <w:tcPr>
            <w:tcW w:w="10915" w:type="dxa"/>
            <w:gridSpan w:val="2"/>
            <w:tcBorders>
              <w:bottom w:val="single" w:sz="8" w:space="0" w:color="000000"/>
            </w:tcBorders>
          </w:tcPr>
          <w:p>
            <w:pPr>
              <w:pStyle w:val="TableParagraph"/>
              <w:rPr>
                <w:rFonts w:ascii="Times New Roman"/>
                <w:sz w:val="18"/>
              </w:rPr>
            </w:pPr>
          </w:p>
        </w:tc>
      </w:tr>
      <w:tr>
        <w:trPr>
          <w:trHeight w:val="400" w:hRule="atLeast"/>
        </w:trPr>
        <w:tc>
          <w:tcPr>
            <w:tcW w:w="5628"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8"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71296"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470272" type="#_x0000_t202" filled="false" stroked="false">
          <v:textbox inset="0,0,0,0">
            <w:txbxContent>
              <w:p>
                <w:pPr>
                  <w:spacing w:before="14"/>
                  <w:ind w:left="20" w:right="0" w:firstLine="0"/>
                  <w:jc w:val="left"/>
                  <w:rPr>
                    <w:sz w:val="18"/>
                  </w:rPr>
                </w:pPr>
                <w:r>
                  <w:rPr>
                    <w:sz w:val="18"/>
                  </w:rPr>
                  <w:t>FIR-TE3-45</w:t>
                </w:r>
              </w:p>
            </w:txbxContent>
          </v:textbox>
          <w10:wrap type="none"/>
        </v:shape>
      </w:pict>
    </w:r>
    <w:r>
      <w:rPr/>
      <w:pict>
        <v:shape style="position:absolute;margin-left:272.95401pt;margin-top:802.052551pt;width:49.65pt;height:12.1pt;mso-position-horizontal-relative:page;mso-position-vertical-relative:page;z-index:-252469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68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TE3-45 - Circuits Short Field - long brief training plan &amp; student record</dc:title>
  <dcterms:created xsi:type="dcterms:W3CDTF">2021-11-09T23:50:39Z</dcterms:created>
  <dcterms:modified xsi:type="dcterms:W3CDTF">2021-11-09T23:50:39Z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