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0" to="5,1051" stroked="true" strokeweight=".481pt" strokecolor="#000000">
              <v:stroke dashstyle="solid"/>
            </v:line>
            <v:line style="position:absolute" from="10843,0" to="10843,1051" stroked="true" strokeweight=".48pt" strokecolor="#000000">
              <v:stroke dashstyle="solid"/>
            </v:line>
            <v:shape style="position:absolute;left:9;top:688;width:10829;height:353" type="#_x0000_t202" filled="true" fillcolor="#f2f2f2" stroked="false">
              <v:textbox inset="0,0,0,0">
                <w:txbxContent>
                  <w:p>
                    <w:pPr>
                      <w:spacing w:before="57"/>
                      <w:ind w:left="28" w:right="0" w:firstLine="0"/>
                      <w:jc w:val="left"/>
                      <w:rPr>
                        <w:b/>
                        <w:sz w:val="20"/>
                      </w:rPr>
                    </w:pPr>
                    <w:r>
                      <w:rPr>
                        <w:b/>
                        <w:sz w:val="20"/>
                      </w:rPr>
                      <w:t>LESSON TE3-13: ATTITUDE AND POWER CHANGES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845"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43" w:lineRule="exact" w:before="1" w:after="0"/>
              <w:ind w:left="777" w:right="0" w:hanging="361"/>
              <w:jc w:val="left"/>
              <w:rPr>
                <w:rFonts w:ascii="Symbol" w:hAnsi="Symbol"/>
                <w:b/>
                <w:sz w:val="20"/>
              </w:rPr>
            </w:pPr>
            <w:r>
              <w:rPr>
                <w:sz w:val="20"/>
              </w:rPr>
              <w:t>Conduct </w:t>
            </w:r>
            <w:r>
              <w:rPr>
                <w:b/>
                <w:sz w:val="20"/>
              </w:rPr>
              <w:t>airborne instructional technique for a simple flying</w:t>
            </w:r>
            <w:r>
              <w:rPr>
                <w:b/>
                <w:spacing w:val="-9"/>
                <w:sz w:val="20"/>
              </w:rPr>
              <w:t> </w:t>
            </w:r>
            <w:r>
              <w:rPr>
                <w:b/>
                <w:sz w:val="20"/>
              </w:rPr>
              <w:t>sequence</w:t>
            </w:r>
          </w:p>
          <w:p>
            <w:pPr>
              <w:pStyle w:val="TableParagraph"/>
              <w:numPr>
                <w:ilvl w:val="0"/>
                <w:numId w:val="1"/>
              </w:numPr>
              <w:tabs>
                <w:tab w:pos="777" w:val="left" w:leader="none"/>
                <w:tab w:pos="778" w:val="left" w:leader="none"/>
              </w:tabs>
              <w:spacing w:line="218" w:lineRule="exact" w:before="0" w:after="0"/>
              <w:ind w:left="777" w:right="0" w:hanging="361"/>
              <w:jc w:val="left"/>
              <w:rPr>
                <w:rFonts w:ascii="Symbol" w:hAnsi="Symbol"/>
                <w:b/>
                <w:sz w:val="18"/>
              </w:rPr>
            </w:pPr>
            <w:r>
              <w:rPr>
                <w:sz w:val="18"/>
              </w:rPr>
              <w:t>Demonstration of pre-flight brief for </w:t>
            </w:r>
            <w:r>
              <w:rPr>
                <w:b/>
                <w:sz w:val="18"/>
              </w:rPr>
              <w:t>Attitude and Power</w:t>
            </w:r>
            <w:r>
              <w:rPr>
                <w:b/>
                <w:spacing w:val="-6"/>
                <w:sz w:val="18"/>
              </w:rPr>
              <w:t> </w:t>
            </w:r>
            <w:r>
              <w:rPr>
                <w:b/>
                <w:sz w:val="18"/>
              </w:rPr>
              <w:t>Changes</w:t>
            </w:r>
          </w:p>
          <w:p>
            <w:pPr>
              <w:pStyle w:val="TableParagraph"/>
              <w:numPr>
                <w:ilvl w:val="0"/>
                <w:numId w:val="1"/>
              </w:numPr>
              <w:tabs>
                <w:tab w:pos="777" w:val="left" w:leader="none"/>
                <w:tab w:pos="778" w:val="left" w:leader="none"/>
              </w:tabs>
              <w:spacing w:line="219" w:lineRule="exact" w:before="1" w:after="0"/>
              <w:ind w:left="777" w:right="0" w:hanging="361"/>
              <w:jc w:val="left"/>
              <w:rPr>
                <w:rFonts w:ascii="Symbol" w:hAnsi="Symbol"/>
                <w:b/>
                <w:sz w:val="18"/>
              </w:rPr>
            </w:pPr>
            <w:r>
              <w:rPr>
                <w:sz w:val="18"/>
              </w:rPr>
              <w:t>Read back of pre-flight brief for </w:t>
            </w:r>
            <w:r>
              <w:rPr>
                <w:b/>
                <w:sz w:val="18"/>
              </w:rPr>
              <w:t>Attitude and Power</w:t>
            </w:r>
            <w:r>
              <w:rPr>
                <w:b/>
                <w:spacing w:val="-4"/>
                <w:sz w:val="18"/>
              </w:rPr>
              <w:t> </w:t>
            </w:r>
            <w:r>
              <w:rPr>
                <w:b/>
                <w:sz w:val="18"/>
              </w:rPr>
              <w:t>Changes</w:t>
            </w:r>
          </w:p>
          <w:p>
            <w:pPr>
              <w:pStyle w:val="TableParagraph"/>
              <w:numPr>
                <w:ilvl w:val="0"/>
                <w:numId w:val="1"/>
              </w:numPr>
              <w:tabs>
                <w:tab w:pos="777" w:val="left" w:leader="none"/>
                <w:tab w:pos="778" w:val="left" w:leader="none"/>
              </w:tabs>
              <w:spacing w:line="218" w:lineRule="exact" w:before="0" w:after="0"/>
              <w:ind w:left="777" w:right="0" w:hanging="361"/>
              <w:jc w:val="left"/>
              <w:rPr>
                <w:rFonts w:ascii="Symbol" w:hAnsi="Symbol"/>
                <w:b/>
                <w:sz w:val="18"/>
              </w:rPr>
            </w:pPr>
            <w:r>
              <w:rPr>
                <w:sz w:val="18"/>
              </w:rPr>
              <w:t>Demonstration of in-flight lesson for </w:t>
            </w:r>
            <w:r>
              <w:rPr>
                <w:b/>
                <w:sz w:val="18"/>
              </w:rPr>
              <w:t>Attitude and Power</w:t>
            </w:r>
            <w:r>
              <w:rPr>
                <w:b/>
                <w:spacing w:val="-8"/>
                <w:sz w:val="18"/>
              </w:rPr>
              <w:t> </w:t>
            </w:r>
            <w:r>
              <w:rPr>
                <w:b/>
                <w:sz w:val="18"/>
              </w:rPr>
              <w:t>Changes</w:t>
            </w:r>
          </w:p>
          <w:p>
            <w:pPr>
              <w:pStyle w:val="TableParagraph"/>
              <w:numPr>
                <w:ilvl w:val="0"/>
                <w:numId w:val="1"/>
              </w:numPr>
              <w:tabs>
                <w:tab w:pos="777" w:val="left" w:leader="none"/>
                <w:tab w:pos="778" w:val="left" w:leader="none"/>
              </w:tabs>
              <w:spacing w:line="219" w:lineRule="exact" w:before="0" w:after="0"/>
              <w:ind w:left="777" w:right="0" w:hanging="361"/>
              <w:jc w:val="left"/>
              <w:rPr>
                <w:rFonts w:ascii="Symbol" w:hAnsi="Symbol"/>
                <w:b/>
                <w:sz w:val="18"/>
              </w:rPr>
            </w:pPr>
            <w:r>
              <w:rPr>
                <w:sz w:val="18"/>
              </w:rPr>
              <w:t>Read back of in-flight lesson for </w:t>
            </w:r>
            <w:r>
              <w:rPr>
                <w:b/>
                <w:sz w:val="18"/>
              </w:rPr>
              <w:t>Attitude and Power</w:t>
            </w:r>
            <w:r>
              <w:rPr>
                <w:b/>
                <w:spacing w:val="-5"/>
                <w:sz w:val="18"/>
              </w:rPr>
              <w:t> </w:t>
            </w:r>
            <w:r>
              <w:rPr>
                <w:b/>
                <w:sz w:val="18"/>
              </w:rPr>
              <w:t>Changes</w:t>
            </w:r>
          </w:p>
          <w:p>
            <w:pPr>
              <w:pStyle w:val="TableParagraph"/>
              <w:numPr>
                <w:ilvl w:val="0"/>
                <w:numId w:val="1"/>
              </w:numPr>
              <w:tabs>
                <w:tab w:pos="777" w:val="left" w:leader="none"/>
                <w:tab w:pos="778" w:val="left" w:leader="none"/>
              </w:tabs>
              <w:spacing w:line="220" w:lineRule="exact" w:before="5" w:after="0"/>
              <w:ind w:left="777" w:right="0" w:hanging="361"/>
              <w:jc w:val="left"/>
              <w:rPr>
                <w:rFonts w:ascii="Symbol" w:hAnsi="Symbol"/>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20" w:lineRule="exact" w:before="0" w:after="0"/>
              <w:ind w:left="777" w:right="0" w:hanging="361"/>
              <w:jc w:val="left"/>
              <w:rPr>
                <w:rFonts w:ascii="Symbol" w:hAnsi="Symbol"/>
                <w:sz w:val="18"/>
              </w:rPr>
            </w:pPr>
            <w:r>
              <w:rPr>
                <w:sz w:val="18"/>
              </w:rPr>
              <w:t>Lesson objectives and underpinning knowledge to be demonstrated as applicable during read</w:t>
            </w:r>
            <w:r>
              <w:rPr>
                <w:spacing w:val="-6"/>
                <w:sz w:val="18"/>
              </w:rPr>
              <w:t> </w:t>
            </w:r>
            <w:r>
              <w:rPr>
                <w:sz w:val="18"/>
              </w:rPr>
              <w:t>back</w:t>
            </w:r>
          </w:p>
        </w:tc>
      </w:tr>
      <w:tr>
        <w:trPr>
          <w:trHeight w:val="5279"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spacing w:before="10"/>
              <w:rPr>
                <w:rFonts w:ascii="Times New Roman"/>
                <w:sz w:val="17"/>
              </w:rPr>
            </w:pPr>
          </w:p>
          <w:p>
            <w:pPr>
              <w:pStyle w:val="TableParagraph"/>
              <w:ind w:left="57" w:right="322"/>
              <w:rPr>
                <w:b/>
                <w:sz w:val="18"/>
              </w:rPr>
            </w:pPr>
            <w:r>
              <w:rPr>
                <w:b/>
                <w:sz w:val="18"/>
              </w:rPr>
              <w:t>This lesson allows the trainee instructor to conduct airborne instructional technique for a simple flying sequence, having been shown the blueprint.</w:t>
            </w:r>
          </w:p>
          <w:p>
            <w:pPr>
              <w:pStyle w:val="TableParagraph"/>
              <w:spacing w:before="3"/>
              <w:rPr>
                <w:rFonts w:ascii="Times New Roman"/>
                <w:sz w:val="18"/>
              </w:rPr>
            </w:pPr>
          </w:p>
          <w:p>
            <w:pPr>
              <w:pStyle w:val="TableParagraph"/>
              <w:numPr>
                <w:ilvl w:val="0"/>
                <w:numId w:val="2"/>
              </w:numPr>
              <w:tabs>
                <w:tab w:pos="623" w:val="left" w:leader="none"/>
                <w:tab w:pos="624" w:val="left" w:leader="none"/>
              </w:tabs>
              <w:spacing w:line="240" w:lineRule="auto" w:before="0" w:after="0"/>
              <w:ind w:left="623" w:right="0" w:hanging="356"/>
              <w:jc w:val="left"/>
              <w:rPr>
                <w:sz w:val="18"/>
              </w:rPr>
            </w:pPr>
            <w:r>
              <w:rPr>
                <w:sz w:val="18"/>
              </w:rPr>
              <w:t>The trainee to read back the pre-flight brief on attitude and power changes.</w:t>
            </w:r>
          </w:p>
          <w:p>
            <w:pPr>
              <w:pStyle w:val="TableParagraph"/>
              <w:numPr>
                <w:ilvl w:val="0"/>
                <w:numId w:val="2"/>
              </w:numPr>
              <w:tabs>
                <w:tab w:pos="623" w:val="left" w:leader="none"/>
                <w:tab w:pos="624" w:val="left" w:leader="none"/>
              </w:tabs>
              <w:spacing w:line="237" w:lineRule="auto" w:before="44" w:after="0"/>
              <w:ind w:left="623" w:right="9" w:hanging="356"/>
              <w:jc w:val="left"/>
              <w:rPr>
                <w:sz w:val="18"/>
              </w:rPr>
            </w:pPr>
            <w:r>
              <w:rPr>
                <w:sz w:val="18"/>
              </w:rPr>
              <w:t>As this is the first in-flight demonstration and read back for the trainee, the instructor should focus on the demonstrate, direct an monitor process with emphasis on distinguishing between the three stages using this sequence as the</w:t>
            </w:r>
            <w:r>
              <w:rPr>
                <w:spacing w:val="-16"/>
                <w:sz w:val="18"/>
              </w:rPr>
              <w:t> </w:t>
            </w:r>
            <w:r>
              <w:rPr>
                <w:sz w:val="18"/>
              </w:rPr>
              <w:t>basis.</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emphasis during the lesson is on AIT and not the sequence</w:t>
            </w:r>
            <w:r>
              <w:rPr>
                <w:spacing w:val="-5"/>
                <w:sz w:val="18"/>
              </w:rPr>
              <w:t> </w:t>
            </w:r>
            <w:r>
              <w:rPr>
                <w:sz w:val="18"/>
              </w:rPr>
              <w:t>itself.</w:t>
            </w:r>
          </w:p>
          <w:p>
            <w:pPr>
              <w:pStyle w:val="TableParagraph"/>
              <w:numPr>
                <w:ilvl w:val="0"/>
                <w:numId w:val="2"/>
              </w:numPr>
              <w:tabs>
                <w:tab w:pos="623" w:val="left" w:leader="none"/>
                <w:tab w:pos="624" w:val="left" w:leader="none"/>
              </w:tabs>
              <w:spacing w:line="237" w:lineRule="auto" w:before="44" w:after="0"/>
              <w:ind w:left="623" w:right="689" w:hanging="356"/>
              <w:jc w:val="left"/>
              <w:rPr>
                <w:sz w:val="18"/>
              </w:rPr>
            </w:pPr>
            <w:r>
              <w:rPr>
                <w:sz w:val="18"/>
              </w:rPr>
              <w:t>Following FIR instructor demonstration of the blueprint, the trainee instructor should be given an opportunity to practice demonstrating and directing in slow</w:t>
            </w:r>
            <w:r>
              <w:rPr>
                <w:spacing w:val="-6"/>
                <w:sz w:val="18"/>
              </w:rPr>
              <w:t> </w:t>
            </w:r>
            <w:r>
              <w:rPr>
                <w:sz w:val="18"/>
              </w:rPr>
              <w:t>time.</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AIT faults should take priority when de-briefing trainee</w:t>
            </w:r>
            <w:r>
              <w:rPr>
                <w:spacing w:val="-13"/>
                <w:sz w:val="18"/>
              </w:rPr>
              <w:t> </w:t>
            </w:r>
            <w:r>
              <w:rPr>
                <w:sz w:val="18"/>
              </w:rPr>
              <w:t>performance</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importance of a clear horizon for this lesson and fairly smooth conditions should be</w:t>
            </w:r>
            <w:r>
              <w:rPr>
                <w:spacing w:val="-14"/>
                <w:sz w:val="18"/>
              </w:rPr>
              <w:t> </w:t>
            </w:r>
            <w:r>
              <w:rPr>
                <w:sz w:val="18"/>
              </w:rPr>
              <w:t>emphasised</w:t>
            </w:r>
          </w:p>
          <w:p>
            <w:pPr>
              <w:pStyle w:val="TableParagraph"/>
              <w:numPr>
                <w:ilvl w:val="0"/>
                <w:numId w:val="2"/>
              </w:numPr>
              <w:tabs>
                <w:tab w:pos="623" w:val="left" w:leader="none"/>
                <w:tab w:pos="624" w:val="left" w:leader="none"/>
              </w:tabs>
              <w:spacing w:line="237" w:lineRule="auto" w:before="45" w:after="0"/>
              <w:ind w:left="623" w:right="0" w:hanging="356"/>
              <w:jc w:val="left"/>
              <w:rPr>
                <w:sz w:val="18"/>
              </w:rPr>
            </w:pPr>
            <w:r>
              <w:rPr>
                <w:sz w:val="18"/>
              </w:rPr>
              <w:t>During the in-flight sequence, the instructor should guide the trainee on the manner of inclusion of the HF/NTS items introduced in the pre-flight</w:t>
            </w:r>
            <w:r>
              <w:rPr>
                <w:spacing w:val="1"/>
                <w:sz w:val="18"/>
              </w:rPr>
              <w:t> </w:t>
            </w:r>
            <w:r>
              <w:rPr>
                <w:sz w:val="18"/>
              </w:rPr>
              <w:t>brief.</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Flight Instructor manual will provide a useful reference for the content of this training</w:t>
            </w:r>
            <w:r>
              <w:rPr>
                <w:spacing w:val="-11"/>
                <w:sz w:val="18"/>
              </w:rPr>
              <w:t> </w:t>
            </w:r>
            <w:r>
              <w:rPr>
                <w:sz w:val="18"/>
              </w:rPr>
              <w:t>session</w:t>
            </w:r>
          </w:p>
          <w:p>
            <w:pPr>
              <w:pStyle w:val="TableParagraph"/>
              <w:numPr>
                <w:ilvl w:val="0"/>
                <w:numId w:val="2"/>
              </w:numPr>
              <w:tabs>
                <w:tab w:pos="623" w:val="left" w:leader="none"/>
                <w:tab w:pos="624" w:val="left" w:leader="none"/>
              </w:tabs>
              <w:spacing w:line="237" w:lineRule="auto" w:before="45" w:after="0"/>
              <w:ind w:left="623" w:right="156" w:hanging="356"/>
              <w:jc w:val="left"/>
              <w:rPr>
                <w:sz w:val="18"/>
              </w:rPr>
            </w:pPr>
            <w:r>
              <w:rPr>
                <w:sz w:val="18"/>
              </w:rPr>
              <w:t>The instructor should commence guidance to the trainee instructors on delivery of post-flight debrief through demonstration of the debriefing technique using the trainee’s performance during this</w:t>
            </w:r>
            <w:r>
              <w:rPr>
                <w:spacing w:val="-10"/>
                <w:sz w:val="18"/>
              </w:rPr>
              <w:t> </w:t>
            </w:r>
            <w:r>
              <w:rPr>
                <w:sz w:val="18"/>
              </w:rPr>
              <w:t>lesson.</w:t>
            </w:r>
          </w:p>
          <w:p>
            <w:pPr>
              <w:pStyle w:val="TableParagraph"/>
              <w:numPr>
                <w:ilvl w:val="0"/>
                <w:numId w:val="2"/>
              </w:numPr>
              <w:tabs>
                <w:tab w:pos="624" w:val="left" w:leader="none"/>
              </w:tabs>
              <w:spacing w:line="237" w:lineRule="auto" w:before="43" w:after="0"/>
              <w:ind w:left="623" w:right="0" w:hanging="356"/>
              <w:jc w:val="left"/>
              <w:rPr>
                <w:sz w:val="18"/>
              </w:rPr>
            </w:pPr>
            <w:r>
              <w:rPr>
                <w:sz w:val="18"/>
              </w:rPr>
              <w:t>The lesson must include particular items from C1 through C5, building on those items introduced in the previous lesson such as basic aircraft systems operation and fuel requirements. Refer to the operator</w:t>
            </w:r>
            <w:r>
              <w:rPr>
                <w:spacing w:val="-8"/>
                <w:sz w:val="18"/>
              </w:rPr>
              <w:t> </w:t>
            </w:r>
            <w:r>
              <w:rPr>
                <w:sz w:val="18"/>
              </w:rPr>
              <w:t>syllabus</w:t>
            </w:r>
          </w:p>
          <w:p>
            <w:pPr>
              <w:pStyle w:val="TableParagraph"/>
              <w:numPr>
                <w:ilvl w:val="0"/>
                <w:numId w:val="2"/>
              </w:numPr>
              <w:tabs>
                <w:tab w:pos="624" w:val="left" w:leader="none"/>
              </w:tabs>
              <w:spacing w:line="237" w:lineRule="auto" w:before="44" w:after="0"/>
              <w:ind w:left="623" w:right="7" w:hanging="356"/>
              <w:jc w:val="left"/>
              <w:rPr>
                <w:sz w:val="18"/>
              </w:rPr>
            </w:pPr>
            <w:r>
              <w:rPr>
                <w:sz w:val="18"/>
              </w:rPr>
              <w:t>This lesson should re-enforce some of the HF/NTS items of previous effect of controls lesson including the concepts of see and avoid, visual scanning (clock code) and hand over/take over</w:t>
            </w:r>
            <w:r>
              <w:rPr>
                <w:spacing w:val="-5"/>
                <w:sz w:val="18"/>
              </w:rPr>
              <w:t> </w:t>
            </w:r>
            <w:r>
              <w:rPr>
                <w:sz w:val="18"/>
              </w:rPr>
              <w:t>techniques.</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7"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5"/>
              <w:ind w:left="26" w:right="91"/>
              <w:rPr>
                <w:b/>
                <w:sz w:val="16"/>
              </w:rPr>
            </w:pPr>
            <w:r>
              <w:rPr>
                <w:b/>
                <w:sz w:val="16"/>
              </w:rPr>
              <w:t>Performance Standard</w:t>
            </w:r>
          </w:p>
        </w:tc>
      </w:tr>
      <w:tr>
        <w:trPr>
          <w:trHeight w:val="834"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17"/>
              <w:ind w:left="189"/>
              <w:rPr>
                <w:b/>
                <w:sz w:val="18"/>
              </w:rPr>
            </w:pPr>
            <w:r>
              <w:rPr>
                <w:b/>
                <w:sz w:val="18"/>
              </w:rPr>
              <w:t>FIR-TE3.2</w:t>
            </w:r>
          </w:p>
        </w:tc>
        <w:tc>
          <w:tcPr>
            <w:tcW w:w="8489" w:type="dxa"/>
            <w:tcBorders>
              <w:top w:val="single" w:sz="18" w:space="0" w:color="F2F2F2"/>
            </w:tcBorders>
          </w:tcPr>
          <w:p>
            <w:pPr>
              <w:pStyle w:val="TableParagraph"/>
              <w:spacing w:before="17"/>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4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675" w:hRule="atLeast"/>
        </w:trPr>
        <w:tc>
          <w:tcPr>
            <w:tcW w:w="1212" w:type="dxa"/>
          </w:tcPr>
          <w:p>
            <w:pPr>
              <w:pStyle w:val="TableParagraph"/>
              <w:spacing w:before="1"/>
              <w:rPr>
                <w:rFonts w:ascii="Times New Roman"/>
                <w:sz w:val="20"/>
              </w:rPr>
            </w:pPr>
          </w:p>
          <w:p>
            <w:pPr>
              <w:pStyle w:val="TableParagraph"/>
              <w:ind w:right="156"/>
              <w:jc w:val="right"/>
              <w:rPr>
                <w:sz w:val="18"/>
              </w:rPr>
            </w:pPr>
            <w:r>
              <w:rPr>
                <w:w w:val="95"/>
                <w:sz w:val="18"/>
              </w:rPr>
              <w:t>(d)</w:t>
            </w:r>
          </w:p>
        </w:tc>
        <w:tc>
          <w:tcPr>
            <w:tcW w:w="8489" w:type="dxa"/>
            <w:tcBorders>
              <w:top w:val="single" w:sz="18" w:space="0" w:color="F2F2F2"/>
            </w:tcBorders>
          </w:tcPr>
          <w:p>
            <w:pPr>
              <w:pStyle w:val="TableParagraph"/>
              <w:spacing w:before="24"/>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FIR-TE3.5</w:t>
            </w:r>
          </w:p>
        </w:tc>
        <w:tc>
          <w:tcPr>
            <w:tcW w:w="8489" w:type="dxa"/>
          </w:tcPr>
          <w:p>
            <w:pPr>
              <w:pStyle w:val="TableParagraph"/>
              <w:spacing w:before="20"/>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(b)</w:t>
            </w:r>
          </w:p>
        </w:tc>
        <w:tc>
          <w:tcPr>
            <w:tcW w:w="8489" w:type="dxa"/>
          </w:tcPr>
          <w:p>
            <w:pPr>
              <w:pStyle w:val="TableParagraph"/>
              <w:spacing w:before="27"/>
              <w:ind w:left="26" w:right="198"/>
              <w:rPr>
                <w:sz w:val="18"/>
              </w:rPr>
            </w:pPr>
            <w:r>
              <w:rPr>
                <w:sz w:val="18"/>
              </w:rPr>
              <w:t>prepare a training plan is prepared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746"/>
              <w:rPr>
                <w:sz w:val="18"/>
              </w:rPr>
            </w:pPr>
            <w:r>
              <w:rPr>
                <w:sz w:val="18"/>
              </w:rPr>
              <w:t>C2.1 pre-flight actions and procedures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746"/>
              <w:rPr>
                <w:sz w:val="18"/>
              </w:rPr>
            </w:pPr>
            <w:r>
              <w:rPr>
                <w:sz w:val="18"/>
              </w:rPr>
              <w:t>C2.2 pre-flight inspection</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(vi) H1 – operate helicopter on the ground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(viii) H5.2 and H5.5 – Attitude and power changes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85"/>
              <w:jc w:val="right"/>
              <w:rPr>
                <w:sz w:val="20"/>
              </w:rPr>
            </w:pPr>
            <w:r>
              <w:rPr>
                <w:sz w:val="20"/>
              </w:rPr>
              <w:t>(c)</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19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9"/>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5"/>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4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2"/>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aircraft;</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(vi) note training events for debriefing and assessment;</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45"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4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35"/>
        <w:gridCol w:w="9693"/>
      </w:tblGrid>
      <w:tr>
        <w:trPr>
          <w:trHeight w:val="309" w:hRule="atLeast"/>
        </w:trPr>
        <w:tc>
          <w:tcPr>
            <w:tcW w:w="1135" w:type="dxa"/>
            <w:shd w:val="clear" w:color="auto" w:fill="F2F2F2"/>
          </w:tcPr>
          <w:p>
            <w:pPr>
              <w:pStyle w:val="TableParagraph"/>
              <w:spacing w:before="24"/>
              <w:ind w:right="149"/>
              <w:jc w:val="right"/>
              <w:rPr>
                <w:b/>
                <w:sz w:val="22"/>
              </w:rPr>
            </w:pPr>
            <w:r>
              <w:rPr>
                <w:b/>
                <w:sz w:val="22"/>
              </w:rPr>
              <w:t>MOS Ref</w:t>
            </w:r>
          </w:p>
        </w:tc>
        <w:tc>
          <w:tcPr>
            <w:tcW w:w="9693" w:type="dxa"/>
            <w:shd w:val="clear" w:color="auto" w:fill="F2F2F2"/>
          </w:tcPr>
          <w:p>
            <w:pPr>
              <w:pStyle w:val="TableParagraph"/>
              <w:spacing w:before="24"/>
              <w:ind w:left="55"/>
              <w:rPr>
                <w:b/>
                <w:sz w:val="22"/>
              </w:rPr>
            </w:pPr>
            <w:r>
              <w:rPr>
                <w:b/>
                <w:sz w:val="22"/>
              </w:rPr>
              <w:t>Underpinning knowledge</w:t>
            </w:r>
          </w:p>
        </w:tc>
      </w:tr>
      <w:tr>
        <w:trPr>
          <w:trHeight w:val="263" w:hRule="atLeast"/>
        </w:trPr>
        <w:tc>
          <w:tcPr>
            <w:tcW w:w="1135" w:type="dxa"/>
          </w:tcPr>
          <w:p>
            <w:pPr>
              <w:pStyle w:val="TableParagraph"/>
              <w:spacing w:before="23"/>
              <w:ind w:right="175"/>
              <w:jc w:val="right"/>
              <w:rPr>
                <w:b/>
                <w:sz w:val="18"/>
              </w:rPr>
            </w:pPr>
            <w:r>
              <w:rPr>
                <w:b/>
                <w:sz w:val="18"/>
              </w:rPr>
              <w:t>FIR-TE3</w:t>
            </w:r>
          </w:p>
        </w:tc>
        <w:tc>
          <w:tcPr>
            <w:tcW w:w="9693" w:type="dxa"/>
          </w:tcPr>
          <w:p>
            <w:pPr>
              <w:pStyle w:val="TableParagraph"/>
              <w:spacing w:before="23"/>
              <w:ind w:left="139"/>
              <w:rPr>
                <w:b/>
                <w:sz w:val="18"/>
              </w:rPr>
            </w:pPr>
            <w:r>
              <w:rPr>
                <w:b/>
                <w:sz w:val="18"/>
              </w:rPr>
              <w:t>Grade 3 training endorsement</w:t>
            </w:r>
          </w:p>
        </w:tc>
      </w:tr>
      <w:tr>
        <w:trPr>
          <w:trHeight w:val="1269" w:hRule="atLeast"/>
        </w:trPr>
        <w:tc>
          <w:tcPr>
            <w:tcW w:w="1135" w:type="dxa"/>
          </w:tcPr>
          <w:p>
            <w:pPr>
              <w:pStyle w:val="TableParagraph"/>
              <w:rPr>
                <w:rFonts w:ascii="Times New Roman"/>
                <w:sz w:val="18"/>
              </w:rPr>
            </w:pPr>
          </w:p>
        </w:tc>
        <w:tc>
          <w:tcPr>
            <w:tcW w:w="9693"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567" w:hanging="456"/>
              <w:jc w:val="left"/>
              <w:rPr>
                <w:sz w:val="18"/>
              </w:rPr>
            </w:pPr>
            <w:r>
              <w:rPr>
                <w:sz w:val="18"/>
              </w:rPr>
              <w:t>underpinning knowledge included for the applicable unit required for RPL, PPL and CPL and aircraft class 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0" w:after="0"/>
              <w:ind w:left="708" w:right="0" w:hanging="457"/>
              <w:jc w:val="left"/>
              <w:rPr>
                <w:sz w:val="20"/>
              </w:rPr>
            </w:pPr>
            <w:r>
              <w:rPr>
                <w:sz w:val="18"/>
              </w:rPr>
              <w:t>common risks that exist when conducting VFR</w:t>
            </w:r>
            <w:r>
              <w:rPr>
                <w:spacing w:val="-5"/>
                <w:sz w:val="18"/>
              </w:rPr>
              <w:t> </w:t>
            </w:r>
            <w:r>
              <w:rPr>
                <w:sz w:val="18"/>
              </w:rPr>
              <w:t>operations;</w:t>
            </w:r>
          </w:p>
        </w:tc>
      </w:tr>
    </w:tbl>
    <w:p>
      <w:pPr>
        <w:pStyle w:val="BodyText"/>
        <w:rPr>
          <w:rFonts w:ascii="Times New Roman"/>
          <w:b w:val="0"/>
        </w:rPr>
      </w:pPr>
    </w:p>
    <w:p>
      <w:pPr>
        <w:pStyle w:val="BodyText"/>
        <w:spacing w:before="9"/>
        <w:rPr>
          <w:rFonts w:ascii="Times New Roman"/>
          <w:b w:val="0"/>
          <w:sz w:val="15"/>
        </w:rPr>
      </w:pPr>
      <w:r>
        <w:rPr/>
        <w:pict>
          <v:group style="position:absolute;margin-left:35.279499pt;margin-top:11.300477pt;width:537.75pt;height:402.5pt;mso-position-horizontal-relative:page;mso-position-vertical-relative:paragraph;z-index:-251652096;mso-wrap-distance-left:0;mso-wrap-distance-right:0" coordorigin="706,226" coordsize="10755,8050">
            <v:rect style="position:absolute;left:710;top:751;width:10745;height:58" filled="true" fillcolor="#f2f2f2" stroked="false">
              <v:fill type="solid"/>
            </v:rect>
            <v:line style="position:absolute" from="715,814" to="11450,814" stroked="true" strokeweight=".48pt" strokecolor="#000000">
              <v:stroke dashstyle="solid"/>
            </v:line>
            <v:line style="position:absolute" from="715,7608" to="11450,7608" stroked="true" strokeweight=".481pt" strokecolor="#000000">
              <v:stroke dashstyle="solid"/>
            </v:line>
            <v:line style="position:absolute" from="715,7618" to="6463,7618" stroked="true" strokeweight=".48pt" strokecolor="#000000">
              <v:stroke dashstyle="solid"/>
            </v:line>
            <v:line style="position:absolute" from="6473,7618" to="11450,7618" stroked="true" strokeweight=".48pt" strokecolor="#000000">
              <v:stroke dashstyle="solid"/>
            </v:line>
            <v:rect style="position:absolute;left:710;top:7879;width:5758;height:29" filled="true" fillcolor="#f2f2f2" stroked="false">
              <v:fill type="solid"/>
            </v:rect>
            <v:rect style="position:absolute;left:6468;top:7879;width:4988;height:29" filled="true" fillcolor="#f2f2f2" stroked="false">
              <v:fill type="solid"/>
            </v:rect>
            <v:line style="position:absolute" from="715,7913" to="6463,7913" stroked="true" strokeweight=".48pt" strokecolor="#000000">
              <v:stroke dashstyle="solid"/>
            </v:line>
            <v:line style="position:absolute" from="6473,7913" to="11450,7913" stroked="true" strokeweight=".48pt" strokecolor="#000000">
              <v:stroke dashstyle="solid"/>
            </v:line>
            <v:line style="position:absolute" from="710,226" to="710,8276" stroked="true" strokeweight=".48pt" strokecolor="#000000">
              <v:stroke dashstyle="solid"/>
            </v:line>
            <v:line style="position:absolute" from="715,8271" to="6463,8271" stroked="true" strokeweight=".481pt" strokecolor="#000000">
              <v:stroke dashstyle="solid"/>
            </v:line>
            <v:line style="position:absolute" from="6468,7613" to="6468,8276" stroked="true" strokeweight=".48pt" strokecolor="#000000">
              <v:stroke dashstyle="solid"/>
            </v:line>
            <v:line style="position:absolute" from="6473,8271" to="11450,8271" stroked="true" strokeweight=".481pt" strokecolor="#000000">
              <v:stroke dashstyle="solid"/>
            </v:line>
            <v:line style="position:absolute" from="11455,226" to="11455,8276" stroked="true" strokeweight=".481pt" strokecolor="#000000">
              <v:stroke dashstyle="solid"/>
            </v:line>
            <v:shape style="position:absolute;left:6472;top:7622;width:4978;height:286" type="#_x0000_t202" filled="true" fillcolor="#f2f2f2" stroked="false">
              <v:textbox inset="0,0,0,0">
                <w:txbxContent>
                  <w:p>
                    <w:pPr>
                      <w:spacing w:before="21"/>
                      <w:ind w:left="52" w:right="0" w:firstLine="0"/>
                      <w:jc w:val="left"/>
                      <w:rPr>
                        <w:b/>
                        <w:sz w:val="20"/>
                      </w:rPr>
                    </w:pPr>
                    <w:r>
                      <w:rPr>
                        <w:b/>
                        <w:sz w:val="20"/>
                      </w:rPr>
                      <w:t>Trainee’s Signature &amp; Date</w:t>
                    </w:r>
                  </w:p>
                </w:txbxContent>
              </v:textbox>
              <v:fill type="solid"/>
              <w10:wrap type="none"/>
            </v:shape>
            <v:shape style="position:absolute;left:715;top:7622;width:5748;height:286" type="#_x0000_t202" filled="true" fillcolor="#f2f2f2" stroked="false">
              <v:textbox inset="0,0,0,0">
                <w:txbxContent>
                  <w:p>
                    <w:pPr>
                      <w:spacing w:before="21"/>
                      <w:ind w:left="50" w:right="0" w:firstLine="0"/>
                      <w:jc w:val="left"/>
                      <w:rPr>
                        <w:b/>
                        <w:sz w:val="20"/>
                      </w:rPr>
                    </w:pPr>
                    <w:r>
                      <w:rPr>
                        <w:b/>
                        <w:sz w:val="20"/>
                      </w:rPr>
                      <w:t>Instructor’s Signature &amp; Date</w:t>
                    </w:r>
                  </w:p>
                </w:txbxContent>
              </v:textbox>
              <v:fill type="solid"/>
              <w10:wrap type="none"/>
            </v:shape>
            <v:shape style="position:absolute;left:710;top:230;width:10745;height:584" type="#_x0000_t202" filled="true" fillcolor="#f2f2f2" stroked="true" strokeweight=".481pt" strokecolor="#000000">
              <v:textbox inset="0,0,0,0">
                <w:txbxContent>
                  <w:p>
                    <w:pPr>
                      <w:spacing w:before="50"/>
                      <w:ind w:left="3009" w:right="605" w:hanging="2388"/>
                      <w:jc w:val="left"/>
                      <w:rPr>
                        <w:b/>
                        <w:sz w:val="20"/>
                      </w:rPr>
                    </w:pPr>
                    <w:r>
                      <w:rPr>
                        <w:b/>
                        <w:sz w:val="20"/>
                      </w:rPr>
                      <w:t>COMMENTS AND OUTCOME (INCLUDING ELEMENTS &amp; PERFORMANCE CRITERIA THAT REQUIRE CONSOLIDATION AND/OR REMEDIAL TRAINING)</w:t>
                    </w:r>
                  </w:p>
                </w:txbxContent>
              </v:textbox>
              <v:fill type="solid"/>
              <v:stroke dashstyle="solid"/>
              <w10:wrap type="none"/>
            </v:shape>
            <w10:wrap type="topAndBottom"/>
          </v:group>
        </w:pict>
      </w:r>
    </w:p>
    <w:sectPr>
      <w:pgSz w:w="11910" w:h="16840"/>
      <w:pgMar w:header="566" w:footer="642" w:top="920" w:bottom="840" w:left="60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010944"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009920" type="#_x0000_t202" filled="false" stroked="false">
          <v:textbox inset="0,0,0,0">
            <w:txbxContent>
              <w:p>
                <w:pPr>
                  <w:spacing w:line="203" w:lineRule="exact" w:before="0"/>
                  <w:ind w:left="20" w:right="0" w:firstLine="0"/>
                  <w:jc w:val="left"/>
                  <w:rPr>
                    <w:rFonts w:ascii="Calibri"/>
                    <w:sz w:val="18"/>
                  </w:rPr>
                </w:pPr>
                <w:r>
                  <w:rPr>
                    <w:rFonts w:ascii="Calibri"/>
                    <w:sz w:val="18"/>
                  </w:rPr>
                  <w:t>FIR-TE3-13</w:t>
                </w:r>
              </w:p>
            </w:txbxContent>
          </v:textbox>
          <w10:wrap type="none"/>
        </v:shape>
      </w:pict>
    </w:r>
    <w:r>
      <w:rPr/>
      <w:pict>
        <v:shape style="position:absolute;margin-left:274.763pt;margin-top:801.289978pt;width:45.95pt;height:11pt;mso-position-horizontal-relative:page;mso-position-vertical-relative:page;z-index:-25300889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00787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004800"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003776" type="#_x0000_t202" filled="false" stroked="false">
          <v:textbox inset="0,0,0,0">
            <w:txbxContent>
              <w:p>
                <w:pPr>
                  <w:spacing w:line="203" w:lineRule="exact" w:before="0"/>
                  <w:ind w:left="20" w:right="0" w:firstLine="0"/>
                  <w:jc w:val="left"/>
                  <w:rPr>
                    <w:rFonts w:ascii="Calibri"/>
                    <w:sz w:val="18"/>
                  </w:rPr>
                </w:pPr>
                <w:r>
                  <w:rPr>
                    <w:rFonts w:ascii="Calibri"/>
                    <w:sz w:val="18"/>
                  </w:rPr>
                  <w:t>FIR-TE3-13</w:t>
                </w:r>
              </w:p>
            </w:txbxContent>
          </v:textbox>
          <w10:wrap type="none"/>
        </v:shape>
      </w:pict>
    </w:r>
    <w:r>
      <w:rPr/>
      <w:pict>
        <v:shape style="position:absolute;margin-left:274.763pt;margin-top:801.289978pt;width:45.95pt;height:11pt;mso-position-horizontal-relative:page;mso-position-vertical-relative:page;z-index:-25300275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00172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006848"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66.25pt;height:13.15pt;mso-position-horizontal-relative:page;mso-position-vertical-relative:page;z-index:-253005824" type="#_x0000_t202" filled="false" stroked="false">
          <v:textbox inset="0,0,0,0">
            <w:txbxContent>
              <w:p>
                <w:pPr>
                  <w:pStyle w:val="BodyText"/>
                  <w:spacing w:before="12"/>
                  <w:ind w:left="20"/>
                </w:pPr>
                <w:r>
                  <w:rPr/>
                  <w:t>LESSON TE3-13: ATTITUDE AND POWER CHANGES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598" w:hanging="456"/>
      </w:pPr>
      <w:rPr>
        <w:rFonts w:hint="default"/>
        <w:lang w:val="en-au" w:eastAsia="en-au" w:bidi="en-au"/>
      </w:rPr>
    </w:lvl>
    <w:lvl w:ilvl="2">
      <w:start w:val="0"/>
      <w:numFmt w:val="bullet"/>
      <w:lvlText w:val="•"/>
      <w:lvlJc w:val="left"/>
      <w:pPr>
        <w:ind w:left="2496" w:hanging="456"/>
      </w:pPr>
      <w:rPr>
        <w:rFonts w:hint="default"/>
        <w:lang w:val="en-au" w:eastAsia="en-au" w:bidi="en-au"/>
      </w:rPr>
    </w:lvl>
    <w:lvl w:ilvl="3">
      <w:start w:val="0"/>
      <w:numFmt w:val="bullet"/>
      <w:lvlText w:val="•"/>
      <w:lvlJc w:val="left"/>
      <w:pPr>
        <w:ind w:left="3394" w:hanging="456"/>
      </w:pPr>
      <w:rPr>
        <w:rFonts w:hint="default"/>
        <w:lang w:val="en-au" w:eastAsia="en-au" w:bidi="en-au"/>
      </w:rPr>
    </w:lvl>
    <w:lvl w:ilvl="4">
      <w:start w:val="0"/>
      <w:numFmt w:val="bullet"/>
      <w:lvlText w:val="•"/>
      <w:lvlJc w:val="left"/>
      <w:pPr>
        <w:ind w:left="4293" w:hanging="456"/>
      </w:pPr>
      <w:rPr>
        <w:rFonts w:hint="default"/>
        <w:lang w:val="en-au" w:eastAsia="en-au" w:bidi="en-au"/>
      </w:rPr>
    </w:lvl>
    <w:lvl w:ilvl="5">
      <w:start w:val="0"/>
      <w:numFmt w:val="bullet"/>
      <w:lvlText w:val="•"/>
      <w:lvlJc w:val="left"/>
      <w:pPr>
        <w:ind w:left="5191" w:hanging="456"/>
      </w:pPr>
      <w:rPr>
        <w:rFonts w:hint="default"/>
        <w:lang w:val="en-au" w:eastAsia="en-au" w:bidi="en-au"/>
      </w:rPr>
    </w:lvl>
    <w:lvl w:ilvl="6">
      <w:start w:val="0"/>
      <w:numFmt w:val="bullet"/>
      <w:lvlText w:val="•"/>
      <w:lvlJc w:val="left"/>
      <w:pPr>
        <w:ind w:left="6089" w:hanging="456"/>
      </w:pPr>
      <w:rPr>
        <w:rFonts w:hint="default"/>
        <w:lang w:val="en-au" w:eastAsia="en-au" w:bidi="en-au"/>
      </w:rPr>
    </w:lvl>
    <w:lvl w:ilvl="7">
      <w:start w:val="0"/>
      <w:numFmt w:val="bullet"/>
      <w:lvlText w:val="•"/>
      <w:lvlJc w:val="left"/>
      <w:pPr>
        <w:ind w:left="6988" w:hanging="456"/>
      </w:pPr>
      <w:rPr>
        <w:rFonts w:hint="default"/>
        <w:lang w:val="en-au" w:eastAsia="en-au" w:bidi="en-au"/>
      </w:rPr>
    </w:lvl>
    <w:lvl w:ilvl="8">
      <w:start w:val="0"/>
      <w:numFmt w:val="bullet"/>
      <w:lvlText w:val="•"/>
      <w:lvlJc w:val="left"/>
      <w:pPr>
        <w:ind w:left="788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ascii="Arial" w:hAnsi="Arial" w:eastAsia="Arial" w:cs="Arial"/>
        <w:spacing w:val="-3"/>
        <w:w w:val="99"/>
        <w:sz w:val="18"/>
        <w:szCs w:val="18"/>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w w:val="99"/>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TE3-13 Attitude and power changes Pre-flight &amp; in-flight Lesson plan &amp; Training record</dc:title>
  <dcterms:created xsi:type="dcterms:W3CDTF">2021-11-10T00:45:06Z</dcterms:created>
  <dcterms:modified xsi:type="dcterms:W3CDTF">2021-11-10T00:45:06Z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