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3"/>
        <w:rPr>
          <w:rFonts w:ascii="Times New Roman"/>
          <w:b w:val="0"/>
        </w:rPr>
      </w:pPr>
      <w:r>
        <w:rPr>
          <w:rFonts w:ascii="Times New Roman"/>
          <w:b w:val="0"/>
        </w:rPr>
        <w:pict>
          <v:group style="width:544.35pt;height:52.6pt;mso-position-horizontal-relative:char;mso-position-vertical-relative:line" coordorigin="0,0" coordsize="10887,1052">
            <v:line style="position:absolute" from="10,5" to="10877,5" stroked="true" strokeweight=".48pt" strokecolor="#000000">
              <v:stroke dashstyle="solid"/>
            </v:line>
            <v:line style="position:absolute" from="10,674" to="10877,674" stroked="true" strokeweight=".48pt" strokecolor="#000000">
              <v:stroke dashstyle="solid"/>
            </v:line>
            <v:line style="position:absolute" from="5,0" to="5,679" stroked="true" strokeweight=".48pt" strokecolor="#000000">
              <v:stroke dashstyle="solid"/>
            </v:line>
            <v:line style="position:absolute" from="48,684" to="10877,684" stroked="true" strokeweight=".481pt" strokecolor="#000000">
              <v:stroke dashstyle="solid"/>
            </v:line>
            <v:line style="position:absolute" from="48,1046" to="10877,1046" stroked="true" strokeweight=".48pt" strokecolor="#000000">
              <v:stroke dashstyle="solid"/>
            </v:line>
            <v:line style="position:absolute" from="43,679" to="43,1051" stroked="true" strokeweight=".481pt" strokecolor="#000000">
              <v:stroke dashstyle="solid"/>
            </v:line>
            <v:line style="position:absolute" from="10882,0" to="10882,1051" stroked="true" strokeweight=".48pt" strokecolor="#000000">
              <v:stroke dashstyle="solid"/>
            </v:line>
            <v:shape style="position:absolute;left:9;top:688;width:10868;height:353" type="#_x0000_t202" filled="true" fillcolor="#f2f2f2" stroked="false">
              <v:textbox inset="0,0,0,0">
                <w:txbxContent>
                  <w:p>
                    <w:pPr>
                      <w:spacing w:before="57"/>
                      <w:ind w:left="67" w:right="0" w:firstLine="0"/>
                      <w:jc w:val="left"/>
                      <w:rPr>
                        <w:b/>
                        <w:sz w:val="20"/>
                      </w:rPr>
                    </w:pPr>
                    <w:r>
                      <w:rPr>
                        <w:b/>
                        <w:sz w:val="20"/>
                      </w:rPr>
                      <w:t>LESSON TE3-15: CLIMBING AND DESCENDING 2 – PRE-FLIGHT BRIEF and FLIGHT TRAINING</w:t>
                    </w:r>
                  </w:p>
                </w:txbxContent>
              </v:textbox>
              <v:fill type="solid"/>
              <w10:wrap type="none"/>
            </v:shape>
            <v:shape style="position:absolute;left:9;top:9;width:10868;height:660" type="#_x0000_t202" filled="true" fillcolor="#dadada" stroked="false">
              <v:textbox inset="0,0,0,0">
                <w:txbxContent>
                  <w:p>
                    <w:pPr>
                      <w:spacing w:line="276" w:lineRule="auto" w:before="57"/>
                      <w:ind w:left="3400" w:right="1028"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515" w:hRule="atLeast"/>
        </w:trPr>
        <w:tc>
          <w:tcPr>
            <w:tcW w:w="2268" w:type="dxa"/>
            <w:shd w:val="clear" w:color="auto" w:fill="F2F2F2"/>
          </w:tcPr>
          <w:p>
            <w:pPr>
              <w:pStyle w:val="TableParagraph"/>
              <w:spacing w:before="23"/>
              <w:ind w:left="26"/>
              <w:rPr>
                <w:b/>
                <w:sz w:val="20"/>
              </w:rPr>
            </w:pPr>
            <w:r>
              <w:rPr>
                <w:b/>
                <w:w w:val="95"/>
                <w:sz w:val="20"/>
              </w:rPr>
              <w:t>REPLACETRAINEE </w:t>
            </w:r>
            <w:r>
              <w:rPr>
                <w:b/>
                <w:sz w:val="20"/>
              </w:rPr>
              <w:t>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9"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Climbing and</w:t>
            </w:r>
            <w:r>
              <w:rPr>
                <w:b/>
                <w:spacing w:val="-6"/>
                <w:sz w:val="18"/>
              </w:rPr>
              <w:t> </w:t>
            </w:r>
            <w:r>
              <w:rPr>
                <w:b/>
                <w:sz w:val="18"/>
              </w:rPr>
              <w:t>Descending</w:t>
            </w:r>
          </w:p>
          <w:p>
            <w:pPr>
              <w:pStyle w:val="TableParagraph"/>
              <w:numPr>
                <w:ilvl w:val="0"/>
                <w:numId w:val="1"/>
              </w:numPr>
              <w:tabs>
                <w:tab w:pos="777" w:val="left" w:leader="none"/>
                <w:tab w:pos="778" w:val="left" w:leader="none"/>
              </w:tabs>
              <w:spacing w:line="218" w:lineRule="exact" w:before="0" w:after="0"/>
              <w:ind w:left="777" w:right="0" w:hanging="361"/>
              <w:jc w:val="left"/>
              <w:rPr>
                <w:b/>
                <w:sz w:val="18"/>
              </w:rPr>
            </w:pPr>
            <w:r>
              <w:rPr>
                <w:sz w:val="18"/>
              </w:rPr>
              <w:t>Read back of in-flight lesson for </w:t>
            </w:r>
            <w:r>
              <w:rPr>
                <w:b/>
                <w:sz w:val="18"/>
              </w:rPr>
              <w:t>Climbing and</w:t>
            </w:r>
            <w:r>
              <w:rPr>
                <w:b/>
                <w:spacing w:val="-7"/>
                <w:sz w:val="18"/>
              </w:rPr>
              <w:t> </w:t>
            </w:r>
            <w:r>
              <w:rPr>
                <w:b/>
                <w:sz w:val="18"/>
              </w:rPr>
              <w:t>Descending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Straight and Level</w:t>
            </w:r>
          </w:p>
          <w:p>
            <w:pPr>
              <w:pStyle w:val="TableParagraph"/>
              <w:numPr>
                <w:ilvl w:val="0"/>
                <w:numId w:val="1"/>
              </w:numPr>
              <w:tabs>
                <w:tab w:pos="777" w:val="left" w:leader="none"/>
                <w:tab w:pos="778" w:val="left" w:leader="none"/>
              </w:tabs>
              <w:spacing w:line="220" w:lineRule="exact" w:before="5"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194"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58" w:hanging="356"/>
              <w:jc w:val="left"/>
              <w:rPr>
                <w:sz w:val="18"/>
              </w:rPr>
            </w:pPr>
            <w:r>
              <w:rPr>
                <w:sz w:val="18"/>
              </w:rPr>
              <w:t>The instructor should brief the trainee that this lesson will assess their delivery the straight and level in-flight lesson. The trainee should be able to demonstrate a reasonable level of coordination of the demonstration with explanation and manage appropriate student direction. Student record/lesson plan TE3-9 should be used to record the outcome (pre-flight brief read back not</w:t>
            </w:r>
            <w:r>
              <w:rPr>
                <w:spacing w:val="-1"/>
                <w:sz w:val="18"/>
              </w:rPr>
              <w:t> </w:t>
            </w:r>
            <w:r>
              <w:rPr>
                <w:sz w:val="18"/>
              </w:rPr>
              <w:t>required)</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trainee to read back the pre-flight brief on climbing and</w:t>
            </w:r>
            <w:r>
              <w:rPr>
                <w:spacing w:val="-5"/>
                <w:sz w:val="18"/>
              </w:rPr>
              <w:t> </w:t>
            </w:r>
            <w:r>
              <w:rPr>
                <w:sz w:val="18"/>
              </w:rPr>
              <w:t>descending</w:t>
            </w:r>
          </w:p>
          <w:p>
            <w:pPr>
              <w:pStyle w:val="TableParagraph"/>
              <w:numPr>
                <w:ilvl w:val="0"/>
                <w:numId w:val="2"/>
              </w:numPr>
              <w:tabs>
                <w:tab w:pos="624" w:val="left" w:leader="none"/>
              </w:tabs>
              <w:spacing w:line="240" w:lineRule="auto" w:before="41" w:after="0"/>
              <w:ind w:left="623" w:right="-15" w:hanging="356"/>
              <w:jc w:val="both"/>
              <w:rPr>
                <w:sz w:val="18"/>
              </w:rPr>
            </w:pPr>
            <w:r>
              <w:rPr>
                <w:sz w:val="18"/>
              </w:rPr>
              <w:t>In this airborne read back the trainee should be able to deliver the lesson using the demonstrate, direct and monitor techniques of airborne instruction with guidance from the instructor in assessing student performance and provision of additional instruction following the monitoring</w:t>
            </w:r>
            <w:r>
              <w:rPr>
                <w:spacing w:val="-1"/>
                <w:sz w:val="18"/>
              </w:rPr>
              <w:t> </w:t>
            </w:r>
            <w:r>
              <w:rPr>
                <w:sz w:val="18"/>
              </w:rPr>
              <w:t>process.</w:t>
            </w:r>
          </w:p>
          <w:p>
            <w:pPr>
              <w:pStyle w:val="TableParagraph"/>
              <w:numPr>
                <w:ilvl w:val="0"/>
                <w:numId w:val="2"/>
              </w:numPr>
              <w:tabs>
                <w:tab w:pos="624" w:val="left" w:leader="none"/>
              </w:tabs>
              <w:spacing w:line="237" w:lineRule="auto" w:before="43" w:after="0"/>
              <w:ind w:left="623" w:right="-58" w:hanging="356"/>
              <w:jc w:val="both"/>
              <w:rPr>
                <w:sz w:val="18"/>
              </w:rPr>
            </w:pPr>
            <w:r>
              <w:rPr>
                <w:sz w:val="18"/>
              </w:rPr>
              <w:t>The trainee should demonstrate the integration of HF/NTS items introduced in the pre-flight brief and re-inforce those items from previous lessons including visual limitations (in a climb) and look out techniques prior to and during a</w:t>
            </w:r>
            <w:r>
              <w:rPr>
                <w:spacing w:val="-36"/>
                <w:sz w:val="18"/>
              </w:rPr>
              <w:t> </w:t>
            </w:r>
            <w:r>
              <w:rPr>
                <w:sz w:val="18"/>
              </w:rPr>
              <w:t>climb and descent.</w:t>
            </w:r>
          </w:p>
          <w:p>
            <w:pPr>
              <w:pStyle w:val="TableParagraph"/>
              <w:numPr>
                <w:ilvl w:val="0"/>
                <w:numId w:val="2"/>
              </w:numPr>
              <w:tabs>
                <w:tab w:pos="624" w:val="left" w:leader="none"/>
              </w:tabs>
              <w:spacing w:line="240" w:lineRule="auto" w:before="39" w:after="0"/>
              <w:ind w:left="623" w:right="0" w:hanging="356"/>
              <w:jc w:val="both"/>
              <w:rPr>
                <w:sz w:val="18"/>
              </w:rPr>
            </w:pPr>
            <w:r>
              <w:rPr>
                <w:sz w:val="18"/>
              </w:rPr>
              <w:t>The Flight Instructor manual will provide a useful resource for the content of this</w:t>
            </w:r>
            <w:r>
              <w:rPr>
                <w:spacing w:val="-10"/>
                <w:sz w:val="18"/>
              </w:rPr>
              <w:t> </w:t>
            </w:r>
            <w:r>
              <w:rPr>
                <w:sz w:val="18"/>
              </w:rPr>
              <w:t>lesson.</w:t>
            </w:r>
          </w:p>
          <w:p>
            <w:pPr>
              <w:pStyle w:val="TableParagraph"/>
              <w:numPr>
                <w:ilvl w:val="0"/>
                <w:numId w:val="2"/>
              </w:numPr>
              <w:tabs>
                <w:tab w:pos="624" w:val="left" w:leader="none"/>
              </w:tabs>
              <w:spacing w:line="237" w:lineRule="auto" w:before="45" w:after="0"/>
              <w:ind w:left="623" w:right="58" w:hanging="356"/>
              <w:jc w:val="both"/>
              <w:rPr>
                <w:sz w:val="18"/>
              </w:rPr>
            </w:pPr>
            <w:r>
              <w:rPr>
                <w:sz w:val="18"/>
              </w:rPr>
              <w:t>The trainee should deliver a post-flight debrief on their straight and level read back and the climbing and descending read back where the instructor role played the</w:t>
            </w:r>
            <w:r>
              <w:rPr>
                <w:spacing w:val="-4"/>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217"/>
              <w:rPr>
                <w:sz w:val="18"/>
              </w:rPr>
            </w:pPr>
            <w:r>
              <w:rPr>
                <w:sz w:val="18"/>
              </w:rPr>
              <w:t>applies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applies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5"/>
              <w:ind w:left="26" w:right="8"/>
              <w:rPr>
                <w:sz w:val="18"/>
              </w:rPr>
            </w:pPr>
            <w:r>
              <w:rPr>
                <w:sz w:val="18"/>
              </w:rPr>
              <w:t>ability to 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167"/>
              <w:rPr>
                <w:sz w:val="18"/>
              </w:rPr>
            </w:pPr>
            <w:r>
              <w:rPr>
                <w:sz w:val="18"/>
              </w:rPr>
              <w:t>a training plan is prepared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(vii) A3.2 – Straight and Level</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(viii) A3.1 and A3.3 - Climbing and Descending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4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328"/>
              <w:rPr>
                <w:sz w:val="18"/>
              </w:rPr>
            </w:pPr>
            <w:r>
              <w:rPr>
                <w:sz w:val="18"/>
              </w:rPr>
              <w:t>conduct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confirms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considers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7"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Conducts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manages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applies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Directs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implements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provides direction appropriate to trainee's progress;</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provides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provides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right="643"/>
              <w:jc w:val="right"/>
              <w:rPr>
                <w:sz w:val="18"/>
              </w:rPr>
            </w:pPr>
            <w:r>
              <w:rPr>
                <w:sz w:val="18"/>
              </w:rPr>
              <w:t>(v) intervenes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217"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right="715"/>
              <w:jc w:val="right"/>
              <w:rPr>
                <w:sz w:val="18"/>
              </w:rPr>
            </w:pPr>
            <w:r>
              <w:rPr>
                <w:sz w:val="18"/>
              </w:rPr>
              <w:t>(ii) provides and varies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left="791"/>
              <w:rPr>
                <w:sz w:val="18"/>
              </w:rPr>
            </w:pPr>
            <w:r>
              <w:rPr>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right="187"/>
              <w:jc w:val="right"/>
              <w:rPr>
                <w:sz w:val="18"/>
              </w:rPr>
            </w:pPr>
            <w:r>
              <w:rPr>
                <w:sz w:val="18"/>
              </w:rPr>
              <w:t>(c)</w:t>
            </w:r>
          </w:p>
        </w:tc>
        <w:tc>
          <w:tcPr>
            <w:tcW w:w="8489" w:type="dxa"/>
          </w:tcPr>
          <w:p>
            <w:pPr>
              <w:pStyle w:val="TableParagraph"/>
              <w:spacing w:before="25"/>
              <w:ind w:left="26" w:right="398"/>
              <w:rPr>
                <w:sz w:val="18"/>
              </w:rPr>
            </w:pPr>
            <w:r>
              <w:rPr>
                <w:sz w:val="18"/>
              </w:rPr>
              <w:t>Maintains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88"/>
              <w:rPr>
                <w:sz w:val="18"/>
              </w:rPr>
            </w:pPr>
            <w:r>
              <w:rPr>
                <w:sz w:val="18"/>
              </w:rPr>
              <w:t>Manages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378"/>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2949" w:hRule="atLeast"/>
        </w:trPr>
        <w:tc>
          <w:tcPr>
            <w:tcW w:w="10746" w:type="dxa"/>
            <w:gridSpan w:val="2"/>
            <w:tcBorders>
              <w:bottom w:val="single" w:sz="8" w:space="0" w:color="000000"/>
            </w:tcBorders>
          </w:tcPr>
          <w:p>
            <w:pPr>
              <w:pStyle w:val="TableParagraph"/>
              <w:rPr>
                <w:rFonts w:ascii="Times New Roman"/>
                <w:sz w:val="20"/>
              </w:rPr>
            </w:pPr>
          </w:p>
        </w:tc>
      </w:tr>
      <w:tr>
        <w:trPr>
          <w:trHeight w:val="308" w:hRule="atLeast"/>
        </w:trPr>
        <w:tc>
          <w:tcPr>
            <w:tcW w:w="5758" w:type="dxa"/>
            <w:tcBorders>
              <w:top w:val="single" w:sz="8" w:space="0" w:color="000000"/>
            </w:tcBorders>
            <w:shd w:val="clear" w:color="auto" w:fill="C0C0C0"/>
          </w:tcPr>
          <w:p>
            <w:pPr>
              <w:pStyle w:val="TableParagraph"/>
              <w:spacing w:before="23"/>
              <w:ind w:left="55"/>
              <w:rPr>
                <w:b/>
                <w:sz w:val="22"/>
              </w:rPr>
            </w:pPr>
            <w:r>
              <w:rPr>
                <w:b/>
                <w:sz w:val="22"/>
              </w:rPr>
              <w:t>Instructor’s Signature &amp; Date</w:t>
            </w:r>
          </w:p>
        </w:tc>
        <w:tc>
          <w:tcPr>
            <w:tcW w:w="4988" w:type="dxa"/>
            <w:tcBorders>
              <w:top w:val="single" w:sz="8" w:space="0" w:color="000000"/>
            </w:tcBorders>
            <w:shd w:val="clear" w:color="auto" w:fill="C0C0C0"/>
          </w:tcPr>
          <w:p>
            <w:pPr>
              <w:pStyle w:val="TableParagraph"/>
              <w:spacing w:before="23"/>
              <w:ind w:left="57"/>
              <w:rPr>
                <w:b/>
                <w:sz w:val="22"/>
              </w:rPr>
            </w:pPr>
            <w:r>
              <w:rPr>
                <w:b/>
                <w:sz w:val="22"/>
              </w:rPr>
              <w:t>Trainee’s Signature &amp; Date</w:t>
            </w:r>
          </w:p>
        </w:tc>
      </w:tr>
      <w:tr>
        <w:trPr>
          <w:trHeight w:val="347" w:hRule="atLeast"/>
        </w:trPr>
        <w:tc>
          <w:tcPr>
            <w:tcW w:w="5758" w:type="dxa"/>
          </w:tcPr>
          <w:p>
            <w:pPr>
              <w:pStyle w:val="TableParagraph"/>
              <w:rPr>
                <w:rFonts w:ascii="Times New Roman"/>
                <w:sz w:val="20"/>
              </w:rPr>
            </w:pPr>
          </w:p>
        </w:tc>
        <w:tc>
          <w:tcPr>
            <w:tcW w:w="4988" w:type="dxa"/>
          </w:tcPr>
          <w:p>
            <w:pPr>
              <w:pStyle w:val="TableParagraph"/>
              <w:rPr>
                <w:rFonts w:ascii="Times New Roman"/>
                <w:sz w:val="20"/>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768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26656" type="#_x0000_t202" filled="false" stroked="false">
          <v:textbox inset="0,0,0,0">
            <w:txbxContent>
              <w:p>
                <w:pPr>
                  <w:spacing w:line="203" w:lineRule="exact" w:before="0"/>
                  <w:ind w:left="20" w:right="0" w:firstLine="0"/>
                  <w:jc w:val="left"/>
                  <w:rPr>
                    <w:rFonts w:ascii="Calibri"/>
                    <w:sz w:val="18"/>
                  </w:rPr>
                </w:pPr>
                <w:r>
                  <w:rPr>
                    <w:rFonts w:ascii="Calibri"/>
                    <w:sz w:val="18"/>
                  </w:rPr>
                  <w:t>FIR-TE3-15</w:t>
                </w:r>
              </w:p>
            </w:txbxContent>
          </v:textbox>
          <w10:wrap type="none"/>
        </v:shape>
      </w:pict>
    </w:r>
    <w:r>
      <w:rPr/>
      <w:pict>
        <v:shape style="position:absolute;margin-left:274.763pt;margin-top:801.289978pt;width:45.95pt;height:11pt;mso-position-horizontal-relative:page;mso-position-vertical-relative:page;z-index:-2531256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46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153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20512" type="#_x0000_t202" filled="false" stroked="false">
          <v:textbox inset="0,0,0,0">
            <w:txbxContent>
              <w:p>
                <w:pPr>
                  <w:spacing w:line="203" w:lineRule="exact" w:before="0"/>
                  <w:ind w:left="20" w:right="0" w:firstLine="0"/>
                  <w:jc w:val="left"/>
                  <w:rPr>
                    <w:rFonts w:ascii="Calibri"/>
                    <w:sz w:val="18"/>
                  </w:rPr>
                </w:pPr>
                <w:r>
                  <w:rPr>
                    <w:rFonts w:ascii="Calibri"/>
                    <w:sz w:val="18"/>
                  </w:rPr>
                  <w:t>FIR-TE3-15</w:t>
                </w:r>
              </w:p>
            </w:txbxContent>
          </v:textbox>
          <w10:wrap type="none"/>
        </v:shape>
      </w:pict>
    </w:r>
    <w:r>
      <w:rPr/>
      <w:pict>
        <v:shape style="position:absolute;margin-left:274.763pt;margin-top:801.289978pt;width:45.95pt;height:11pt;mso-position-horizontal-relative:page;mso-position-vertical-relative:page;z-index:-2531194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184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2358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50.75pt;height:13.15pt;mso-position-horizontal-relative:page;mso-position-vertical-relative:page;z-index:-253122560" type="#_x0000_t202" filled="false" stroked="false">
          <v:textbox inset="0,0,0,0">
            <w:txbxContent>
              <w:p>
                <w:pPr>
                  <w:pStyle w:val="BodyText"/>
                  <w:spacing w:before="12"/>
                  <w:ind w:left="20"/>
                </w:pPr>
                <w:r>
                  <w:rPr/>
                  <w:t>LESSON TE3-15: CLIMBING AND DESCENDING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5"/>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TE3-15 - Climbing and Descending 2 - pre-flight &amp; in-flight training plan &amp; student record</dc:title>
  <dcterms:created xsi:type="dcterms:W3CDTF">2021-11-10T00:11:59Z</dcterms:created>
  <dcterms:modified xsi:type="dcterms:W3CDTF">2021-11-10T00:11:59Z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