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8pt;mso-position-horizontal-relative:char;mso-position-vertical-relative:line" coordorigin="0,0" coordsize="11004,956">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pt" strokecolor="#000000">
              <v:stroke dashstyle="solid"/>
            </v:line>
            <v:line style="position:absolute" from="24,950" to="10994,950" stroked="true" strokeweight=".48pt" strokecolor="#000000">
              <v:stroke dashstyle="solid"/>
            </v:line>
            <v:line style="position:absolute" from="19,586" to="19,955" stroked="true" strokeweight=".48pt" strokecolor="#000000">
              <v:stroke dashstyle="solid"/>
            </v:line>
            <v:line style="position:absolute" from="10999,0" to="10999,955" stroked="true" strokeweight=".48pt" strokecolor="#000000">
              <v:stroke dashstyle="solid"/>
            </v:line>
            <v:shape style="position:absolute;left:16;top:595;width:10978;height:351" type="#_x0000_t202" filled="true" fillcolor="#f2f2f2" stroked="false">
              <v:textbox inset="0,0,0,0">
                <w:txbxContent>
                  <w:p>
                    <w:pPr>
                      <w:spacing w:before="57"/>
                      <w:ind w:left="36" w:right="0" w:firstLine="0"/>
                      <w:jc w:val="left"/>
                      <w:rPr>
                        <w:b/>
                        <w:sz w:val="20"/>
                      </w:rPr>
                    </w:pPr>
                    <w:r>
                      <w:rPr>
                        <w:b/>
                        <w:sz w:val="20"/>
                      </w:rPr>
                      <w:t>LESSONTE3-68: HOO CHECK (PRE-TEST ASSESSMENT)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2"/>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8"/>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8"/>
              <w:ind w:left="55"/>
              <w:rPr>
                <w:b/>
                <w:sz w:val="20"/>
              </w:rPr>
            </w:pPr>
            <w:r>
              <w:rPr>
                <w:b/>
                <w:sz w:val="20"/>
              </w:rPr>
              <w:t>TRAINEE ARN:</w:t>
            </w:r>
          </w:p>
        </w:tc>
        <w:tc>
          <w:tcPr>
            <w:tcW w:w="2127" w:type="dxa"/>
          </w:tcPr>
          <w:p>
            <w:pPr>
              <w:pStyle w:val="TableParagraph"/>
              <w:rPr>
                <w:rFonts w:ascii="Times New Roman"/>
                <w:sz w:val="18"/>
              </w:rPr>
            </w:pPr>
          </w:p>
        </w:tc>
      </w:tr>
      <w:tr>
        <w:trPr>
          <w:trHeight w:val="575"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70"/>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Pr>
                <w:b/>
                <w:sz w:val="20"/>
              </w:rPr>
            </w:pPr>
            <w:r>
              <w:rPr>
                <w:b/>
                <w:sz w:val="20"/>
              </w:rPr>
              <w:t>TRAINEE READ BACK DATE:</w:t>
            </w:r>
          </w:p>
        </w:tc>
        <w:tc>
          <w:tcPr>
            <w:tcW w:w="4395" w:type="dxa"/>
            <w:gridSpan w:val="3"/>
            <w:tcBorders>
              <w:bottom w:val="single" w:sz="8" w:space="0" w:color="000000"/>
            </w:tcBorders>
          </w:tcPr>
          <w:p>
            <w:pPr>
              <w:pStyle w:val="TableParagraph"/>
              <w:rPr>
                <w:rFonts w:ascii="Times New Roman"/>
                <w:sz w:val="18"/>
              </w:rPr>
            </w:pPr>
          </w:p>
        </w:tc>
      </w:tr>
      <w:tr>
        <w:trPr>
          <w:trHeight w:val="285" w:hRule="atLeast"/>
        </w:trPr>
        <w:tc>
          <w:tcPr>
            <w:tcW w:w="10915" w:type="dxa"/>
            <w:gridSpan w:val="7"/>
            <w:tcBorders>
              <w:top w:val="single" w:sz="8" w:space="0" w:color="000000"/>
            </w:tcBorders>
            <w:shd w:val="clear" w:color="auto" w:fill="C0C0C0"/>
          </w:tcPr>
          <w:p>
            <w:pPr>
              <w:pStyle w:val="TableParagraph"/>
              <w:spacing w:before="21"/>
              <w:ind w:left="4360" w:right="4359"/>
              <w:jc w:val="center"/>
              <w:rPr>
                <w:b/>
                <w:sz w:val="20"/>
              </w:rPr>
            </w:pPr>
            <w:r>
              <w:rPr>
                <w:b/>
                <w:sz w:val="20"/>
              </w:rPr>
              <w:t>Performance Standard</w:t>
            </w:r>
          </w:p>
        </w:tc>
      </w:tr>
      <w:tr>
        <w:trPr>
          <w:trHeight w:val="285"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qualification issue</w:t>
            </w:r>
          </w:p>
        </w:tc>
        <w:tc>
          <w:tcPr>
            <w:tcW w:w="3438" w:type="dxa"/>
            <w:gridSpan w:val="3"/>
          </w:tcPr>
          <w:p>
            <w:pPr>
              <w:pStyle w:val="TableParagraph"/>
              <w:spacing w:before="27"/>
              <w:ind w:left="57" w:right="209"/>
              <w:rPr>
                <w:sz w:val="18"/>
              </w:rPr>
            </w:pPr>
            <w:r>
              <w:rPr>
                <w:sz w:val="18"/>
              </w:rPr>
              <w:t>Is able to achieve competency to the standard required for qualification issue on the majority of occasions</w:t>
            </w:r>
            <w:r>
              <w:rPr>
                <w:color w:val="FF0000"/>
                <w:sz w:val="18"/>
              </w:rPr>
              <w:t>.</w:t>
            </w:r>
          </w:p>
        </w:tc>
        <w:tc>
          <w:tcPr>
            <w:tcW w:w="3812" w:type="dxa"/>
            <w:gridSpan w:val="2"/>
          </w:tcPr>
          <w:p>
            <w:pPr>
              <w:pStyle w:val="TableParagraph"/>
              <w:spacing w:before="27"/>
              <w:ind w:left="56" w:right="724"/>
              <w:rPr>
                <w:sz w:val="18"/>
              </w:rPr>
            </w:pPr>
            <w:r>
              <w:rPr>
                <w:sz w:val="18"/>
              </w:rPr>
              <w:t>Achieves competency to the standard required for qualification issue</w:t>
            </w:r>
          </w:p>
        </w:tc>
      </w:tr>
      <w:tr>
        <w:trPr>
          <w:trHeight w:val="964" w:hRule="atLeast"/>
        </w:trPr>
        <w:tc>
          <w:tcPr>
            <w:tcW w:w="10915"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5" w:after="0"/>
              <w:ind w:left="775" w:right="0" w:hanging="360"/>
              <w:jc w:val="left"/>
              <w:rPr>
                <w:rFonts w:ascii="Symbol" w:hAnsi="Symbol"/>
                <w:sz w:val="18"/>
              </w:rPr>
            </w:pPr>
            <w:r>
              <w:rPr>
                <w:sz w:val="18"/>
              </w:rPr>
              <w:t>Trainee demonstrates aeronautical knowledge through</w:t>
            </w:r>
            <w:r>
              <w:rPr>
                <w:spacing w:val="-8"/>
                <w:sz w:val="18"/>
              </w:rPr>
              <w:t> </w:t>
            </w:r>
            <w:r>
              <w:rPr>
                <w:sz w:val="18"/>
              </w:rPr>
              <w:t>questioning</w:t>
            </w:r>
          </w:p>
          <w:p>
            <w:pPr>
              <w:pStyle w:val="TableParagraph"/>
              <w:numPr>
                <w:ilvl w:val="0"/>
                <w:numId w:val="1"/>
              </w:numPr>
              <w:tabs>
                <w:tab w:pos="825" w:val="left" w:leader="none"/>
                <w:tab w:pos="826" w:val="left" w:leader="none"/>
              </w:tabs>
              <w:spacing w:line="218" w:lineRule="exact" w:before="0" w:after="0"/>
              <w:ind w:left="825" w:right="0" w:hanging="412"/>
              <w:jc w:val="left"/>
              <w:rPr>
                <w:rFonts w:ascii="Symbol" w:hAnsi="Symbol"/>
                <w:sz w:val="18"/>
              </w:rPr>
            </w:pPr>
            <w:r>
              <w:rPr>
                <w:sz w:val="18"/>
              </w:rPr>
              <w:t>Trainee delivers long brief for any element in the</w:t>
            </w:r>
            <w:r>
              <w:rPr>
                <w:spacing w:val="-5"/>
                <w:sz w:val="18"/>
              </w:rPr>
              <w:t> </w:t>
            </w:r>
            <w:r>
              <w:rPr>
                <w:sz w:val="18"/>
              </w:rPr>
              <w:t>course</w:t>
            </w:r>
          </w:p>
          <w:p>
            <w:pPr>
              <w:pStyle w:val="TableParagraph"/>
              <w:numPr>
                <w:ilvl w:val="0"/>
                <w:numId w:val="1"/>
              </w:numPr>
              <w:tabs>
                <w:tab w:pos="774" w:val="left" w:leader="none"/>
                <w:tab w:pos="775" w:val="left" w:leader="none"/>
              </w:tabs>
              <w:spacing w:line="244"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538" w:hRule="atLeast"/>
        </w:trPr>
        <w:tc>
          <w:tcPr>
            <w:tcW w:w="10915" w:type="dxa"/>
            <w:gridSpan w:val="7"/>
          </w:tcPr>
          <w:p>
            <w:pPr>
              <w:pStyle w:val="TableParagraph"/>
              <w:spacing w:before="23"/>
              <w:ind w:left="138"/>
              <w:jc w:val="both"/>
              <w:rPr>
                <w:b/>
                <w:sz w:val="18"/>
              </w:rPr>
            </w:pPr>
            <w:r>
              <w:rPr>
                <w:b/>
                <w:sz w:val="18"/>
              </w:rPr>
              <w:t>Training Notes</w:t>
            </w:r>
          </w:p>
          <w:p>
            <w:pPr>
              <w:pStyle w:val="TableParagraph"/>
              <w:numPr>
                <w:ilvl w:val="0"/>
                <w:numId w:val="2"/>
              </w:numPr>
              <w:tabs>
                <w:tab w:pos="567" w:val="left" w:leader="none"/>
              </w:tabs>
              <w:spacing w:line="240" w:lineRule="auto" w:before="4" w:after="0"/>
              <w:ind w:left="566" w:right="208" w:hanging="360"/>
              <w:jc w:val="both"/>
              <w:rPr>
                <w:sz w:val="18"/>
              </w:rPr>
            </w:pPr>
            <w:r>
              <w:rPr>
                <w:sz w:val="18"/>
              </w:rPr>
              <w:t>The HOO must undertake a detailed review of the trainee record and log book and confirm that all training has been completed and recorded correctly and confirm the trainee meets all other requirements for issues of the training endorsement (and rating if applicable)</w:t>
            </w:r>
          </w:p>
          <w:p>
            <w:pPr>
              <w:pStyle w:val="TableParagraph"/>
              <w:numPr>
                <w:ilvl w:val="0"/>
                <w:numId w:val="2"/>
              </w:numPr>
              <w:tabs>
                <w:tab w:pos="566" w:val="left" w:leader="none"/>
                <w:tab w:pos="567" w:val="left" w:leader="none"/>
              </w:tabs>
              <w:spacing w:line="240" w:lineRule="auto" w:before="1" w:after="0"/>
              <w:ind w:left="566" w:right="49" w:hanging="360"/>
              <w:jc w:val="left"/>
              <w:rPr>
                <w:sz w:val="18"/>
              </w:rPr>
            </w:pPr>
            <w:r>
              <w:rPr>
                <w:sz w:val="18"/>
              </w:rPr>
              <w:t>The HOO should commence the session with short aeronautical knowledge questions associated with the knowledge required for an</w:t>
            </w:r>
            <w:r>
              <w:rPr>
                <w:spacing w:val="-1"/>
                <w:sz w:val="18"/>
              </w:rPr>
              <w:t> </w:t>
            </w:r>
            <w:r>
              <w:rPr>
                <w:sz w:val="18"/>
              </w:rPr>
              <w:t>RPL,</w:t>
            </w:r>
            <w:r>
              <w:rPr>
                <w:spacing w:val="-2"/>
                <w:sz w:val="18"/>
              </w:rPr>
              <w:t> </w:t>
            </w:r>
            <w:r>
              <w:rPr>
                <w:sz w:val="18"/>
              </w:rPr>
              <w:t>PPL</w:t>
            </w:r>
            <w:r>
              <w:rPr>
                <w:spacing w:val="-4"/>
                <w:sz w:val="18"/>
              </w:rPr>
              <w:t> </w:t>
            </w:r>
            <w:r>
              <w:rPr>
                <w:sz w:val="18"/>
              </w:rPr>
              <w:t>or</w:t>
            </w:r>
            <w:r>
              <w:rPr>
                <w:spacing w:val="-2"/>
                <w:sz w:val="18"/>
              </w:rPr>
              <w:t> </w:t>
            </w:r>
            <w:r>
              <w:rPr>
                <w:sz w:val="18"/>
              </w:rPr>
              <w:t>CPL.</w:t>
            </w:r>
            <w:r>
              <w:rPr>
                <w:spacing w:val="-2"/>
                <w:sz w:val="18"/>
              </w:rPr>
              <w:t> </w:t>
            </w:r>
            <w:r>
              <w:rPr>
                <w:sz w:val="18"/>
              </w:rPr>
              <w:t>The</w:t>
            </w:r>
            <w:r>
              <w:rPr>
                <w:spacing w:val="-3"/>
                <w:sz w:val="18"/>
              </w:rPr>
              <w:t> </w:t>
            </w:r>
            <w:r>
              <w:rPr>
                <w:sz w:val="18"/>
              </w:rPr>
              <w:t>questions</w:t>
            </w:r>
            <w:r>
              <w:rPr>
                <w:spacing w:val="-3"/>
                <w:sz w:val="18"/>
              </w:rPr>
              <w:t> </w:t>
            </w:r>
            <w:r>
              <w:rPr>
                <w:sz w:val="18"/>
              </w:rPr>
              <w:t>should</w:t>
            </w:r>
            <w:r>
              <w:rPr>
                <w:spacing w:val="-4"/>
                <w:sz w:val="18"/>
              </w:rPr>
              <w:t> </w:t>
            </w:r>
            <w:r>
              <w:rPr>
                <w:sz w:val="18"/>
              </w:rPr>
              <w:t>also</w:t>
            </w:r>
            <w:r>
              <w:rPr>
                <w:spacing w:val="-1"/>
                <w:sz w:val="18"/>
              </w:rPr>
              <w:t> </w:t>
            </w:r>
            <w:r>
              <w:rPr>
                <w:sz w:val="18"/>
              </w:rPr>
              <w:t>include</w:t>
            </w:r>
            <w:r>
              <w:rPr>
                <w:spacing w:val="-3"/>
                <w:sz w:val="18"/>
              </w:rPr>
              <w:t> </w:t>
            </w:r>
            <w:r>
              <w:rPr>
                <w:sz w:val="18"/>
              </w:rPr>
              <w:t>the</w:t>
            </w:r>
            <w:r>
              <w:rPr>
                <w:spacing w:val="-4"/>
                <w:sz w:val="18"/>
              </w:rPr>
              <w:t> </w:t>
            </w:r>
            <w:r>
              <w:rPr>
                <w:sz w:val="18"/>
              </w:rPr>
              <w:t>element</w:t>
            </w:r>
            <w:r>
              <w:rPr>
                <w:spacing w:val="-4"/>
                <w:sz w:val="18"/>
              </w:rPr>
              <w:t> </w:t>
            </w:r>
            <w:r>
              <w:rPr>
                <w:sz w:val="18"/>
              </w:rPr>
              <w:t>FIR-TE3.1</w:t>
            </w:r>
            <w:r>
              <w:rPr>
                <w:spacing w:val="-1"/>
                <w:sz w:val="18"/>
              </w:rPr>
              <w:t> </w:t>
            </w:r>
            <w:r>
              <w:rPr>
                <w:sz w:val="18"/>
              </w:rPr>
              <w:t>about</w:t>
            </w:r>
            <w:r>
              <w:rPr>
                <w:spacing w:val="-2"/>
                <w:sz w:val="18"/>
              </w:rPr>
              <w:t> </w:t>
            </w:r>
            <w:r>
              <w:rPr>
                <w:sz w:val="18"/>
              </w:rPr>
              <w:t>the</w:t>
            </w:r>
            <w:r>
              <w:rPr>
                <w:spacing w:val="-3"/>
                <w:sz w:val="18"/>
              </w:rPr>
              <w:t> </w:t>
            </w:r>
            <w:r>
              <w:rPr>
                <w:sz w:val="18"/>
              </w:rPr>
              <w:t>MOS</w:t>
            </w:r>
            <w:r>
              <w:rPr>
                <w:spacing w:val="-2"/>
                <w:sz w:val="18"/>
              </w:rPr>
              <w:t> </w:t>
            </w:r>
            <w:r>
              <w:rPr>
                <w:sz w:val="18"/>
              </w:rPr>
              <w:t>and</w:t>
            </w:r>
            <w:r>
              <w:rPr>
                <w:spacing w:val="-1"/>
                <w:sz w:val="18"/>
              </w:rPr>
              <w:t> </w:t>
            </w:r>
            <w:r>
              <w:rPr>
                <w:sz w:val="18"/>
              </w:rPr>
              <w:t>competency</w:t>
            </w:r>
            <w:r>
              <w:rPr>
                <w:spacing w:val="-3"/>
                <w:sz w:val="18"/>
              </w:rPr>
              <w:t> </w:t>
            </w:r>
            <w:r>
              <w:rPr>
                <w:sz w:val="18"/>
              </w:rPr>
              <w:t>based</w:t>
            </w:r>
            <w:r>
              <w:rPr>
                <w:spacing w:val="-1"/>
                <w:sz w:val="18"/>
              </w:rPr>
              <w:t> </w:t>
            </w:r>
            <w:r>
              <w:rPr>
                <w:sz w:val="18"/>
              </w:rPr>
              <w:t>training</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 HOO must record the assessment of aeronautical knowledge in the comments section</w:t>
            </w:r>
            <w:r>
              <w:rPr>
                <w:spacing w:val="-15"/>
                <w:sz w:val="18"/>
              </w:rPr>
              <w:t> </w:t>
            </w:r>
            <w:r>
              <w:rPr>
                <w:sz w:val="18"/>
              </w:rPr>
              <w:t>below.</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 long brief is to be selected from one of the course elements and provided to the trainee on the day of the</w:t>
            </w:r>
            <w:r>
              <w:rPr>
                <w:spacing w:val="-28"/>
                <w:sz w:val="18"/>
              </w:rPr>
              <w:t> </w:t>
            </w:r>
            <w:r>
              <w:rPr>
                <w:sz w:val="18"/>
              </w:rPr>
              <w:t>check</w:t>
            </w:r>
          </w:p>
          <w:p>
            <w:pPr>
              <w:pStyle w:val="TableParagraph"/>
              <w:numPr>
                <w:ilvl w:val="0"/>
                <w:numId w:val="2"/>
              </w:numPr>
              <w:tabs>
                <w:tab w:pos="566" w:val="left" w:leader="none"/>
                <w:tab w:pos="567" w:val="left" w:leader="none"/>
              </w:tabs>
              <w:spacing w:line="207" w:lineRule="exact" w:before="0" w:after="0"/>
              <w:ind w:left="566" w:right="0" w:hanging="361"/>
              <w:jc w:val="left"/>
              <w:rPr>
                <w:sz w:val="18"/>
              </w:rPr>
            </w:pPr>
            <w:r>
              <w:rPr>
                <w:sz w:val="18"/>
              </w:rPr>
              <w:t>The long brief should be allowed to proceed without</w:t>
            </w:r>
            <w:r>
              <w:rPr>
                <w:spacing w:val="-9"/>
                <w:sz w:val="18"/>
              </w:rPr>
              <w:t> </w:t>
            </w:r>
            <w:r>
              <w:rPr>
                <w:sz w:val="18"/>
              </w:rPr>
              <w:t>interruption</w:t>
            </w:r>
          </w:p>
          <w:p>
            <w:pPr>
              <w:pStyle w:val="TableParagraph"/>
              <w:numPr>
                <w:ilvl w:val="0"/>
                <w:numId w:val="2"/>
              </w:numPr>
              <w:tabs>
                <w:tab w:pos="566" w:val="left" w:leader="none"/>
                <w:tab w:pos="567" w:val="left" w:leader="none"/>
              </w:tabs>
              <w:spacing w:line="207" w:lineRule="exact" w:before="1" w:after="0"/>
              <w:ind w:left="566" w:right="0" w:hanging="361"/>
              <w:jc w:val="left"/>
              <w:rPr>
                <w:sz w:val="18"/>
              </w:rPr>
            </w:pPr>
            <w:r>
              <w:rPr>
                <w:sz w:val="18"/>
              </w:rPr>
              <w:t>The HOO must record the assessment of the long</w:t>
            </w:r>
            <w:r>
              <w:rPr>
                <w:spacing w:val="-9"/>
                <w:sz w:val="18"/>
              </w:rPr>
              <w:t> </w:t>
            </w:r>
            <w:r>
              <w:rPr>
                <w:sz w:val="18"/>
              </w:rPr>
              <w:t>brief.</w:t>
            </w:r>
          </w:p>
          <w:p>
            <w:pPr>
              <w:pStyle w:val="TableParagraph"/>
              <w:numPr>
                <w:ilvl w:val="0"/>
                <w:numId w:val="2"/>
              </w:numPr>
              <w:tabs>
                <w:tab w:pos="566" w:val="left" w:leader="none"/>
                <w:tab w:pos="567" w:val="left" w:leader="none"/>
              </w:tabs>
              <w:spacing w:line="240" w:lineRule="auto" w:before="0" w:after="0"/>
              <w:ind w:left="566" w:right="928" w:hanging="360"/>
              <w:jc w:val="left"/>
              <w:rPr>
                <w:sz w:val="18"/>
              </w:rPr>
            </w:pPr>
            <w:r>
              <w:rPr>
                <w:sz w:val="18"/>
              </w:rPr>
              <w:t>At the conclusion of the planned long brief, the HOO must provide a debrief prior to commencing the pre-flight /in-flight component of the</w:t>
            </w:r>
            <w:r>
              <w:rPr>
                <w:spacing w:val="-5"/>
                <w:sz w:val="18"/>
              </w:rPr>
              <w:t> </w:t>
            </w:r>
            <w:r>
              <w:rPr>
                <w:sz w:val="18"/>
              </w:rPr>
              <w:t>check.</w:t>
            </w:r>
          </w:p>
        </w:tc>
      </w:tr>
    </w:tbl>
    <w:p>
      <w:pPr>
        <w:pStyle w:val="BodyText"/>
        <w:spacing w:before="1"/>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92"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48" w:lineRule="exact"/>
              <w:ind w:left="105"/>
              <w:rPr>
                <w:b/>
                <w:sz w:val="22"/>
              </w:rPr>
            </w:pPr>
            <w:r>
              <w:rPr>
                <w:b/>
                <w:sz w:val="22"/>
              </w:rPr>
              <w:t>LESSON DESCRIPTION (including training session number)</w:t>
            </w:r>
          </w:p>
        </w:tc>
      </w:tr>
      <w:tr>
        <w:trPr>
          <w:trHeight w:val="330" w:hRule="atLeast"/>
        </w:trPr>
        <w:tc>
          <w:tcPr>
            <w:tcW w:w="1951" w:type="dxa"/>
          </w:tcPr>
          <w:p>
            <w:pPr>
              <w:pStyle w:val="TableParagraph"/>
              <w:spacing w:before="35"/>
              <w:ind w:left="105"/>
              <w:rPr>
                <w:b/>
                <w:sz w:val="18"/>
              </w:rPr>
            </w:pPr>
            <w:r>
              <w:rPr>
                <w:b/>
                <w:sz w:val="18"/>
              </w:rPr>
              <w:t>Long Brief</w:t>
            </w:r>
          </w:p>
        </w:tc>
        <w:tc>
          <w:tcPr>
            <w:tcW w:w="8894"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5"/>
              <w:ind w:left="26" w:right="98"/>
              <w:rPr>
                <w:b/>
                <w:sz w:val="16"/>
              </w:rPr>
            </w:pPr>
            <w:r>
              <w:rPr>
                <w:b/>
                <w:sz w:val="16"/>
              </w:rPr>
              <w:t>Performance Standard</w:t>
            </w:r>
          </w:p>
        </w:tc>
      </w:tr>
      <w:tr>
        <w:trPr>
          <w:trHeight w:val="834"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512" w:hRule="atLeast"/>
        </w:trPr>
        <w:tc>
          <w:tcPr>
            <w:tcW w:w="1106" w:type="dxa"/>
          </w:tcPr>
          <w:p>
            <w:pPr>
              <w:pStyle w:val="TableParagraph"/>
              <w:spacing w:before="18"/>
              <w:ind w:right="80"/>
              <w:jc w:val="right"/>
              <w:rPr>
                <w:b/>
                <w:sz w:val="20"/>
              </w:rPr>
            </w:pPr>
            <w:r>
              <w:rPr>
                <w:b/>
                <w:sz w:val="20"/>
              </w:rPr>
              <w:t>FIR-TE3.1</w:t>
            </w:r>
          </w:p>
        </w:tc>
        <w:tc>
          <w:tcPr>
            <w:tcW w:w="8647" w:type="dxa"/>
            <w:tcBorders>
              <w:top w:val="single" w:sz="18" w:space="0" w:color="F2F2F2"/>
            </w:tcBorders>
          </w:tcPr>
          <w:p>
            <w:pPr>
              <w:pStyle w:val="TableParagraph"/>
              <w:spacing w:before="18"/>
              <w:ind w:left="26"/>
              <w:rPr>
                <w:b/>
                <w:sz w:val="20"/>
              </w:rPr>
            </w:pPr>
            <w:r>
              <w:rPr>
                <w:b/>
                <w:sz w:val="20"/>
              </w:rPr>
              <w:t>Demonstrate knowledge of competency based training as applied to RPL, PPL and CPL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27"/>
              <w:ind w:right="187"/>
              <w:jc w:val="right"/>
              <w:rPr>
                <w:sz w:val="18"/>
              </w:rPr>
            </w:pPr>
            <w:r>
              <w:rPr>
                <w:w w:val="95"/>
                <w:sz w:val="18"/>
              </w:rPr>
              <w:t>(a)</w:t>
            </w:r>
          </w:p>
        </w:tc>
        <w:tc>
          <w:tcPr>
            <w:tcW w:w="8647" w:type="dxa"/>
          </w:tcPr>
          <w:p>
            <w:pPr>
              <w:pStyle w:val="TableParagraph"/>
              <w:spacing w:before="27"/>
              <w:ind w:left="26" w:right="316"/>
              <w:rPr>
                <w:sz w:val="18"/>
              </w:rPr>
            </w:pPr>
            <w:r>
              <w:rPr>
                <w:sz w:val="18"/>
              </w:rPr>
              <w:t>describe the structure, content and context of the Part 61 MOS pilot licence and standards for RPL, PPL and CPL</w:t>
            </w:r>
          </w:p>
        </w:tc>
        <w:tc>
          <w:tcPr>
            <w:tcW w:w="569" w:type="dxa"/>
            <w:shd w:val="clear" w:color="auto" w:fill="F2F2F2"/>
          </w:tcPr>
          <w:p>
            <w:pPr>
              <w:pStyle w:val="TableParagraph"/>
              <w:spacing w:before="117"/>
              <w:ind w:left="3"/>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25"/>
              <w:ind w:right="187"/>
              <w:jc w:val="right"/>
              <w:rPr>
                <w:sz w:val="18"/>
              </w:rPr>
            </w:pPr>
            <w:r>
              <w:rPr>
                <w:w w:val="95"/>
                <w:sz w:val="18"/>
              </w:rPr>
              <w:t>(b)</w:t>
            </w:r>
          </w:p>
        </w:tc>
        <w:tc>
          <w:tcPr>
            <w:tcW w:w="8647" w:type="dxa"/>
          </w:tcPr>
          <w:p>
            <w:pPr>
              <w:pStyle w:val="TableParagraph"/>
              <w:spacing w:before="37"/>
              <w:ind w:left="26"/>
              <w:rPr>
                <w:sz w:val="18"/>
              </w:rPr>
            </w:pPr>
            <w:r>
              <w:rPr>
                <w:sz w:val="18"/>
              </w:rPr>
              <w:t>describe the content of the flight test standards for RPL, PPL and CPL</w:t>
            </w:r>
          </w:p>
        </w:tc>
        <w:tc>
          <w:tcPr>
            <w:tcW w:w="569" w:type="dxa"/>
            <w:shd w:val="clear" w:color="auto" w:fill="F2F2F2"/>
          </w:tcPr>
          <w:p>
            <w:pPr>
              <w:pStyle w:val="TableParagraph"/>
              <w:spacing w:before="23"/>
              <w:ind w:left="3"/>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27"/>
              <w:ind w:right="187"/>
              <w:jc w:val="right"/>
              <w:rPr>
                <w:sz w:val="18"/>
              </w:rPr>
            </w:pPr>
            <w:r>
              <w:rPr>
                <w:sz w:val="18"/>
              </w:rPr>
              <w:t>(c)</w:t>
            </w:r>
          </w:p>
        </w:tc>
        <w:tc>
          <w:tcPr>
            <w:tcW w:w="8647" w:type="dxa"/>
          </w:tcPr>
          <w:p>
            <w:pPr>
              <w:pStyle w:val="TableParagraph"/>
              <w:spacing w:before="27"/>
              <w:ind w:left="26" w:right="256"/>
              <w:rPr>
                <w:sz w:val="18"/>
              </w:rPr>
            </w:pPr>
            <w:r>
              <w:rPr>
                <w:sz w:val="18"/>
              </w:rPr>
              <w:t>describe the structure, content and context of the Part 61 MOS pilot licence and standards for the aircraft class rating</w:t>
            </w:r>
          </w:p>
        </w:tc>
        <w:tc>
          <w:tcPr>
            <w:tcW w:w="569" w:type="dxa"/>
            <w:shd w:val="clear" w:color="auto" w:fill="F2F2F2"/>
          </w:tcPr>
          <w:p>
            <w:pPr>
              <w:pStyle w:val="TableParagraph"/>
              <w:spacing w:before="117"/>
              <w:ind w:left="3"/>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23"/>
              <w:ind w:left="136"/>
              <w:rPr>
                <w:b/>
                <w:sz w:val="18"/>
              </w:rPr>
            </w:pPr>
            <w:r>
              <w:rPr>
                <w:b/>
                <w:sz w:val="18"/>
              </w:rPr>
              <w:t>FIR-TE3.2</w:t>
            </w:r>
          </w:p>
        </w:tc>
        <w:tc>
          <w:tcPr>
            <w:tcW w:w="8647" w:type="dxa"/>
          </w:tcPr>
          <w:p>
            <w:pPr>
              <w:pStyle w:val="TableParagraph"/>
              <w:spacing w:before="23"/>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left="136"/>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5"/>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left="136"/>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370" w:top="320" w:bottom="56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TE3-68: HOO CHECK (PRE-TEST ASSESSMENT) – LONG BRIEF</w:t>
                  </w:r>
                </w:p>
              </w:txbxContent>
            </v:textbox>
            <v:fill type="solid"/>
            <v:stroke dashstyle="solid"/>
          </v:shape>
        </w:pict>
      </w:r>
      <w:r>
        <w:rPr>
          <w:rFonts w:ascii="Times New Roman"/>
          <w:b w:val="0"/>
        </w:rPr>
      </w:r>
    </w:p>
    <w:p>
      <w:pPr>
        <w:pStyle w:val="BodyText"/>
        <w:spacing w:before="8"/>
        <w:rPr>
          <w:rFonts w:ascii="Times New Roman"/>
          <w:b w:val="0"/>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09"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8"/>
              <w:rPr>
                <w:b/>
                <w:sz w:val="18"/>
              </w:rPr>
            </w:pPr>
            <w:r>
              <w:rPr>
                <w:b/>
                <w:sz w:val="18"/>
              </w:rPr>
              <w:t>Required</w:t>
            </w:r>
          </w:p>
        </w:tc>
        <w:tc>
          <w:tcPr>
            <w:tcW w:w="564" w:type="dxa"/>
            <w:shd w:val="clear" w:color="auto" w:fill="F2F2F2"/>
            <w:textDirection w:val="btLr"/>
          </w:tcPr>
          <w:p>
            <w:pPr>
              <w:pStyle w:val="TableParagraph"/>
              <w:spacing w:before="87"/>
              <w:ind w:left="42"/>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316"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86"/>
              <w:rPr>
                <w:sz w:val="18"/>
              </w:rPr>
            </w:pPr>
            <w:r>
              <w:rPr>
                <w:sz w:val="18"/>
              </w:rPr>
              <w:t>(e)</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342" w:hRule="atLeast"/>
        </w:trPr>
        <w:tc>
          <w:tcPr>
            <w:tcW w:w="962" w:type="dxa"/>
            <w:shd w:val="clear" w:color="auto" w:fill="F2F2F2"/>
          </w:tcPr>
          <w:p>
            <w:pPr>
              <w:pStyle w:val="TableParagraph"/>
              <w:spacing w:before="52"/>
              <w:ind w:right="91"/>
              <w:jc w:val="right"/>
              <w:rPr>
                <w:b/>
                <w:sz w:val="20"/>
              </w:rPr>
            </w:pPr>
            <w:r>
              <w:rPr>
                <w:b/>
                <w:sz w:val="20"/>
              </w:rPr>
              <w:t>MOS Ref</w:t>
            </w:r>
          </w:p>
        </w:tc>
        <w:tc>
          <w:tcPr>
            <w:tcW w:w="9924" w:type="dxa"/>
            <w:gridSpan w:val="4"/>
            <w:shd w:val="clear" w:color="auto" w:fill="F2F2F2"/>
          </w:tcPr>
          <w:p>
            <w:pPr>
              <w:pStyle w:val="TableParagraph"/>
              <w:spacing w:before="52"/>
              <w:ind w:left="57"/>
              <w:rPr>
                <w:b/>
                <w:sz w:val="20"/>
              </w:rPr>
            </w:pPr>
            <w:r>
              <w:rPr>
                <w:b/>
                <w:sz w:val="20"/>
              </w:rPr>
              <w:t>Underpinning knowledge</w:t>
            </w:r>
          </w:p>
        </w:tc>
      </w:tr>
      <w:tr>
        <w:trPr>
          <w:trHeight w:val="321" w:hRule="atLeast"/>
        </w:trPr>
        <w:tc>
          <w:tcPr>
            <w:tcW w:w="962" w:type="dxa"/>
          </w:tcPr>
          <w:p>
            <w:pPr>
              <w:pStyle w:val="TableParagraph"/>
              <w:spacing w:before="51"/>
              <w:ind w:right="101"/>
              <w:jc w:val="right"/>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1955"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370" w:top="320" w:bottom="56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32736" from="41.16pt,809.76001pt" to="575.521pt,809.76001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3.33252pt;width:49.05pt;height:12.1pt;mso-position-horizontal-relative:page;mso-position-vertical-relative:page;z-index:-252531712" type="#_x0000_t202" filled="false" stroked="false">
          <v:textbox inset="0,0,0,0">
            <w:txbxContent>
              <w:p>
                <w:pPr>
                  <w:spacing w:before="14"/>
                  <w:ind w:left="20" w:right="0" w:firstLine="0"/>
                  <w:jc w:val="left"/>
                  <w:rPr>
                    <w:sz w:val="18"/>
                  </w:rPr>
                </w:pPr>
                <w:r>
                  <w:rPr>
                    <w:sz w:val="18"/>
                  </w:rPr>
                  <w:t>FIR-TE3-68</w:t>
                </w:r>
              </w:p>
            </w:txbxContent>
          </v:textbox>
          <w10:wrap type="none"/>
        </v:shape>
      </w:pict>
    </w:r>
    <w:r>
      <w:rPr/>
      <w:pict>
        <v:shape style="position:absolute;margin-left:272.95401pt;margin-top:813.33252pt;width:49.65pt;height:12.1pt;mso-position-horizontal-relative:page;mso-position-vertical-relative:page;z-index:-25253068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3.33252pt;width:32.65pt;height:12.1pt;mso-position-horizontal-relative:page;mso-position-vertical-relative:page;z-index:-25252966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spacing w:val="-3"/>
        <w:w w:val="99"/>
        <w:lang w:val="en-au" w:eastAsia="en-au" w:bidi="en-au"/>
      </w:rPr>
    </w:lvl>
    <w:lvl w:ilvl="1">
      <w:start w:val="0"/>
      <w:numFmt w:val="bullet"/>
      <w:lvlText w:val="•"/>
      <w:lvlJc w:val="left"/>
      <w:pPr>
        <w:ind w:left="1594" w:hanging="360"/>
      </w:pPr>
      <w:rPr>
        <w:rFonts w:hint="default"/>
        <w:lang w:val="en-au" w:eastAsia="en-au" w:bidi="en-au"/>
      </w:rPr>
    </w:lvl>
    <w:lvl w:ilvl="2">
      <w:start w:val="0"/>
      <w:numFmt w:val="bullet"/>
      <w:lvlText w:val="•"/>
      <w:lvlJc w:val="left"/>
      <w:pPr>
        <w:ind w:left="2629" w:hanging="360"/>
      </w:pPr>
      <w:rPr>
        <w:rFonts w:hint="default"/>
        <w:lang w:val="en-au" w:eastAsia="en-au" w:bidi="en-au"/>
      </w:rPr>
    </w:lvl>
    <w:lvl w:ilvl="3">
      <w:start w:val="0"/>
      <w:numFmt w:val="bullet"/>
      <w:lvlText w:val="•"/>
      <w:lvlJc w:val="left"/>
      <w:pPr>
        <w:ind w:left="3663" w:hanging="360"/>
      </w:pPr>
      <w:rPr>
        <w:rFonts w:hint="default"/>
        <w:lang w:val="en-au" w:eastAsia="en-au" w:bidi="en-au"/>
      </w:rPr>
    </w:lvl>
    <w:lvl w:ilvl="4">
      <w:start w:val="0"/>
      <w:numFmt w:val="bullet"/>
      <w:lvlText w:val="•"/>
      <w:lvlJc w:val="left"/>
      <w:pPr>
        <w:ind w:left="4698" w:hanging="360"/>
      </w:pPr>
      <w:rPr>
        <w:rFonts w:hint="default"/>
        <w:lang w:val="en-au" w:eastAsia="en-au" w:bidi="en-au"/>
      </w:rPr>
    </w:lvl>
    <w:lvl w:ilvl="5">
      <w:start w:val="0"/>
      <w:numFmt w:val="bullet"/>
      <w:lvlText w:val="•"/>
      <w:lvlJc w:val="left"/>
      <w:pPr>
        <w:ind w:left="5732" w:hanging="360"/>
      </w:pPr>
      <w:rPr>
        <w:rFonts w:hint="default"/>
        <w:lang w:val="en-au" w:eastAsia="en-au" w:bidi="en-au"/>
      </w:rPr>
    </w:lvl>
    <w:lvl w:ilvl="6">
      <w:start w:val="0"/>
      <w:numFmt w:val="bullet"/>
      <w:lvlText w:val="•"/>
      <w:lvlJc w:val="left"/>
      <w:pPr>
        <w:ind w:left="6767" w:hanging="360"/>
      </w:pPr>
      <w:rPr>
        <w:rFonts w:hint="default"/>
        <w:lang w:val="en-au" w:eastAsia="en-au" w:bidi="en-au"/>
      </w:rPr>
    </w:lvl>
    <w:lvl w:ilvl="7">
      <w:start w:val="0"/>
      <w:numFmt w:val="bullet"/>
      <w:lvlText w:val="•"/>
      <w:lvlJc w:val="left"/>
      <w:pPr>
        <w:ind w:left="7801" w:hanging="360"/>
      </w:pPr>
      <w:rPr>
        <w:rFonts w:hint="default"/>
        <w:lang w:val="en-au" w:eastAsia="en-au" w:bidi="en-au"/>
      </w:rPr>
    </w:lvl>
    <w:lvl w:ilvl="8">
      <w:start w:val="0"/>
      <w:numFmt w:val="bullet"/>
      <w:lvlText w:val="•"/>
      <w:lvlJc w:val="left"/>
      <w:pPr>
        <w:ind w:left="8836"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TE3-68A -  HOO Check (Pre-test assessment) - long brief training plan &amp; student record</dc:title>
  <dcterms:created xsi:type="dcterms:W3CDTF">2021-11-09T23:37:36Z</dcterms:created>
  <dcterms:modified xsi:type="dcterms:W3CDTF">2021-11-09T23:37:36Z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