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450pt;height:64pt;mso-position-horizontal-relative:char;mso-position-vertical-relative:line" coordorigin="0,0" coordsize="11009,1280">
            <v:line style="position:absolute" from="10,5" to="10999,5" stroked="true" strokeweight=".481pt" strokecolor="#000000">
              <v:stroke dashstyle="solid"/>
            </v:line>
            <v:line style="position:absolute" from="10,674" to="10999,674" stroked="true" strokeweight=".481pt" strokecolor="#000000">
              <v:stroke dashstyle="solid"/>
            </v:line>
            <v:line style="position:absolute" from="5,0" to="5,679" stroked="true" strokeweight=".48pt" strokecolor="#000000">
              <v:stroke dashstyle="solid"/>
            </v:line>
            <v:line style="position:absolute" from="11004,0" to="11004,679" stroked="true" strokeweight=".48pt" strokecolor="#000000">
              <v:stroke dashstyle="solid"/>
            </v:line>
            <v:line style="position:absolute" from="26,684" to="10994,684" stroked="true" strokeweight=".48pt" strokecolor="#000000">
              <v:stroke dashstyle="solid"/>
            </v:line>
            <v:line style="position:absolute" from="26,1274" to="10994,1274" stroked="true" strokeweight=".48pt" strokecolor="#000000">
              <v:stroke dashstyle="solid"/>
            </v:line>
            <v:line style="position:absolute" from="22,679" to="22,1279" stroked="true" strokeweight=".481pt" strokecolor="#000000">
              <v:stroke dashstyle="solid"/>
            </v:line>
            <v:line style="position:absolute" from="10999,679" to="10999,1279" stroked="true" strokeweight=".48pt" strokecolor="#000000">
              <v:stroke dashstyle="solid"/>
            </v:line>
            <v:shape style="position:absolute;left:18;top:688;width:10979;height:581" type="#_x0000_t202" filled="true" fillcolor="#f2f2f2" stroked="false">
              <v:textbox inset="0,0,0,0">
                <w:txbxContent>
                  <w:p>
                    <w:pPr>
                      <w:spacing w:before="57"/>
                      <w:ind w:left="37" w:right="188" w:firstLine="0"/>
                      <w:jc w:val="left"/>
                      <w:rPr>
                        <w:b/>
                        <w:sz w:val="20"/>
                      </w:rPr>
                    </w:pPr>
                    <w:r>
                      <w:rPr>
                        <w:b/>
                        <w:sz w:val="20"/>
                      </w:rPr>
                      <w:t>LESSON TE3-62: PREC SEARCH &amp; LANDING AND SYSTEM MALFUNCTIONS 2 – PRE-FLIGHT BRIEF and FLIGHT TRAINING</w:t>
                    </w:r>
                  </w:p>
                </w:txbxContent>
              </v:textbox>
              <v:fill type="solid"/>
              <w10:wrap type="none"/>
            </v:shape>
            <v:shape style="position:absolute;left:18;top:9;width:10979;height:660" type="#_x0000_t202" filled="true" fillcolor="#dadada" stroked="false">
              <v:textbox inset="0,0,0,0">
                <w:txbxContent>
                  <w:p>
                    <w:pPr>
                      <w:spacing w:line="276" w:lineRule="auto" w:before="57"/>
                      <w:ind w:left="3442" w:right="109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10"/>
        <w:rPr>
          <w:rFonts w:ascii="Times New Roman"/>
          <w:b w:val="0"/>
          <w:sz w:val="6"/>
        </w:rPr>
      </w:pPr>
    </w:p>
    <w:tbl>
      <w:tblPr>
        <w:tblW w:w="0" w:type="auto"/>
        <w:jc w:val="left"/>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267"/>
      </w:tblGrid>
      <w:tr>
        <w:trPr>
          <w:trHeight w:val="392"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267" w:type="dxa"/>
            <w:tcBorders>
              <w:left w:val="nil"/>
            </w:tcBorders>
          </w:tcPr>
          <w:p>
            <w:pPr>
              <w:pStyle w:val="TableParagraph"/>
              <w:rPr>
                <w:rFonts w:ascii="Times New Roman"/>
                <w:sz w:val="18"/>
              </w:rPr>
            </w:pPr>
          </w:p>
        </w:tc>
      </w:tr>
      <w:tr>
        <w:trPr>
          <w:trHeight w:val="318"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267" w:type="dxa"/>
            <w:tcBorders>
              <w:left w:val="nil"/>
              <w:bottom w:val="single" w:sz="4" w:space="0" w:color="000000"/>
              <w:right w:val="single" w:sz="4" w:space="0" w:color="000000"/>
            </w:tcBorders>
          </w:tcPr>
          <w:p>
            <w:pPr>
              <w:pStyle w:val="TableParagraph"/>
              <w:rPr>
                <w:rFonts w:ascii="Times New Roman"/>
                <w:sz w:val="18"/>
              </w:rPr>
            </w:pPr>
          </w:p>
        </w:tc>
      </w:tr>
      <w:tr>
        <w:trPr>
          <w:trHeight w:val="325"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9"/>
              <w:rPr>
                <w:b/>
                <w:sz w:val="20"/>
              </w:rPr>
            </w:pPr>
            <w:r>
              <w:rPr>
                <w:b/>
                <w:sz w:val="20"/>
              </w:rPr>
              <w:t>FLIGHT TIME:</w:t>
            </w:r>
          </w:p>
        </w:tc>
        <w:tc>
          <w:tcPr>
            <w:tcW w:w="2267"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9" w:hRule="atLeast"/>
        </w:trPr>
        <w:tc>
          <w:tcPr>
            <w:tcW w:w="10912"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257" w:right="4244"/>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shd w:val="clear" w:color="auto" w:fill="F2F2F2"/>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shd w:val="clear" w:color="auto" w:fill="F2F2F2"/>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401" w:type="dxa"/>
            <w:gridSpan w:val="3"/>
            <w:tcBorders>
              <w:top w:val="single" w:sz="4" w:space="0" w:color="000000"/>
              <w:left w:val="single" w:sz="4" w:space="0" w:color="000000"/>
              <w:bottom w:val="single" w:sz="4" w:space="0" w:color="000000"/>
              <w:right w:val="single" w:sz="4" w:space="0" w:color="000000"/>
            </w:tcBorders>
            <w:shd w:val="clear" w:color="auto" w:fill="F2F2F2"/>
          </w:tcPr>
          <w:p>
            <w:pPr>
              <w:pStyle w:val="TableParagraph"/>
              <w:spacing w:before="27"/>
              <w:ind w:left="60" w:right="309"/>
              <w:rPr>
                <w:sz w:val="18"/>
              </w:rPr>
            </w:pPr>
            <w:r>
              <w:rPr>
                <w:sz w:val="18"/>
              </w:rPr>
              <w:t>Achieves competency to the standard required for the grant of the authorisation.</w:t>
            </w:r>
          </w:p>
        </w:tc>
      </w:tr>
      <w:tr>
        <w:trPr>
          <w:trHeight w:val="1818" w:hRule="atLeast"/>
        </w:trPr>
        <w:tc>
          <w:tcPr>
            <w:tcW w:w="10912"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Read back of pre-flight brief for </w:t>
            </w:r>
            <w:r>
              <w:rPr>
                <w:b/>
                <w:sz w:val="18"/>
              </w:rPr>
              <w:t>Precautionary Search &amp; Landing </w:t>
            </w:r>
            <w:r>
              <w:rPr>
                <w:sz w:val="18"/>
              </w:rPr>
              <w:t>incorporating </w:t>
            </w:r>
            <w:r>
              <w:rPr>
                <w:b/>
                <w:sz w:val="18"/>
              </w:rPr>
              <w:t>Fire Emergencies and System</w:t>
            </w:r>
            <w:r>
              <w:rPr>
                <w:b/>
                <w:spacing w:val="-30"/>
                <w:sz w:val="18"/>
              </w:rPr>
              <w:t> </w:t>
            </w:r>
            <w:r>
              <w:rPr>
                <w:b/>
                <w:sz w:val="18"/>
              </w:rPr>
              <w:t>Failures</w:t>
            </w:r>
          </w:p>
          <w:p>
            <w:pPr>
              <w:pStyle w:val="TableParagraph"/>
              <w:numPr>
                <w:ilvl w:val="0"/>
                <w:numId w:val="1"/>
              </w:numPr>
              <w:tabs>
                <w:tab w:pos="286" w:val="left" w:leader="none"/>
              </w:tabs>
              <w:spacing w:line="218" w:lineRule="exact" w:before="0" w:after="0"/>
              <w:ind w:left="285" w:right="0" w:hanging="220"/>
              <w:jc w:val="left"/>
              <w:rPr>
                <w:b/>
                <w:sz w:val="18"/>
              </w:rPr>
            </w:pPr>
            <w:r>
              <w:rPr>
                <w:sz w:val="18"/>
              </w:rPr>
              <w:t>Read</w:t>
            </w:r>
            <w:r>
              <w:rPr>
                <w:spacing w:val="-2"/>
                <w:sz w:val="18"/>
              </w:rPr>
              <w:t> </w:t>
            </w:r>
            <w:r>
              <w:rPr>
                <w:sz w:val="18"/>
              </w:rPr>
              <w:t>back</w:t>
            </w:r>
            <w:r>
              <w:rPr>
                <w:spacing w:val="-2"/>
                <w:sz w:val="18"/>
              </w:rPr>
              <w:t> </w:t>
            </w:r>
            <w:r>
              <w:rPr>
                <w:sz w:val="18"/>
              </w:rPr>
              <w:t>&amp;</w:t>
            </w:r>
            <w:r>
              <w:rPr>
                <w:spacing w:val="-2"/>
                <w:sz w:val="18"/>
              </w:rPr>
              <w:t> </w:t>
            </w:r>
            <w:r>
              <w:rPr>
                <w:sz w:val="18"/>
              </w:rPr>
              <w:t>assess</w:t>
            </w:r>
            <w:r>
              <w:rPr>
                <w:spacing w:val="-3"/>
                <w:sz w:val="18"/>
              </w:rPr>
              <w:t> </w:t>
            </w:r>
            <w:r>
              <w:rPr>
                <w:sz w:val="18"/>
              </w:rPr>
              <w:t>in-flight</w:t>
            </w:r>
            <w:r>
              <w:rPr>
                <w:spacing w:val="-2"/>
                <w:sz w:val="18"/>
              </w:rPr>
              <w:t> </w:t>
            </w:r>
            <w:r>
              <w:rPr>
                <w:sz w:val="18"/>
              </w:rPr>
              <w:t>lesson</w:t>
            </w:r>
            <w:r>
              <w:rPr>
                <w:spacing w:val="-1"/>
                <w:sz w:val="18"/>
              </w:rPr>
              <w:t> </w:t>
            </w:r>
            <w:r>
              <w:rPr>
                <w:sz w:val="18"/>
              </w:rPr>
              <w:t>for</w:t>
            </w:r>
            <w:r>
              <w:rPr>
                <w:spacing w:val="-4"/>
                <w:sz w:val="18"/>
              </w:rPr>
              <w:t> </w:t>
            </w:r>
            <w:r>
              <w:rPr>
                <w:b/>
                <w:sz w:val="18"/>
              </w:rPr>
              <w:t>Precautionary</w:t>
            </w:r>
            <w:r>
              <w:rPr>
                <w:b/>
                <w:spacing w:val="-11"/>
                <w:sz w:val="18"/>
              </w:rPr>
              <w:t> </w:t>
            </w:r>
            <w:r>
              <w:rPr>
                <w:b/>
                <w:sz w:val="18"/>
              </w:rPr>
              <w:t>Search</w:t>
            </w:r>
            <w:r>
              <w:rPr>
                <w:b/>
                <w:spacing w:val="-2"/>
                <w:sz w:val="18"/>
              </w:rPr>
              <w:t> </w:t>
            </w:r>
            <w:r>
              <w:rPr>
                <w:b/>
                <w:sz w:val="18"/>
              </w:rPr>
              <w:t>&amp;</w:t>
            </w:r>
            <w:r>
              <w:rPr>
                <w:b/>
                <w:spacing w:val="-2"/>
                <w:sz w:val="18"/>
              </w:rPr>
              <w:t> </w:t>
            </w:r>
            <w:r>
              <w:rPr>
                <w:b/>
                <w:sz w:val="18"/>
              </w:rPr>
              <w:t>Landing</w:t>
            </w:r>
            <w:r>
              <w:rPr>
                <w:b/>
                <w:spacing w:val="-2"/>
                <w:sz w:val="18"/>
              </w:rPr>
              <w:t> </w:t>
            </w:r>
            <w:r>
              <w:rPr>
                <w:sz w:val="18"/>
              </w:rPr>
              <w:t>incorporating</w:t>
            </w:r>
            <w:r>
              <w:rPr>
                <w:spacing w:val="-1"/>
                <w:sz w:val="18"/>
              </w:rPr>
              <w:t> </w:t>
            </w:r>
            <w:r>
              <w:rPr>
                <w:b/>
                <w:sz w:val="18"/>
              </w:rPr>
              <w:t>Fire</w:t>
            </w:r>
            <w:r>
              <w:rPr>
                <w:b/>
                <w:spacing w:val="-1"/>
                <w:sz w:val="18"/>
              </w:rPr>
              <w:t> </w:t>
            </w:r>
            <w:r>
              <w:rPr>
                <w:b/>
                <w:sz w:val="18"/>
              </w:rPr>
              <w:t>Emergencies</w:t>
            </w:r>
            <w:r>
              <w:rPr>
                <w:b/>
                <w:spacing w:val="-4"/>
                <w:sz w:val="18"/>
              </w:rPr>
              <w:t> </w:t>
            </w:r>
            <w:r>
              <w:rPr>
                <w:b/>
                <w:sz w:val="18"/>
              </w:rPr>
              <w:t>and</w:t>
            </w:r>
            <w:r>
              <w:rPr>
                <w:b/>
                <w:spacing w:val="-2"/>
                <w:sz w:val="18"/>
              </w:rPr>
              <w:t> </w:t>
            </w:r>
            <w:r>
              <w:rPr>
                <w:b/>
                <w:sz w:val="18"/>
              </w:rPr>
              <w:t>System</w:t>
            </w:r>
            <w:r>
              <w:rPr>
                <w:b/>
                <w:spacing w:val="-1"/>
                <w:sz w:val="18"/>
              </w:rPr>
              <w:t> </w:t>
            </w:r>
            <w:r>
              <w:rPr>
                <w:b/>
                <w:sz w:val="18"/>
              </w:rPr>
              <w:t>Failures</w:t>
            </w:r>
          </w:p>
          <w:p>
            <w:pPr>
              <w:pStyle w:val="TableParagraph"/>
              <w:numPr>
                <w:ilvl w:val="0"/>
                <w:numId w:val="1"/>
              </w:numPr>
              <w:tabs>
                <w:tab w:pos="286" w:val="left" w:leader="none"/>
              </w:tabs>
              <w:spacing w:line="219" w:lineRule="exact" w:before="0" w:after="0"/>
              <w:ind w:left="285" w:right="0" w:hanging="220"/>
              <w:jc w:val="left"/>
              <w:rPr>
                <w:b/>
                <w:sz w:val="18"/>
              </w:rPr>
            </w:pPr>
            <w:r>
              <w:rPr>
                <w:sz w:val="18"/>
              </w:rPr>
              <w:t>Read back and assess in-flight lesson for </w:t>
            </w:r>
            <w:r>
              <w:rPr>
                <w:b/>
                <w:sz w:val="18"/>
              </w:rPr>
              <w:t>Practise Forced landings </w:t>
            </w:r>
            <w:r>
              <w:rPr>
                <w:sz w:val="18"/>
              </w:rPr>
              <w:t>and</w:t>
            </w:r>
            <w:r>
              <w:rPr>
                <w:spacing w:val="-15"/>
                <w:sz w:val="18"/>
              </w:rPr>
              <w:t> </w:t>
            </w:r>
            <w:r>
              <w:rPr>
                <w:b/>
                <w:sz w:val="18"/>
              </w:rPr>
              <w:t>EFATO</w:t>
            </w:r>
          </w:p>
          <w:p>
            <w:pPr>
              <w:pStyle w:val="TableParagraph"/>
              <w:numPr>
                <w:ilvl w:val="0"/>
                <w:numId w:val="1"/>
              </w:numPr>
              <w:tabs>
                <w:tab w:pos="286" w:val="left" w:leader="none"/>
              </w:tabs>
              <w:spacing w:line="240" w:lineRule="auto" w:before="0" w:after="0"/>
              <w:ind w:left="285" w:right="0" w:hanging="220"/>
              <w:jc w:val="left"/>
              <w:rPr>
                <w:b/>
                <w:sz w:val="18"/>
              </w:rPr>
            </w:pPr>
            <w:r>
              <w:rPr>
                <w:sz w:val="18"/>
              </w:rPr>
              <w:t>Read back of in-flight lesson for </w:t>
            </w:r>
            <w:r>
              <w:rPr>
                <w:b/>
                <w:sz w:val="18"/>
              </w:rPr>
              <w:t>Flapless landings, short field take-off and landings and cross-wind take-off and</w:t>
            </w:r>
            <w:r>
              <w:rPr>
                <w:b/>
                <w:spacing w:val="-32"/>
                <w:sz w:val="18"/>
              </w:rPr>
              <w:t> </w:t>
            </w:r>
            <w:r>
              <w:rPr>
                <w:b/>
                <w:sz w:val="18"/>
              </w:rPr>
              <w:t>landings</w:t>
            </w:r>
          </w:p>
          <w:p>
            <w:pPr>
              <w:pStyle w:val="TableParagraph"/>
              <w:numPr>
                <w:ilvl w:val="0"/>
                <w:numId w:val="1"/>
              </w:numPr>
              <w:tabs>
                <w:tab w:pos="285" w:val="left" w:leader="none"/>
              </w:tabs>
              <w:spacing w:line="219" w:lineRule="exact" w:before="3" w:after="0"/>
              <w:ind w:left="284" w:right="0" w:hanging="219"/>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5" w:val="left" w:leader="none"/>
              </w:tabs>
              <w:spacing w:line="219" w:lineRule="exact" w:before="0" w:after="0"/>
              <w:ind w:left="284" w:right="0" w:hanging="219"/>
              <w:jc w:val="left"/>
              <w:rPr>
                <w:sz w:val="18"/>
              </w:rPr>
            </w:pPr>
            <w:r>
              <w:rPr>
                <w:sz w:val="18"/>
              </w:rPr>
              <w:t>The blueprint for the pre-flight brief and in-flight lesson is the operator’s approved lesson from their RPL/PPL/CPL</w:t>
            </w:r>
            <w:r>
              <w:rPr>
                <w:spacing w:val="-33"/>
                <w:sz w:val="18"/>
              </w:rPr>
              <w:t> </w:t>
            </w:r>
            <w:r>
              <w:rPr>
                <w:sz w:val="18"/>
              </w:rPr>
              <w:t>syllabus</w:t>
            </w:r>
          </w:p>
          <w:p>
            <w:pPr>
              <w:pStyle w:val="TableParagraph"/>
              <w:numPr>
                <w:ilvl w:val="0"/>
                <w:numId w:val="1"/>
              </w:numPr>
              <w:tabs>
                <w:tab w:pos="286" w:val="left" w:leader="none"/>
              </w:tabs>
              <w:spacing w:line="240" w:lineRule="auto" w:before="1"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3441" w:hRule="atLeast"/>
        </w:trPr>
        <w:tc>
          <w:tcPr>
            <w:tcW w:w="10912"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37" w:lineRule="auto" w:before="8" w:after="0"/>
              <w:ind w:left="623" w:right="420" w:hanging="356"/>
              <w:jc w:val="left"/>
              <w:rPr>
                <w:sz w:val="18"/>
              </w:rPr>
            </w:pPr>
            <w:r>
              <w:rPr>
                <w:sz w:val="18"/>
              </w:rPr>
              <w:t>The instructor should brief the trainee that this lesson will include assessment of Precautionary search and landings, system failures, forced landings and EFATO. These assessments must be clearly noted and recorded in the training</w:t>
            </w:r>
            <w:r>
              <w:rPr>
                <w:spacing w:val="-22"/>
                <w:sz w:val="18"/>
              </w:rPr>
              <w:t> </w:t>
            </w:r>
            <w:r>
              <w:rPr>
                <w:sz w:val="18"/>
              </w:rPr>
              <w:t>record.</w:t>
            </w:r>
          </w:p>
          <w:p>
            <w:pPr>
              <w:pStyle w:val="TableParagraph"/>
              <w:numPr>
                <w:ilvl w:val="0"/>
                <w:numId w:val="2"/>
              </w:numPr>
              <w:tabs>
                <w:tab w:pos="623" w:val="left" w:leader="none"/>
                <w:tab w:pos="624" w:val="left" w:leader="none"/>
              </w:tabs>
              <w:spacing w:line="237" w:lineRule="auto" w:before="44" w:after="0"/>
              <w:ind w:left="623" w:right="9" w:hanging="356"/>
              <w:jc w:val="left"/>
              <w:rPr>
                <w:sz w:val="18"/>
              </w:rPr>
            </w:pPr>
            <w:r>
              <w:rPr>
                <w:sz w:val="18"/>
              </w:rPr>
              <w:t>The instructor should brief the trainee that this lesson will include read back flapless landings and short field and cross-wind take- offs and landings in-flight lessons. These read backs provide further consolidation practice for the trainee</w:t>
            </w:r>
            <w:r>
              <w:rPr>
                <w:spacing w:val="-22"/>
                <w:sz w:val="18"/>
              </w:rPr>
              <w:t> </w:t>
            </w:r>
            <w:r>
              <w:rPr>
                <w:sz w:val="18"/>
              </w:rPr>
              <w:t>instructor</w:t>
            </w:r>
          </w:p>
          <w:p>
            <w:pPr>
              <w:pStyle w:val="TableParagraph"/>
              <w:numPr>
                <w:ilvl w:val="0"/>
                <w:numId w:val="2"/>
              </w:numPr>
              <w:tabs>
                <w:tab w:pos="623" w:val="left" w:leader="none"/>
                <w:tab w:pos="624" w:val="left" w:leader="none"/>
              </w:tabs>
              <w:spacing w:line="237" w:lineRule="auto" w:before="44" w:after="0"/>
              <w:ind w:left="623" w:right="709" w:hanging="356"/>
              <w:jc w:val="left"/>
              <w:rPr>
                <w:sz w:val="18"/>
              </w:rPr>
            </w:pPr>
            <w:r>
              <w:rPr>
                <w:sz w:val="18"/>
              </w:rPr>
              <w:t>During the in-flight lesson, the trainee must demonstrate the correct procedures and techniques for the sequences being practised, as developed in previous</w:t>
            </w:r>
            <w:r>
              <w:rPr>
                <w:spacing w:val="3"/>
                <w:sz w:val="18"/>
              </w:rPr>
              <w:t> </w:t>
            </w:r>
            <w:r>
              <w:rPr>
                <w:sz w:val="18"/>
              </w:rPr>
              <w:t>lessons.</w:t>
            </w:r>
          </w:p>
          <w:p>
            <w:pPr>
              <w:pStyle w:val="TableParagraph"/>
              <w:numPr>
                <w:ilvl w:val="0"/>
                <w:numId w:val="2"/>
              </w:numPr>
              <w:tabs>
                <w:tab w:pos="623" w:val="left" w:leader="none"/>
                <w:tab w:pos="624" w:val="left" w:leader="none"/>
              </w:tabs>
              <w:spacing w:line="240" w:lineRule="auto" w:before="42" w:after="0"/>
              <w:ind w:left="623" w:right="145" w:hanging="356"/>
              <w:jc w:val="left"/>
              <w:rPr>
                <w:sz w:val="18"/>
              </w:rPr>
            </w:pPr>
            <w:r>
              <w:rPr>
                <w:sz w:val="18"/>
              </w:rPr>
              <w:t>At this stage, the trainee should be able to deliver the lessons without error and with coordinated patter and demonstration. The instructor should introduce student error scenarios to re-inforce the trainee’s ability to identify problems and provide remedial training.</w:t>
            </w:r>
          </w:p>
          <w:p>
            <w:pPr>
              <w:pStyle w:val="TableParagraph"/>
              <w:numPr>
                <w:ilvl w:val="0"/>
                <w:numId w:val="2"/>
              </w:numPr>
              <w:tabs>
                <w:tab w:pos="623" w:val="left" w:leader="none"/>
                <w:tab w:pos="624" w:val="left" w:leader="none"/>
              </w:tabs>
              <w:spacing w:line="240" w:lineRule="auto" w:before="39" w:after="0"/>
              <w:ind w:left="623" w:right="-29" w:hanging="356"/>
              <w:jc w:val="left"/>
              <w:rPr>
                <w:sz w:val="18"/>
              </w:rPr>
            </w:pPr>
            <w:r>
              <w:rPr>
                <w:sz w:val="18"/>
              </w:rPr>
              <w:t>The lesson may also include scenarios where the trainee instructor assesses student performance prior to authorising subsequen solo flights. The instructor should ensure that these scenarios are indicative of common student practice and performance. The instructor must analyse and discuss the trainee decisions in the lesson</w:t>
            </w:r>
            <w:r>
              <w:rPr>
                <w:spacing w:val="-5"/>
                <w:sz w:val="18"/>
              </w:rPr>
              <w:t> </w:t>
            </w:r>
            <w:r>
              <w:rPr>
                <w:sz w:val="18"/>
              </w:rPr>
              <w:t>debrief.</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instructor where the instructor role played a</w:t>
            </w:r>
            <w:r>
              <w:rPr>
                <w:spacing w:val="-9"/>
                <w:sz w:val="18"/>
              </w:rPr>
              <w:t> </w:t>
            </w:r>
            <w:r>
              <w:rPr>
                <w:sz w:val="18"/>
              </w:rPr>
              <w:t>student.</w:t>
            </w:r>
          </w:p>
        </w:tc>
      </w:tr>
    </w:tbl>
    <w:p>
      <w:pPr>
        <w:pStyle w:val="BodyText"/>
        <w:spacing w:before="2"/>
        <w:rPr>
          <w:rFonts w:ascii="Times New Roman"/>
          <w:b w:val="0"/>
          <w:sz w:val="28"/>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(e)</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416" w:top="440" w:bottom="600" w:left="560" w:right="140"/>
          <w:pgNumType w:start="1"/>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86"/>
              <w:rPr>
                <w:sz w:val="18"/>
              </w:rPr>
            </w:pPr>
            <w:r>
              <w:rPr>
                <w:sz w:val="18"/>
              </w:rPr>
              <w:t>(i) NTS1 and NTS2</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(xviii) A2.1,A2.2, A2.4, A3.6, and A4.1 – flapless circuits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6"/>
              <w:ind w:left="345"/>
              <w:rPr>
                <w:sz w:val="20"/>
              </w:rPr>
            </w:pPr>
            <w:r>
              <w:rPr>
                <w:sz w:val="20"/>
              </w:rPr>
              <w:t>(xix) A2.5 and A4.5 – Short field take-off and landings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(xvii) A2.3 and A4.2 – Cross-wind take-off and landings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(xxi) A6.3 – Forced landings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(xxii) A6.1 and A6.2 – Engine failure after take-off &amp; engine failure in circuit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422"/>
              <w:rPr>
                <w:sz w:val="18"/>
              </w:rPr>
            </w:pPr>
            <w:r>
              <w:rPr>
                <w:sz w:val="18"/>
              </w:rPr>
              <w:t>(xxiii) A6.4, A6.3 – Precautionary search and landing and partial engine failure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422"/>
              <w:rPr>
                <w:sz w:val="18"/>
              </w:rPr>
            </w:pPr>
            <w:r>
              <w:rPr>
                <w:sz w:val="18"/>
              </w:rPr>
              <w:t>(xxiv) A6.5 – Fire drill and system malfunctions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5"/>
              <w:jc w:val="right"/>
              <w:rPr>
                <w:sz w:val="20"/>
              </w:rPr>
            </w:pPr>
            <w:r>
              <w:rPr>
                <w:sz w:val="20"/>
              </w:rPr>
              <w:t>(f)</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1"/>
              <w:ind w:right="133"/>
              <w:jc w:val="right"/>
              <w:rPr>
                <w:sz w:val="20"/>
              </w:rPr>
            </w:pPr>
            <w:r>
              <w:rPr>
                <w:sz w:val="20"/>
              </w:rPr>
              <w:t>(a)</w:t>
            </w:r>
          </w:p>
        </w:tc>
        <w:tc>
          <w:tcPr>
            <w:tcW w:w="8489" w:type="dxa"/>
          </w:tcPr>
          <w:p>
            <w:pPr>
              <w:pStyle w:val="TableParagraph"/>
              <w:spacing w:before="25"/>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454" w:footer="416" w:top="1040" w:bottom="600" w:left="560" w:right="140"/>
          <w:pgNumType w:start="2"/>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242"/>
              <w:rPr>
                <w:sz w:val="18"/>
              </w:rPr>
            </w:pPr>
            <w:r>
              <w:rPr>
                <w:sz w:val="18"/>
              </w:rPr>
              <w:t>(ii) make clear, concise and systematic explanations;</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NTS1.3 Assess situations and make decisions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7" w:hRule="atLeast"/>
        </w:trPr>
        <w:tc>
          <w:tcPr>
            <w:tcW w:w="1212" w:type="dxa"/>
          </w:tcPr>
          <w:p>
            <w:pPr>
              <w:pStyle w:val="TableParagraph"/>
              <w:spacing w:before="25"/>
              <w:ind w:right="187"/>
              <w:jc w:val="right"/>
              <w:rPr>
                <w:sz w:val="18"/>
              </w:rPr>
            </w:pPr>
            <w:r>
              <w:rPr>
                <w:w w:val="95"/>
                <w:sz w:val="18"/>
              </w:rPr>
              <w:t>(d)</w:t>
            </w:r>
          </w:p>
        </w:tc>
        <w:tc>
          <w:tcPr>
            <w:tcW w:w="8489" w:type="dxa"/>
          </w:tcPr>
          <w:p>
            <w:pPr>
              <w:pStyle w:val="TableParagraph"/>
              <w:spacing w:before="25"/>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pgSz w:w="11910" w:h="16840"/>
          <w:pgMar w:header="454" w:footer="416" w:top="1040" w:bottom="600" w:left="560" w:right="140"/>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10"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466" w:hRule="atLeast"/>
        </w:trPr>
        <w:tc>
          <w:tcPr>
            <w:tcW w:w="1212" w:type="dxa"/>
            <w:gridSpan w:val="2"/>
          </w:tcPr>
          <w:p>
            <w:pPr>
              <w:pStyle w:val="TableParagraph"/>
              <w:spacing w:before="22"/>
              <w:ind w:left="767"/>
              <w:rPr>
                <w:sz w:val="20"/>
              </w:rPr>
            </w:pPr>
            <w:r>
              <w:rPr>
                <w:sz w:val="20"/>
              </w:rPr>
              <w:t>(a)</w:t>
            </w:r>
          </w:p>
        </w:tc>
        <w:tc>
          <w:tcPr>
            <w:tcW w:w="8489" w:type="dxa"/>
            <w:tcBorders>
              <w:top w:val="single" w:sz="18" w:space="0" w:color="F2F2F2"/>
            </w:tcBorders>
          </w:tcPr>
          <w:p>
            <w:pPr>
              <w:pStyle w:val="TableParagraph"/>
              <w:spacing w:before="24"/>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38"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3" w:hRule="atLeast"/>
        </w:trPr>
        <w:tc>
          <w:tcPr>
            <w:tcW w:w="10746" w:type="dxa"/>
            <w:gridSpan w:val="2"/>
            <w:shd w:val="clear" w:color="auto" w:fill="F2F2F2"/>
          </w:tcPr>
          <w:p>
            <w:pPr>
              <w:pStyle w:val="TableParagraph"/>
              <w:spacing w:before="112"/>
              <w:ind w:left="3014" w:hanging="2388"/>
              <w:rPr>
                <w:b/>
                <w:sz w:val="20"/>
              </w:rPr>
            </w:pPr>
            <w:r>
              <w:rPr>
                <w:b/>
                <w:sz w:val="20"/>
              </w:rPr>
              <w:t>COMMENTS AND OUTCOME (INCLUDING ELEMENTS &amp; PERFORMANCE CRITERIA THAT REQUIRE CONSOLIDATION AND/OR REMEDIAL TRAINING)</w:t>
            </w:r>
          </w:p>
        </w:tc>
      </w:tr>
      <w:tr>
        <w:trPr>
          <w:trHeight w:val="4254"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454" w:footer="416" w:top="1040" w:bottom="600" w:left="560" w:right="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244416" from="41.16pt,807.47998pt" to="575.521pt,807.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2.570007pt;width:41.4pt;height:11pt;mso-position-horizontal-relative:page;mso-position-vertical-relative:page;z-index:-253243392" type="#_x0000_t202" filled="false" stroked="false">
          <v:textbox inset="0,0,0,0">
            <w:txbxContent>
              <w:p>
                <w:pPr>
                  <w:spacing w:line="203" w:lineRule="exact" w:before="0"/>
                  <w:ind w:left="20" w:right="0" w:firstLine="0"/>
                  <w:jc w:val="left"/>
                  <w:rPr>
                    <w:rFonts w:ascii="Calibri"/>
                    <w:sz w:val="18"/>
                  </w:rPr>
                </w:pPr>
                <w:r>
                  <w:rPr>
                    <w:rFonts w:ascii="Calibri"/>
                    <w:sz w:val="18"/>
                  </w:rPr>
                  <w:t>FIR-TE3-62</w:t>
                </w:r>
              </w:p>
            </w:txbxContent>
          </v:textbox>
          <w10:wrap type="none"/>
        </v:shape>
      </w:pict>
    </w:r>
    <w:r>
      <w:rPr/>
      <w:pict>
        <v:shape style="position:absolute;margin-left:274.763pt;margin-top:812.570007pt;width:45.95pt;height:11pt;mso-position-horizontal-relative:page;mso-position-vertical-relative:page;z-index:-25324236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12.570007pt;width:42.45pt;height:11pt;mso-position-horizontal-relative:page;mso-position-vertical-relative:page;z-index:-25324134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238272" from="41.16pt,807.47998pt" to="575.521pt,807.47998pt" stroked="true" strokeweight=".72pt" strokecolor="#000000">
          <v:stroke dashstyle="solid"/>
          <w10:wrap type="none"/>
        </v:line>
      </w:pict>
    </w:r>
    <w:r>
      <w:rPr/>
      <w:pict>
        <v:shape style="position:absolute;margin-left:41.599998pt;margin-top:812.570007pt;width:41.4pt;height:11pt;mso-position-horizontal-relative:page;mso-position-vertical-relative:page;z-index:-253237248" type="#_x0000_t202" filled="false" stroked="false">
          <v:textbox inset="0,0,0,0">
            <w:txbxContent>
              <w:p>
                <w:pPr>
                  <w:spacing w:line="203" w:lineRule="exact" w:before="0"/>
                  <w:ind w:left="20" w:right="0" w:firstLine="0"/>
                  <w:jc w:val="left"/>
                  <w:rPr>
                    <w:rFonts w:ascii="Calibri"/>
                    <w:sz w:val="18"/>
                  </w:rPr>
                </w:pPr>
                <w:r>
                  <w:rPr>
                    <w:rFonts w:ascii="Calibri"/>
                    <w:sz w:val="18"/>
                  </w:rPr>
                  <w:t>FIR-TE3-62</w:t>
                </w:r>
              </w:p>
            </w:txbxContent>
          </v:textbox>
          <w10:wrap type="none"/>
        </v:shape>
      </w:pict>
    </w:r>
    <w:r>
      <w:rPr/>
      <w:pict>
        <v:shape style="position:absolute;margin-left:274.763pt;margin-top:812.570007pt;width:45.95pt;height:11pt;mso-position-horizontal-relative:page;mso-position-vertical-relative:page;z-index:-25323622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12.570007pt;width:42.45pt;height:11pt;mso-position-horizontal-relative:page;mso-position-vertical-relative:page;z-index:-25323520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2.678984pt;width:549.4pt;height:30.05pt;mso-position-horizontal-relative:page;mso-position-vertical-relative:page;z-index:-253240320" coordorigin="672,454" coordsize="10988,601">
          <v:rect style="position:absolute;left:681;top:463;width:10968;height:291" filled="true" fillcolor="#f2f2f2" stroked="false">
            <v:fill type="solid"/>
          </v:rect>
          <v:line style="position:absolute" from="682,458" to="11650,458" stroked="true" strokeweight=".481pt" strokecolor="#000000">
            <v:stroke dashstyle="solid"/>
          </v:line>
          <v:rect style="position:absolute;left:681;top:753;width:10968;height:291" filled="true" fillcolor="#f2f2f2" stroked="false">
            <v:fill type="solid"/>
          </v:rect>
          <v:shape style="position:absolute;left:676;top:453;width:10973;height:601" coordorigin="677,454" coordsize="10973,601" path="m682,1049l11650,1049m677,454l677,1054e" filled="false" stroked="true" strokeweight=".481pt" strokecolor="#000000">
            <v:path arrowok="t"/>
            <v:stroke dashstyle="solid"/>
          </v:shape>
          <v:line style="position:absolute" from="11654,454" to="11654,1054" stroked="true" strokeweight=".48pt" strokecolor="#000000">
            <v:stroke dashstyle="solid"/>
          </v:line>
          <w10:wrap type="none"/>
        </v:group>
      </w:pict>
    </w:r>
    <w:r>
      <w:rPr/>
      <w:pict>
        <v:shape style="position:absolute;margin-left:34.520pt;margin-top:25.383459pt;width:538.6pt;height:24.65pt;mso-position-horizontal-relative:page;mso-position-vertical-relative:page;z-index:-253239296" type="#_x0000_t202" filled="false" stroked="false">
          <v:textbox inset="0,0,0,0">
            <w:txbxContent>
              <w:p>
                <w:pPr>
                  <w:pStyle w:val="BodyText"/>
                  <w:spacing w:before="12"/>
                  <w:ind w:left="20" w:right="-2"/>
                </w:pPr>
                <w:r>
                  <w:rPr/>
                  <w:t>LESSON TE3-62: PREC SEARCH &amp; LANDING AND SYSTEM MALFUNCTIONS 2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48" w:hanging="356"/>
      </w:pPr>
      <w:rPr>
        <w:rFonts w:hint="default"/>
        <w:lang w:val="en-au" w:eastAsia="en-au" w:bidi="en-au"/>
      </w:rPr>
    </w:lvl>
    <w:lvl w:ilvl="2">
      <w:start w:val="0"/>
      <w:numFmt w:val="bullet"/>
      <w:lvlText w:val="•"/>
      <w:lvlJc w:val="left"/>
      <w:pPr>
        <w:ind w:left="2676" w:hanging="356"/>
      </w:pPr>
      <w:rPr>
        <w:rFonts w:hint="default"/>
        <w:lang w:val="en-au" w:eastAsia="en-au" w:bidi="en-au"/>
      </w:rPr>
    </w:lvl>
    <w:lvl w:ilvl="3">
      <w:start w:val="0"/>
      <w:numFmt w:val="bullet"/>
      <w:lvlText w:val="•"/>
      <w:lvlJc w:val="left"/>
      <w:pPr>
        <w:ind w:left="3704" w:hanging="356"/>
      </w:pPr>
      <w:rPr>
        <w:rFonts w:hint="default"/>
        <w:lang w:val="en-au" w:eastAsia="en-au" w:bidi="en-au"/>
      </w:rPr>
    </w:lvl>
    <w:lvl w:ilvl="4">
      <w:start w:val="0"/>
      <w:numFmt w:val="bullet"/>
      <w:lvlText w:val="•"/>
      <w:lvlJc w:val="left"/>
      <w:pPr>
        <w:ind w:left="4732" w:hanging="356"/>
      </w:pPr>
      <w:rPr>
        <w:rFonts w:hint="default"/>
        <w:lang w:val="en-au" w:eastAsia="en-au" w:bidi="en-au"/>
      </w:rPr>
    </w:lvl>
    <w:lvl w:ilvl="5">
      <w:start w:val="0"/>
      <w:numFmt w:val="bullet"/>
      <w:lvlText w:val="•"/>
      <w:lvlJc w:val="left"/>
      <w:pPr>
        <w:ind w:left="5761" w:hanging="356"/>
      </w:pPr>
      <w:rPr>
        <w:rFonts w:hint="default"/>
        <w:lang w:val="en-au" w:eastAsia="en-au" w:bidi="en-au"/>
      </w:rPr>
    </w:lvl>
    <w:lvl w:ilvl="6">
      <w:start w:val="0"/>
      <w:numFmt w:val="bullet"/>
      <w:lvlText w:val="•"/>
      <w:lvlJc w:val="left"/>
      <w:pPr>
        <w:ind w:left="6789" w:hanging="356"/>
      </w:pPr>
      <w:rPr>
        <w:rFonts w:hint="default"/>
        <w:lang w:val="en-au" w:eastAsia="en-au" w:bidi="en-au"/>
      </w:rPr>
    </w:lvl>
    <w:lvl w:ilvl="7">
      <w:start w:val="0"/>
      <w:numFmt w:val="bullet"/>
      <w:lvlText w:val="•"/>
      <w:lvlJc w:val="left"/>
      <w:pPr>
        <w:ind w:left="7817" w:hanging="356"/>
      </w:pPr>
      <w:rPr>
        <w:rFonts w:hint="default"/>
        <w:lang w:val="en-au" w:eastAsia="en-au" w:bidi="en-au"/>
      </w:rPr>
    </w:lvl>
    <w:lvl w:ilvl="8">
      <w:start w:val="0"/>
      <w:numFmt w:val="bullet"/>
      <w:lvlText w:val="•"/>
      <w:lvlJc w:val="left"/>
      <w:pPr>
        <w:ind w:left="8845" w:hanging="356"/>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42" w:hanging="219"/>
      </w:pPr>
      <w:rPr>
        <w:rFonts w:hint="default"/>
        <w:lang w:val="en-au" w:eastAsia="en-au" w:bidi="en-au"/>
      </w:rPr>
    </w:lvl>
    <w:lvl w:ilvl="2">
      <w:start w:val="0"/>
      <w:numFmt w:val="bullet"/>
      <w:lvlText w:val="•"/>
      <w:lvlJc w:val="left"/>
      <w:pPr>
        <w:ind w:left="2404" w:hanging="219"/>
      </w:pPr>
      <w:rPr>
        <w:rFonts w:hint="default"/>
        <w:lang w:val="en-au" w:eastAsia="en-au" w:bidi="en-au"/>
      </w:rPr>
    </w:lvl>
    <w:lvl w:ilvl="3">
      <w:start w:val="0"/>
      <w:numFmt w:val="bullet"/>
      <w:lvlText w:val="•"/>
      <w:lvlJc w:val="left"/>
      <w:pPr>
        <w:ind w:left="3466" w:hanging="219"/>
      </w:pPr>
      <w:rPr>
        <w:rFonts w:hint="default"/>
        <w:lang w:val="en-au" w:eastAsia="en-au" w:bidi="en-au"/>
      </w:rPr>
    </w:lvl>
    <w:lvl w:ilvl="4">
      <w:start w:val="0"/>
      <w:numFmt w:val="bullet"/>
      <w:lvlText w:val="•"/>
      <w:lvlJc w:val="left"/>
      <w:pPr>
        <w:ind w:left="4528" w:hanging="219"/>
      </w:pPr>
      <w:rPr>
        <w:rFonts w:hint="default"/>
        <w:lang w:val="en-au" w:eastAsia="en-au" w:bidi="en-au"/>
      </w:rPr>
    </w:lvl>
    <w:lvl w:ilvl="5">
      <w:start w:val="0"/>
      <w:numFmt w:val="bullet"/>
      <w:lvlText w:val="•"/>
      <w:lvlJc w:val="left"/>
      <w:pPr>
        <w:ind w:left="5591" w:hanging="219"/>
      </w:pPr>
      <w:rPr>
        <w:rFonts w:hint="default"/>
        <w:lang w:val="en-au" w:eastAsia="en-au" w:bidi="en-au"/>
      </w:rPr>
    </w:lvl>
    <w:lvl w:ilvl="6">
      <w:start w:val="0"/>
      <w:numFmt w:val="bullet"/>
      <w:lvlText w:val="•"/>
      <w:lvlJc w:val="left"/>
      <w:pPr>
        <w:ind w:left="6653" w:hanging="219"/>
      </w:pPr>
      <w:rPr>
        <w:rFonts w:hint="default"/>
        <w:lang w:val="en-au" w:eastAsia="en-au" w:bidi="en-au"/>
      </w:rPr>
    </w:lvl>
    <w:lvl w:ilvl="7">
      <w:start w:val="0"/>
      <w:numFmt w:val="bullet"/>
      <w:lvlText w:val="•"/>
      <w:lvlJc w:val="left"/>
      <w:pPr>
        <w:ind w:left="7715" w:hanging="219"/>
      </w:pPr>
      <w:rPr>
        <w:rFonts w:hint="default"/>
        <w:lang w:val="en-au" w:eastAsia="en-au" w:bidi="en-au"/>
      </w:rPr>
    </w:lvl>
    <w:lvl w:ilvl="8">
      <w:start w:val="0"/>
      <w:numFmt w:val="bullet"/>
      <w:lvlText w:val="•"/>
      <w:lvlJc w:val="left"/>
      <w:pPr>
        <w:ind w:left="8777"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TE3-62 - Prec Search and system failures 2 - pre-flight &amp; in-flight training plan &amp; student record</dc:title>
  <dcterms:created xsi:type="dcterms:W3CDTF">2021-11-09T23:35:37Z</dcterms:created>
  <dcterms:modified xsi:type="dcterms:W3CDTF">2021-11-09T23:35:37Z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