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1"/>
        <w:rPr>
          <w:rFonts w:ascii="Times New Roman"/>
          <w:b w:val="0"/>
        </w:rPr>
      </w:pPr>
      <w:r>
        <w:rPr>
          <w:rFonts w:ascii="Times New Roman"/>
          <w:b w:val="0"/>
        </w:rPr>
        <w:pict>
          <v:group style="width:542.4pt;height:64pt;mso-position-horizontal-relative:char;mso-position-vertical-relative:line" coordorigin="0,0" coordsize="10848,1280">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274" to="10838,1274" stroked="true" strokeweight=".481pt" strokecolor="#000000">
              <v:stroke dashstyle="solid"/>
            </v:line>
            <v:line style="position:absolute" from="5,0" to="5,1279" stroked="true" strokeweight=".481pt" strokecolor="#000000">
              <v:stroke dashstyle="solid"/>
            </v:line>
            <v:line style="position:absolute" from="10843,0" to="10843,1279" stroked="true" strokeweight=".48pt" strokecolor="#000000">
              <v:stroke dashstyle="solid"/>
            </v:line>
            <v:shape style="position:absolute;left:9;top:688;width:10829;height:581" type="#_x0000_t202" filled="true" fillcolor="#f2f2f2" stroked="false">
              <v:textbox inset="0,0,0,0">
                <w:txbxContent>
                  <w:p>
                    <w:pPr>
                      <w:spacing w:before="57"/>
                      <w:ind w:left="28" w:right="647" w:firstLine="0"/>
                      <w:jc w:val="left"/>
                      <w:rPr>
                        <w:b/>
                        <w:sz w:val="20"/>
                      </w:rPr>
                    </w:pPr>
                    <w:r>
                      <w:rPr>
                        <w:b/>
                        <w:sz w:val="20"/>
                      </w:rPr>
                      <w:t>LESSON TE3-40: LIMITED POWER OPERATIONS INLCUDING SLOPE LANDINGS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11"/>
        <w:rPr>
          <w:rFonts w:ascii="Times New Roman"/>
          <w:b w:val="0"/>
          <w:sz w:val="7"/>
        </w:rPr>
      </w:pPr>
    </w:p>
    <w:tbl>
      <w:tblPr>
        <w:tblW w:w="0" w:type="auto"/>
        <w:jc w:val="left"/>
        <w:tblInd w:w="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gridCol w:w="141"/>
      </w:tblGrid>
      <w:tr>
        <w:trPr>
          <w:trHeight w:val="392"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c>
          <w:tcPr>
            <w:tcW w:w="141" w:type="dxa"/>
            <w:tcBorders>
              <w:top w:val="nil"/>
              <w:bottom w:val="nil"/>
              <w:right w:val="nil"/>
            </w:tcBorders>
          </w:tcPr>
          <w:p>
            <w:pPr>
              <w:pStyle w:val="TableParagraph"/>
              <w:rPr>
                <w:rFonts w:ascii="Times New Roman"/>
                <w:sz w:val="18"/>
              </w:rPr>
            </w:pPr>
          </w:p>
        </w:tc>
      </w:tr>
      <w:tr>
        <w:trPr>
          <w:trHeight w:val="318"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nil"/>
              <w:right w:val="nil"/>
            </w:tcBorders>
          </w:tcPr>
          <w:p>
            <w:pPr>
              <w:pStyle w:val="TableParagraph"/>
              <w:rPr>
                <w:rFonts w:ascii="Times New Roman"/>
                <w:sz w:val="18"/>
              </w:rPr>
            </w:pPr>
          </w:p>
        </w:tc>
      </w:tr>
      <w:tr>
        <w:trPr>
          <w:trHeight w:val="325"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single" w:sz="4" w:space="0" w:color="000000"/>
              <w:right w:val="nil"/>
            </w:tcBorders>
          </w:tcPr>
          <w:p>
            <w:pPr>
              <w:pStyle w:val="TableParagraph"/>
              <w:rPr>
                <w:rFonts w:ascii="Times New Roman"/>
                <w:sz w:val="18"/>
              </w:rPr>
            </w:pPr>
          </w:p>
        </w:tc>
      </w:tr>
      <w:tr>
        <w:trPr>
          <w:trHeight w:val="308" w:hRule="atLeast"/>
        </w:trPr>
        <w:tc>
          <w:tcPr>
            <w:tcW w:w="10912" w:type="dxa"/>
            <w:gridSpan w:val="9"/>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257" w:right="4244"/>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3"/>
              <w:ind w:left="18"/>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7"/>
              <w:ind w:left="60" w:right="309"/>
              <w:rPr>
                <w:sz w:val="18"/>
              </w:rPr>
            </w:pPr>
            <w:r>
              <w:rPr>
                <w:sz w:val="18"/>
              </w:rPr>
              <w:t>Achieves competency to the standard required for the grant of the authorisation.</w:t>
            </w:r>
          </w:p>
        </w:tc>
      </w:tr>
      <w:tr>
        <w:trPr>
          <w:trHeight w:val="1600"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Read back of pre-flight brief for </w:t>
            </w:r>
            <w:r>
              <w:rPr>
                <w:b/>
                <w:sz w:val="18"/>
              </w:rPr>
              <w:t>Limited Power</w:t>
            </w:r>
            <w:r>
              <w:rPr>
                <w:b/>
                <w:spacing w:val="-7"/>
                <w:sz w:val="18"/>
              </w:rPr>
              <w:t> </w:t>
            </w:r>
            <w:r>
              <w:rPr>
                <w:b/>
                <w:sz w:val="18"/>
              </w:rPr>
              <w:t>Operations</w:t>
            </w:r>
          </w:p>
          <w:p>
            <w:pPr>
              <w:pStyle w:val="TableParagraph"/>
              <w:numPr>
                <w:ilvl w:val="0"/>
                <w:numId w:val="1"/>
              </w:numPr>
              <w:tabs>
                <w:tab w:pos="286" w:val="left" w:leader="none"/>
              </w:tabs>
              <w:spacing w:line="218" w:lineRule="exact" w:before="0" w:after="0"/>
              <w:ind w:left="285" w:right="0" w:hanging="219"/>
              <w:jc w:val="left"/>
              <w:rPr>
                <w:b/>
                <w:sz w:val="18"/>
              </w:rPr>
            </w:pPr>
            <w:r>
              <w:rPr>
                <w:sz w:val="18"/>
              </w:rPr>
              <w:t>Read back of in-flight lesson for </w:t>
            </w:r>
            <w:r>
              <w:rPr>
                <w:b/>
                <w:sz w:val="18"/>
              </w:rPr>
              <w:t>Limited Power</w:t>
            </w:r>
            <w:r>
              <w:rPr>
                <w:b/>
                <w:spacing w:val="-6"/>
                <w:sz w:val="18"/>
              </w:rPr>
              <w:t> </w:t>
            </w:r>
            <w:r>
              <w:rPr>
                <w:b/>
                <w:sz w:val="18"/>
              </w:rPr>
              <w:t>Operations</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Impromptu read back </w:t>
            </w:r>
            <w:r>
              <w:rPr>
                <w:b/>
                <w:sz w:val="18"/>
              </w:rPr>
              <w:t>Slope Landings</w:t>
            </w:r>
          </w:p>
          <w:p>
            <w:pPr>
              <w:pStyle w:val="TableParagraph"/>
              <w:numPr>
                <w:ilvl w:val="0"/>
                <w:numId w:val="1"/>
              </w:numPr>
              <w:tabs>
                <w:tab w:pos="286" w:val="left" w:leader="none"/>
              </w:tabs>
              <w:spacing w:line="219" w:lineRule="exact" w:before="5" w:after="0"/>
              <w:ind w:left="285" w:right="0" w:hanging="219"/>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286" w:val="left" w:leader="none"/>
              </w:tabs>
              <w:spacing w:line="218" w:lineRule="exact" w:before="0" w:after="0"/>
              <w:ind w:left="285" w:right="0" w:hanging="219"/>
              <w:jc w:val="left"/>
              <w:rPr>
                <w:sz w:val="18"/>
              </w:rPr>
            </w:pPr>
            <w:r>
              <w:rPr>
                <w:sz w:val="18"/>
              </w:rPr>
              <w:t>The blueprint for the pre-flight brief and in-flight lesson is the operator’s approved lesson from their PPL/CPL</w:t>
            </w:r>
            <w:r>
              <w:rPr>
                <w:spacing w:val="-29"/>
                <w:sz w:val="18"/>
              </w:rPr>
              <w:t> </w:t>
            </w:r>
            <w:r>
              <w:rPr>
                <w:sz w:val="18"/>
              </w:rPr>
              <w:t>syllabus</w:t>
            </w:r>
          </w:p>
          <w:p>
            <w:pPr>
              <w:pStyle w:val="TableParagraph"/>
              <w:numPr>
                <w:ilvl w:val="0"/>
                <w:numId w:val="1"/>
              </w:numPr>
              <w:tabs>
                <w:tab w:pos="286" w:val="left" w:leader="none"/>
              </w:tabs>
              <w:spacing w:line="220" w:lineRule="exact" w:before="0" w:after="0"/>
              <w:ind w:left="285" w:right="0" w:hanging="219"/>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2860"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1" w:after="0"/>
              <w:ind w:left="623" w:right="0" w:hanging="356"/>
              <w:jc w:val="left"/>
              <w:rPr>
                <w:sz w:val="18"/>
              </w:rPr>
            </w:pPr>
            <w:r>
              <w:rPr>
                <w:sz w:val="18"/>
              </w:rPr>
              <w:t>The trainee to read back the pre-flight brief on limited power operations, if not already completed</w:t>
            </w:r>
            <w:r>
              <w:rPr>
                <w:spacing w:val="-18"/>
                <w:sz w:val="18"/>
              </w:rPr>
              <w:t> </w:t>
            </w:r>
            <w:r>
              <w:rPr>
                <w:sz w:val="18"/>
              </w:rPr>
              <w:t>previously.</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37" w:lineRule="auto" w:before="44" w:after="0"/>
              <w:ind w:left="623" w:right="187" w:hanging="356"/>
              <w:jc w:val="left"/>
              <w:rPr>
                <w:sz w:val="18"/>
              </w:rPr>
            </w:pPr>
            <w:r>
              <w:rPr>
                <w:sz w:val="18"/>
              </w:rPr>
              <w:t>This lesson provides opportunity for the trainee FI to read back an airborne lesson without first seeing a demonstration. The trainee</w:t>
            </w:r>
            <w:r>
              <w:rPr>
                <w:spacing w:val="-2"/>
                <w:sz w:val="18"/>
              </w:rPr>
              <w:t> </w:t>
            </w:r>
            <w:r>
              <w:rPr>
                <w:sz w:val="18"/>
              </w:rPr>
              <w:t>should</w:t>
            </w:r>
            <w:r>
              <w:rPr>
                <w:spacing w:val="-1"/>
                <w:sz w:val="18"/>
              </w:rPr>
              <w:t> </w:t>
            </w:r>
            <w:r>
              <w:rPr>
                <w:sz w:val="18"/>
              </w:rPr>
              <w:t>be</w:t>
            </w:r>
            <w:r>
              <w:rPr>
                <w:spacing w:val="-2"/>
                <w:sz w:val="18"/>
              </w:rPr>
              <w:t> </w:t>
            </w:r>
            <w:r>
              <w:rPr>
                <w:sz w:val="18"/>
              </w:rPr>
              <w:t>able</w:t>
            </w:r>
            <w:r>
              <w:rPr>
                <w:spacing w:val="-1"/>
                <w:sz w:val="18"/>
              </w:rPr>
              <w:t> </w:t>
            </w:r>
            <w:r>
              <w:rPr>
                <w:sz w:val="18"/>
              </w:rPr>
              <w:t>to</w:t>
            </w:r>
            <w:r>
              <w:rPr>
                <w:spacing w:val="-4"/>
                <w:sz w:val="18"/>
              </w:rPr>
              <w:t> </w:t>
            </w:r>
            <w:r>
              <w:rPr>
                <w:sz w:val="18"/>
              </w:rPr>
              <w:t>plan</w:t>
            </w:r>
            <w:r>
              <w:rPr>
                <w:spacing w:val="-4"/>
                <w:sz w:val="18"/>
              </w:rPr>
              <w:t> </w:t>
            </w:r>
            <w:r>
              <w:rPr>
                <w:sz w:val="18"/>
              </w:rPr>
              <w:t>the</w:t>
            </w:r>
            <w:r>
              <w:rPr>
                <w:spacing w:val="-2"/>
                <w:sz w:val="18"/>
              </w:rPr>
              <w:t> </w:t>
            </w:r>
            <w:r>
              <w:rPr>
                <w:sz w:val="18"/>
              </w:rPr>
              <w:t>lesson</w:t>
            </w:r>
            <w:r>
              <w:rPr>
                <w:spacing w:val="-4"/>
                <w:sz w:val="18"/>
              </w:rPr>
              <w:t> </w:t>
            </w:r>
            <w:r>
              <w:rPr>
                <w:sz w:val="18"/>
              </w:rPr>
              <w:t>and</w:t>
            </w:r>
            <w:r>
              <w:rPr>
                <w:spacing w:val="-4"/>
                <w:sz w:val="18"/>
              </w:rPr>
              <w:t> </w:t>
            </w:r>
            <w:r>
              <w:rPr>
                <w:sz w:val="18"/>
              </w:rPr>
              <w:t>apply</w:t>
            </w:r>
            <w:r>
              <w:rPr>
                <w:spacing w:val="-3"/>
                <w:sz w:val="18"/>
              </w:rPr>
              <w:t> </w:t>
            </w:r>
            <w:r>
              <w:rPr>
                <w:sz w:val="18"/>
              </w:rPr>
              <w:t>AIT</w:t>
            </w:r>
            <w:r>
              <w:rPr>
                <w:spacing w:val="-5"/>
                <w:sz w:val="18"/>
              </w:rPr>
              <w:t> </w:t>
            </w:r>
            <w:r>
              <w:rPr>
                <w:sz w:val="18"/>
              </w:rPr>
              <w:t>principles</w:t>
            </w:r>
            <w:r>
              <w:rPr>
                <w:spacing w:val="-1"/>
                <w:sz w:val="18"/>
              </w:rPr>
              <w:t> </w:t>
            </w:r>
            <w:r>
              <w:rPr>
                <w:sz w:val="18"/>
              </w:rPr>
              <w:t>including</w:t>
            </w:r>
            <w:r>
              <w:rPr>
                <w:spacing w:val="-1"/>
                <w:sz w:val="18"/>
              </w:rPr>
              <w:t> </w:t>
            </w:r>
            <w:r>
              <w:rPr>
                <w:sz w:val="18"/>
              </w:rPr>
              <w:t>the</w:t>
            </w:r>
            <w:r>
              <w:rPr>
                <w:spacing w:val="-2"/>
                <w:sz w:val="18"/>
              </w:rPr>
              <w:t> </w:t>
            </w:r>
            <w:r>
              <w:rPr>
                <w:sz w:val="18"/>
              </w:rPr>
              <w:t>application</w:t>
            </w:r>
            <w:r>
              <w:rPr>
                <w:spacing w:val="-4"/>
                <w:sz w:val="18"/>
              </w:rPr>
              <w:t> </w:t>
            </w:r>
            <w:r>
              <w:rPr>
                <w:sz w:val="18"/>
              </w:rPr>
              <w:t>of</w:t>
            </w:r>
            <w:r>
              <w:rPr>
                <w:spacing w:val="-2"/>
                <w:sz w:val="18"/>
              </w:rPr>
              <w:t> </w:t>
            </w:r>
            <w:r>
              <w:rPr>
                <w:sz w:val="18"/>
              </w:rPr>
              <w:t>DDM</w:t>
            </w:r>
            <w:r>
              <w:rPr>
                <w:spacing w:val="-6"/>
                <w:sz w:val="18"/>
              </w:rPr>
              <w:t> </w:t>
            </w:r>
            <w:r>
              <w:rPr>
                <w:sz w:val="18"/>
              </w:rPr>
              <w:t>to</w:t>
            </w:r>
            <w:r>
              <w:rPr>
                <w:spacing w:val="-2"/>
                <w:sz w:val="18"/>
              </w:rPr>
              <w:t> </w:t>
            </w:r>
            <w:r>
              <w:rPr>
                <w:sz w:val="18"/>
              </w:rPr>
              <w:t>limited</w:t>
            </w:r>
            <w:r>
              <w:rPr>
                <w:spacing w:val="-1"/>
                <w:sz w:val="18"/>
              </w:rPr>
              <w:t> </w:t>
            </w:r>
            <w:r>
              <w:rPr>
                <w:sz w:val="18"/>
              </w:rPr>
              <w:t>power</w:t>
            </w:r>
            <w:r>
              <w:rPr>
                <w:spacing w:val="-3"/>
                <w:sz w:val="18"/>
              </w:rPr>
              <w:t> </w:t>
            </w:r>
            <w:r>
              <w:rPr>
                <w:sz w:val="18"/>
              </w:rPr>
              <w:t>operations.</w:t>
            </w:r>
          </w:p>
          <w:p>
            <w:pPr>
              <w:pStyle w:val="TableParagraph"/>
              <w:numPr>
                <w:ilvl w:val="0"/>
                <w:numId w:val="2"/>
              </w:numPr>
              <w:tabs>
                <w:tab w:pos="623" w:val="left" w:leader="none"/>
                <w:tab w:pos="624" w:val="left" w:leader="none"/>
              </w:tabs>
              <w:spacing w:line="240" w:lineRule="auto" w:before="42" w:after="0"/>
              <w:ind w:left="623" w:right="-29" w:hanging="356"/>
              <w:jc w:val="left"/>
              <w:rPr>
                <w:sz w:val="18"/>
              </w:rPr>
            </w:pPr>
            <w:r>
              <w:rPr>
                <w:sz w:val="18"/>
              </w:rPr>
              <w:t>The trainee should demonstrate the integration of HF/NTS items introduced in the pre-flight brief with emphasis on the application of situational awareness to identify potential threats to flight safety in the context of this</w:t>
            </w:r>
            <w:r>
              <w:rPr>
                <w:spacing w:val="-14"/>
                <w:sz w:val="18"/>
              </w:rPr>
              <w:t> </w:t>
            </w:r>
            <w:r>
              <w:rPr>
                <w:sz w:val="18"/>
              </w:rPr>
              <w:t>lesson.</w:t>
            </w:r>
          </w:p>
          <w:p>
            <w:pPr>
              <w:pStyle w:val="TableParagraph"/>
              <w:numPr>
                <w:ilvl w:val="0"/>
                <w:numId w:val="2"/>
              </w:numPr>
              <w:tabs>
                <w:tab w:pos="623" w:val="left" w:leader="none"/>
                <w:tab w:pos="624" w:val="left" w:leader="none"/>
              </w:tabs>
              <w:spacing w:line="240" w:lineRule="auto" w:before="37" w:after="0"/>
              <w:ind w:left="623" w:right="0" w:hanging="356"/>
              <w:jc w:val="left"/>
              <w:rPr>
                <w:sz w:val="18"/>
              </w:rPr>
            </w:pPr>
            <w:r>
              <w:rPr>
                <w:sz w:val="18"/>
              </w:rPr>
              <w:t>Read back an impromptu flying sequence – Slope landings and</w:t>
            </w:r>
            <w:r>
              <w:rPr>
                <w:spacing w:val="-3"/>
                <w:sz w:val="18"/>
              </w:rPr>
              <w:t> </w:t>
            </w:r>
            <w:r>
              <w:rPr>
                <w:sz w:val="18"/>
              </w:rPr>
              <w:t>lift-offs.</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w:t>
            </w:r>
            <w:r>
              <w:rPr>
                <w:spacing w:val="-1"/>
                <w:sz w:val="18"/>
              </w:rPr>
              <w:t> </w:t>
            </w:r>
            <w:r>
              <w:rPr>
                <w:sz w:val="18"/>
              </w:rPr>
              <w:t>references for</w:t>
            </w:r>
            <w:r>
              <w:rPr>
                <w:spacing w:val="-2"/>
                <w:sz w:val="18"/>
              </w:rPr>
              <w:t> </w:t>
            </w:r>
            <w:r>
              <w:rPr>
                <w:sz w:val="18"/>
              </w:rPr>
              <w:t>some 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43" w:after="0"/>
              <w:ind w:left="623" w:right="459" w:hanging="356"/>
              <w:jc w:val="left"/>
              <w:rPr>
                <w:sz w:val="18"/>
              </w:rPr>
            </w:pPr>
            <w:r>
              <w:rPr>
                <w:sz w:val="18"/>
              </w:rPr>
              <w:t>The instructor should discuss and demonstrate the intervention and recovery techniques from tutorial 7 as they apply to this lesson</w:t>
            </w:r>
          </w:p>
          <w:p>
            <w:pPr>
              <w:pStyle w:val="TableParagraph"/>
              <w:numPr>
                <w:ilvl w:val="0"/>
                <w:numId w:val="2"/>
              </w:numPr>
              <w:tabs>
                <w:tab w:pos="623" w:val="left" w:leader="none"/>
                <w:tab w:pos="624" w:val="left" w:leader="none"/>
              </w:tabs>
              <w:spacing w:line="240" w:lineRule="auto" w:before="37" w:after="0"/>
              <w:ind w:left="623" w:right="0" w:hanging="356"/>
              <w:jc w:val="left"/>
              <w:rPr>
                <w:sz w:val="18"/>
              </w:rPr>
            </w:pPr>
            <w:r>
              <w:rPr>
                <w:sz w:val="18"/>
              </w:rPr>
              <w:t>The trainee should debrief ‘Bloggs’ and complete a training record where the instructor role played a</w:t>
            </w:r>
            <w:r>
              <w:rPr>
                <w:spacing w:val="-21"/>
                <w:sz w:val="18"/>
              </w:rPr>
              <w:t> </w:t>
            </w:r>
            <w:r>
              <w:rPr>
                <w:sz w:val="18"/>
              </w:rPr>
              <w:t>student.</w:t>
            </w:r>
          </w:p>
        </w:tc>
      </w:tr>
    </w:tbl>
    <w:p>
      <w:pPr>
        <w:pStyle w:val="BodyText"/>
        <w:spacing w:before="2"/>
        <w:rPr>
          <w:rFonts w:ascii="Times New Roman"/>
          <w:b w:val="0"/>
          <w:sz w:val="28"/>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1" w:right="174"/>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ight="197"/>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left="767"/>
              <w:rPr>
                <w:sz w:val="20"/>
              </w:rPr>
            </w:pPr>
            <w:r>
              <w:rPr>
                <w:sz w:val="20"/>
              </w:rPr>
              <w:t>(d)</w:t>
            </w:r>
          </w:p>
        </w:tc>
        <w:tc>
          <w:tcPr>
            <w:tcW w:w="8489" w:type="dxa"/>
          </w:tcPr>
          <w:p>
            <w:pPr>
              <w:pStyle w:val="TableParagraph"/>
              <w:spacing w:before="25"/>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580" w:right="160"/>
          <w:pgNumType w:start="1"/>
        </w:sectPr>
      </w:pPr>
    </w:p>
    <w:p>
      <w:pPr>
        <w:pStyle w:val="BodyText"/>
        <w:spacing w:before="7" w:after="1"/>
        <w:rPr>
          <w:rFonts w:ascii="Times New Roman"/>
          <w:b w:val="0"/>
          <w:sz w:val="11"/>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45"/>
              <w:rPr>
                <w:sz w:val="18"/>
              </w:rPr>
            </w:pPr>
            <w:r>
              <w:rPr>
                <w:sz w:val="18"/>
              </w:rPr>
              <w:t>(xxiv) H6.3 – Sloping ground landings</w:t>
            </w:r>
          </w:p>
        </w:tc>
        <w:tc>
          <w:tcPr>
            <w:tcW w:w="564" w:type="dxa"/>
            <w:shd w:val="clear" w:color="auto" w:fill="F2F2F2"/>
          </w:tcPr>
          <w:p>
            <w:pPr>
              <w:pStyle w:val="TableParagraph"/>
              <w:spacing w:before="37"/>
              <w:ind w:left="1"/>
              <w:jc w:val="center"/>
              <w:rPr>
                <w:sz w:val="18"/>
              </w:rPr>
            </w:pPr>
            <w:r>
              <w:rPr>
                <w:w w:val="99"/>
                <w:sz w:val="18"/>
              </w:rPr>
              <w:t>2</w:t>
            </w:r>
          </w:p>
        </w:tc>
        <w:tc>
          <w:tcPr>
            <w:tcW w:w="562" w:type="dxa"/>
          </w:tcPr>
          <w:p>
            <w:pPr>
              <w:pStyle w:val="TableParagraph"/>
              <w:rPr>
                <w:rFonts w:ascii="Times New Roman"/>
                <w:sz w:val="18"/>
              </w:rPr>
            </w:pPr>
          </w:p>
        </w:tc>
      </w:tr>
      <w:tr>
        <w:trPr>
          <w:trHeight w:val="309"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(xxv) H6.5 – Execute limited power operations</w:t>
            </w:r>
          </w:p>
        </w:tc>
        <w:tc>
          <w:tcPr>
            <w:tcW w:w="564" w:type="dxa"/>
            <w:shd w:val="clear" w:color="auto" w:fill="F2F2F2"/>
          </w:tcPr>
          <w:p>
            <w:pPr>
              <w:pStyle w:val="TableParagraph"/>
              <w:spacing w:before="49"/>
              <w:ind w:left="1"/>
              <w:jc w:val="center"/>
              <w:rPr>
                <w:sz w:val="18"/>
              </w:rPr>
            </w:pPr>
            <w:r>
              <w:rPr>
                <w:w w:val="99"/>
                <w:sz w:val="18"/>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(e)</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197"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1160" w:bottom="840" w:left="580" w:right="160"/>
          <w:pgNumType w:start="2"/>
        </w:sectPr>
      </w:pPr>
    </w:p>
    <w:p>
      <w:pPr>
        <w:pStyle w:val="BodyText"/>
        <w:spacing w:before="7" w:after="1"/>
        <w:rPr>
          <w:rFonts w:ascii="Times New Roman"/>
          <w:b w:val="0"/>
          <w:sz w:val="11"/>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(ii) provide direction appropriate to trainee's progress;</w:t>
            </w:r>
          </w:p>
        </w:tc>
        <w:tc>
          <w:tcPr>
            <w:tcW w:w="564" w:type="dxa"/>
            <w:shd w:val="clear" w:color="auto" w:fill="F2F2F2"/>
          </w:tcPr>
          <w:p>
            <w:pPr>
              <w:pStyle w:val="TableParagraph"/>
              <w:spacing w:before="22"/>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varies additional instruction and demonstration as necessary to assist the trainee;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88"/>
              <w:jc w:val="right"/>
              <w:rPr>
                <w:sz w:val="20"/>
              </w:rPr>
            </w:pPr>
            <w:r>
              <w:rPr>
                <w:sz w:val="20"/>
              </w:rPr>
              <w:t>(a)</w:t>
            </w:r>
          </w:p>
        </w:tc>
        <w:tc>
          <w:tcPr>
            <w:tcW w:w="8489" w:type="dxa"/>
          </w:tcPr>
          <w:p>
            <w:pPr>
              <w:pStyle w:val="TableParagraph"/>
              <w:spacing w:before="25"/>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1160" w:bottom="840" w:left="580" w:right="160"/>
        </w:sectPr>
      </w:pPr>
    </w:p>
    <w:p>
      <w:pPr>
        <w:pStyle w:val="BodyText"/>
        <w:spacing w:before="5"/>
        <w:rPr>
          <w:rFonts w:ascii="Times New Roman"/>
          <w:b w:val="0"/>
          <w:sz w:val="10"/>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24"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6" w:right="91"/>
              <w:rPr>
                <w:b/>
                <w:sz w:val="16"/>
              </w:rPr>
            </w:pPr>
            <w:r>
              <w:rPr>
                <w:b/>
                <w:sz w:val="16"/>
              </w:rPr>
              <w:t>Performance Standard</w:t>
            </w:r>
          </w:p>
        </w:tc>
      </w:tr>
      <w:tr>
        <w:trPr>
          <w:trHeight w:val="863"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40"/>
              <w:rPr>
                <w:b/>
                <w:sz w:val="18"/>
              </w:rPr>
            </w:pPr>
            <w:r>
              <w:rPr>
                <w:b/>
                <w:sz w:val="18"/>
              </w:rPr>
              <w:t>Required</w:t>
            </w:r>
          </w:p>
        </w:tc>
        <w:tc>
          <w:tcPr>
            <w:tcW w:w="562" w:type="dxa"/>
            <w:shd w:val="clear" w:color="auto" w:fill="F2F2F2"/>
            <w:textDirection w:val="btLr"/>
          </w:tcPr>
          <w:p>
            <w:pPr>
              <w:pStyle w:val="TableParagraph"/>
              <w:spacing w:before="84"/>
              <w:ind w:left="74"/>
              <w:rPr>
                <w:b/>
                <w:sz w:val="16"/>
              </w:rPr>
            </w:pPr>
            <w:r>
              <w:rPr>
                <w:b/>
                <w:sz w:val="16"/>
              </w:rPr>
              <w:t>Achieved</w:t>
            </w: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bl>
    <w:p>
      <w:pPr>
        <w:pStyle w:val="BodyText"/>
        <w:rPr>
          <w:rFonts w:ascii="Times New Roman"/>
          <w:b w:val="0"/>
        </w:rPr>
      </w:pPr>
    </w:p>
    <w:p>
      <w:pPr>
        <w:pStyle w:val="BodyText"/>
        <w:spacing w:before="2" w:after="1"/>
        <w:rPr>
          <w:rFonts w:ascii="Times New Roman"/>
          <w:b w:val="0"/>
          <w:sz w:val="24"/>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4485"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1160" w:bottom="840" w:left="58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72736"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71712" type="#_x0000_t202" filled="false" stroked="false">
          <v:textbox inset="0,0,0,0">
            <w:txbxContent>
              <w:p>
                <w:pPr>
                  <w:spacing w:line="203" w:lineRule="exact" w:before="0"/>
                  <w:ind w:left="20" w:right="0" w:firstLine="0"/>
                  <w:jc w:val="left"/>
                  <w:rPr>
                    <w:rFonts w:ascii="Calibri"/>
                    <w:sz w:val="18"/>
                  </w:rPr>
                </w:pPr>
                <w:r>
                  <w:rPr>
                    <w:rFonts w:ascii="Calibri"/>
                    <w:sz w:val="18"/>
                  </w:rPr>
                  <w:t>FIR-TE3-40</w:t>
                </w:r>
              </w:p>
            </w:txbxContent>
          </v:textbox>
          <w10:wrap type="none"/>
        </v:shape>
      </w:pict>
    </w:r>
    <w:r>
      <w:rPr/>
      <w:pict>
        <v:shape style="position:absolute;margin-left:274.763pt;margin-top:801.289978pt;width:45.95pt;height:11pt;mso-position-horizontal-relative:page;mso-position-vertical-relative:page;z-index:-25317068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6966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66592"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65568" type="#_x0000_t202" filled="false" stroked="false">
          <v:textbox inset="0,0,0,0">
            <w:txbxContent>
              <w:p>
                <w:pPr>
                  <w:spacing w:line="203" w:lineRule="exact" w:before="0"/>
                  <w:ind w:left="20" w:right="0" w:firstLine="0"/>
                  <w:jc w:val="left"/>
                  <w:rPr>
                    <w:rFonts w:ascii="Calibri"/>
                    <w:sz w:val="18"/>
                  </w:rPr>
                </w:pPr>
                <w:r>
                  <w:rPr>
                    <w:rFonts w:ascii="Calibri"/>
                    <w:sz w:val="18"/>
                  </w:rPr>
                  <w:t>FIR-TE3-40</w:t>
                </w:r>
              </w:p>
            </w:txbxContent>
          </v:textbox>
          <w10:wrap type="none"/>
        </v:shape>
      </w:pict>
    </w:r>
    <w:r>
      <w:rPr/>
      <w:pict>
        <v:shape style="position:absolute;margin-left:274.763pt;margin-top:801.289978pt;width:45.95pt;height:11pt;mso-position-horizontal-relative:page;mso-position-vertical-relative:page;z-index:-25316454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6352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30pt;mso-position-horizontal-relative:page;mso-position-vertical-relative:page;z-index:-253168640" coordorigin="672,566" coordsize="10848,600">
          <v:rect style="position:absolute;left:681;top:576;width:10829;height:291" filled="true" fillcolor="#f2f2f2" stroked="false">
            <v:fill type="solid"/>
          </v:rect>
          <v:line style="position:absolute" from="682,571" to="11510,571" stroked="true" strokeweight=".48pt" strokecolor="#000000">
            <v:stroke dashstyle="solid"/>
          </v:line>
          <v:rect style="position:absolute;left:681;top:866;width:10829;height:291" filled="true" fillcolor="#f2f2f2" stroked="false">
            <v:fill type="solid"/>
          </v:rect>
          <v:line style="position:absolute" from="682,1162" to="11510,1162" stroked="true" strokeweight=".48pt" strokecolor="#000000">
            <v:stroke dashstyle="solid"/>
          </v:line>
          <v:line style="position:absolute" from="677,566" to="677,1166" stroked="true" strokeweight=".481pt" strokecolor="#000000">
            <v:stroke dashstyle="solid"/>
          </v:line>
          <v:line style="position:absolute" from="11515,566" to="11515,1166" stroked="true" strokeweight=".48pt" strokecolor="#000000">
            <v:stroke dashstyle="solid"/>
          </v:line>
          <w10:wrap type="none"/>
        </v:group>
      </w:pict>
    </w:r>
    <w:r>
      <w:rPr/>
      <w:pict>
        <v:shape style="position:absolute;margin-left:34.520pt;margin-top:31.02346pt;width:508.65pt;height:24.65pt;mso-position-horizontal-relative:page;mso-position-vertical-relative:page;z-index:-253167616" type="#_x0000_t202" filled="false" stroked="false">
          <v:textbox inset="0,0,0,0">
            <w:txbxContent>
              <w:p>
                <w:pPr>
                  <w:pStyle w:val="BodyText"/>
                  <w:spacing w:before="12"/>
                  <w:ind w:left="20" w:right="-1"/>
                </w:pPr>
                <w:r>
                  <w:rPr/>
                  <w:t>LESSON TE3-40: LIMITED POWER OPERATIONS INLCUDING SLOPE LANDINGS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48" w:hanging="356"/>
      </w:pPr>
      <w:rPr>
        <w:rFonts w:hint="default"/>
        <w:lang w:val="en-au" w:eastAsia="en-au" w:bidi="en-au"/>
      </w:rPr>
    </w:lvl>
    <w:lvl w:ilvl="2">
      <w:start w:val="0"/>
      <w:numFmt w:val="bullet"/>
      <w:lvlText w:val="•"/>
      <w:lvlJc w:val="left"/>
      <w:pPr>
        <w:ind w:left="2676" w:hanging="356"/>
      </w:pPr>
      <w:rPr>
        <w:rFonts w:hint="default"/>
        <w:lang w:val="en-au" w:eastAsia="en-au" w:bidi="en-au"/>
      </w:rPr>
    </w:lvl>
    <w:lvl w:ilvl="3">
      <w:start w:val="0"/>
      <w:numFmt w:val="bullet"/>
      <w:lvlText w:val="•"/>
      <w:lvlJc w:val="left"/>
      <w:pPr>
        <w:ind w:left="3704" w:hanging="356"/>
      </w:pPr>
      <w:rPr>
        <w:rFonts w:hint="default"/>
        <w:lang w:val="en-au" w:eastAsia="en-au" w:bidi="en-au"/>
      </w:rPr>
    </w:lvl>
    <w:lvl w:ilvl="4">
      <w:start w:val="0"/>
      <w:numFmt w:val="bullet"/>
      <w:lvlText w:val="•"/>
      <w:lvlJc w:val="left"/>
      <w:pPr>
        <w:ind w:left="4732" w:hanging="356"/>
      </w:pPr>
      <w:rPr>
        <w:rFonts w:hint="default"/>
        <w:lang w:val="en-au" w:eastAsia="en-au" w:bidi="en-au"/>
      </w:rPr>
    </w:lvl>
    <w:lvl w:ilvl="5">
      <w:start w:val="0"/>
      <w:numFmt w:val="bullet"/>
      <w:lvlText w:val="•"/>
      <w:lvlJc w:val="left"/>
      <w:pPr>
        <w:ind w:left="5761" w:hanging="356"/>
      </w:pPr>
      <w:rPr>
        <w:rFonts w:hint="default"/>
        <w:lang w:val="en-au" w:eastAsia="en-au" w:bidi="en-au"/>
      </w:rPr>
    </w:lvl>
    <w:lvl w:ilvl="6">
      <w:start w:val="0"/>
      <w:numFmt w:val="bullet"/>
      <w:lvlText w:val="•"/>
      <w:lvlJc w:val="left"/>
      <w:pPr>
        <w:ind w:left="6789" w:hanging="356"/>
      </w:pPr>
      <w:rPr>
        <w:rFonts w:hint="default"/>
        <w:lang w:val="en-au" w:eastAsia="en-au" w:bidi="en-au"/>
      </w:rPr>
    </w:lvl>
    <w:lvl w:ilvl="7">
      <w:start w:val="0"/>
      <w:numFmt w:val="bullet"/>
      <w:lvlText w:val="•"/>
      <w:lvlJc w:val="left"/>
      <w:pPr>
        <w:ind w:left="7817" w:hanging="356"/>
      </w:pPr>
      <w:rPr>
        <w:rFonts w:hint="default"/>
        <w:lang w:val="en-au" w:eastAsia="en-au" w:bidi="en-au"/>
      </w:rPr>
    </w:lvl>
    <w:lvl w:ilvl="8">
      <w:start w:val="0"/>
      <w:numFmt w:val="bullet"/>
      <w:lvlText w:val="•"/>
      <w:lvlJc w:val="left"/>
      <w:pPr>
        <w:ind w:left="8845" w:hanging="356"/>
      </w:pPr>
      <w:rPr>
        <w:rFonts w:hint="default"/>
        <w:lang w:val="en-au" w:eastAsia="en-au" w:bidi="en-au"/>
      </w:rPr>
    </w:lvl>
  </w:abstractNum>
  <w:abstractNum w:abstractNumId="0">
    <w:multiLevelType w:val="hybridMultilevel"/>
    <w:lvl w:ilvl="0">
      <w:start w:val="0"/>
      <w:numFmt w:val="bullet"/>
      <w:lvlText w:val=""/>
      <w:lvlJc w:val="left"/>
      <w:pPr>
        <w:ind w:left="285" w:hanging="219"/>
      </w:pPr>
      <w:rPr>
        <w:rFonts w:hint="default" w:ascii="Symbol" w:hAnsi="Symbol" w:eastAsia="Symbol" w:cs="Symbol"/>
        <w:w w:val="100"/>
        <w:sz w:val="18"/>
        <w:szCs w:val="18"/>
        <w:lang w:val="en-au" w:eastAsia="en-au" w:bidi="en-au"/>
      </w:rPr>
    </w:lvl>
    <w:lvl w:ilvl="1">
      <w:start w:val="0"/>
      <w:numFmt w:val="bullet"/>
      <w:lvlText w:val="•"/>
      <w:lvlJc w:val="left"/>
      <w:pPr>
        <w:ind w:left="1342" w:hanging="219"/>
      </w:pPr>
      <w:rPr>
        <w:rFonts w:hint="default"/>
        <w:lang w:val="en-au" w:eastAsia="en-au" w:bidi="en-au"/>
      </w:rPr>
    </w:lvl>
    <w:lvl w:ilvl="2">
      <w:start w:val="0"/>
      <w:numFmt w:val="bullet"/>
      <w:lvlText w:val="•"/>
      <w:lvlJc w:val="left"/>
      <w:pPr>
        <w:ind w:left="2404" w:hanging="219"/>
      </w:pPr>
      <w:rPr>
        <w:rFonts w:hint="default"/>
        <w:lang w:val="en-au" w:eastAsia="en-au" w:bidi="en-au"/>
      </w:rPr>
    </w:lvl>
    <w:lvl w:ilvl="3">
      <w:start w:val="0"/>
      <w:numFmt w:val="bullet"/>
      <w:lvlText w:val="•"/>
      <w:lvlJc w:val="left"/>
      <w:pPr>
        <w:ind w:left="3466" w:hanging="219"/>
      </w:pPr>
      <w:rPr>
        <w:rFonts w:hint="default"/>
        <w:lang w:val="en-au" w:eastAsia="en-au" w:bidi="en-au"/>
      </w:rPr>
    </w:lvl>
    <w:lvl w:ilvl="4">
      <w:start w:val="0"/>
      <w:numFmt w:val="bullet"/>
      <w:lvlText w:val="•"/>
      <w:lvlJc w:val="left"/>
      <w:pPr>
        <w:ind w:left="4528" w:hanging="219"/>
      </w:pPr>
      <w:rPr>
        <w:rFonts w:hint="default"/>
        <w:lang w:val="en-au" w:eastAsia="en-au" w:bidi="en-au"/>
      </w:rPr>
    </w:lvl>
    <w:lvl w:ilvl="5">
      <w:start w:val="0"/>
      <w:numFmt w:val="bullet"/>
      <w:lvlText w:val="•"/>
      <w:lvlJc w:val="left"/>
      <w:pPr>
        <w:ind w:left="5591" w:hanging="219"/>
      </w:pPr>
      <w:rPr>
        <w:rFonts w:hint="default"/>
        <w:lang w:val="en-au" w:eastAsia="en-au" w:bidi="en-au"/>
      </w:rPr>
    </w:lvl>
    <w:lvl w:ilvl="6">
      <w:start w:val="0"/>
      <w:numFmt w:val="bullet"/>
      <w:lvlText w:val="•"/>
      <w:lvlJc w:val="left"/>
      <w:pPr>
        <w:ind w:left="6653" w:hanging="219"/>
      </w:pPr>
      <w:rPr>
        <w:rFonts w:hint="default"/>
        <w:lang w:val="en-au" w:eastAsia="en-au" w:bidi="en-au"/>
      </w:rPr>
    </w:lvl>
    <w:lvl w:ilvl="7">
      <w:start w:val="0"/>
      <w:numFmt w:val="bullet"/>
      <w:lvlText w:val="•"/>
      <w:lvlJc w:val="left"/>
      <w:pPr>
        <w:ind w:left="7715" w:hanging="219"/>
      </w:pPr>
      <w:rPr>
        <w:rFonts w:hint="default"/>
        <w:lang w:val="en-au" w:eastAsia="en-au" w:bidi="en-au"/>
      </w:rPr>
    </w:lvl>
    <w:lvl w:ilvl="8">
      <w:start w:val="0"/>
      <w:numFmt w:val="bullet"/>
      <w:lvlText w:val="•"/>
      <w:lvlJc w:val="left"/>
      <w:pPr>
        <w:ind w:left="8777"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TE3-40 Limited power operations slope landings Preflight  Inflight Lesson plan Trng record</dc:title>
  <dcterms:created xsi:type="dcterms:W3CDTF">2021-11-10T00:59:46Z</dcterms:created>
  <dcterms:modified xsi:type="dcterms:W3CDTF">2021-11-10T00:59:46Z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