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TE3-64: BASIC NAVIGATION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67"/>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961"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B</w:t>
            </w:r>
            <w:r>
              <w:rPr>
                <w:b/>
                <w:sz w:val="18"/>
              </w:rPr>
              <w:t>asic</w:t>
            </w:r>
            <w:r>
              <w:rPr>
                <w:b/>
                <w:spacing w:val="-4"/>
                <w:sz w:val="18"/>
              </w:rPr>
              <w:t> </w:t>
            </w:r>
            <w:r>
              <w:rPr>
                <w:b/>
                <w:sz w:val="18"/>
              </w:rPr>
              <w:t>Navigation</w:t>
            </w:r>
          </w:p>
          <w:p>
            <w:pPr>
              <w:pStyle w:val="TableParagraph"/>
              <w:numPr>
                <w:ilvl w:val="0"/>
                <w:numId w:val="1"/>
              </w:numPr>
              <w:tabs>
                <w:tab w:pos="774" w:val="left" w:leader="none"/>
                <w:tab w:pos="775" w:val="left" w:leader="none"/>
              </w:tabs>
              <w:spacing w:line="219" w:lineRule="exact" w:before="5"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4"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539" w:hRule="atLeast"/>
        </w:trPr>
        <w:tc>
          <w:tcPr>
            <w:tcW w:w="10915" w:type="dxa"/>
            <w:gridSpan w:val="7"/>
          </w:tcPr>
          <w:p>
            <w:pPr>
              <w:pStyle w:val="TableParagraph"/>
              <w:spacing w:before="23"/>
              <w:ind w:left="55"/>
              <w:rPr>
                <w:b/>
                <w:sz w:val="18"/>
              </w:rPr>
            </w:pPr>
            <w:r>
              <w:rPr>
                <w:b/>
                <w:sz w:val="18"/>
              </w:rPr>
              <w:t>Training Notes</w:t>
            </w:r>
          </w:p>
          <w:p>
            <w:pPr>
              <w:pStyle w:val="TableParagraph"/>
              <w:spacing w:before="4"/>
              <w:ind w:left="196"/>
              <w:rPr>
                <w:sz w:val="18"/>
              </w:rPr>
            </w:pPr>
            <w:r>
              <w:rPr>
                <w:sz w:val="18"/>
              </w:rPr>
              <w:t>The long briefing should address</w:t>
            </w:r>
          </w:p>
          <w:p>
            <w:pPr>
              <w:pStyle w:val="TableParagraph"/>
              <w:numPr>
                <w:ilvl w:val="0"/>
                <w:numId w:val="2"/>
              </w:numPr>
              <w:tabs>
                <w:tab w:pos="774" w:val="left" w:leader="none"/>
                <w:tab w:pos="775" w:val="left" w:leader="none"/>
              </w:tabs>
              <w:spacing w:line="219" w:lineRule="exact" w:before="2" w:after="0"/>
              <w:ind w:left="775" w:right="0" w:hanging="360"/>
              <w:jc w:val="left"/>
              <w:rPr>
                <w:sz w:val="18"/>
              </w:rPr>
            </w:pPr>
            <w:r>
              <w:rPr>
                <w:sz w:val="18"/>
              </w:rPr>
              <w:t>Navigation equipment</w:t>
            </w:r>
          </w:p>
          <w:p>
            <w:pPr>
              <w:pStyle w:val="TableParagraph"/>
              <w:numPr>
                <w:ilvl w:val="0"/>
                <w:numId w:val="2"/>
              </w:numPr>
              <w:tabs>
                <w:tab w:pos="774" w:val="left" w:leader="none"/>
                <w:tab w:pos="775" w:val="left" w:leader="none"/>
              </w:tabs>
              <w:spacing w:line="218" w:lineRule="exact" w:before="0" w:after="0"/>
              <w:ind w:left="775" w:right="0" w:hanging="360"/>
              <w:jc w:val="left"/>
              <w:rPr>
                <w:sz w:val="18"/>
              </w:rPr>
            </w:pPr>
            <w:r>
              <w:rPr>
                <w:sz w:val="18"/>
              </w:rPr>
              <w:t>Pre-flight briefing - obtaining and analysing weather forecasts, weather reports and</w:t>
            </w:r>
            <w:r>
              <w:rPr>
                <w:spacing w:val="-4"/>
                <w:sz w:val="18"/>
              </w:rPr>
              <w:t> </w:t>
            </w:r>
            <w:r>
              <w:rPr>
                <w:sz w:val="18"/>
              </w:rPr>
              <w:t>NOTAMs</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Route selection and preparation of navigation</w:t>
            </w:r>
            <w:r>
              <w:rPr>
                <w:spacing w:val="-3"/>
                <w:sz w:val="18"/>
              </w:rPr>
              <w:t> </w:t>
            </w:r>
            <w:r>
              <w:rPr>
                <w:sz w:val="18"/>
              </w:rPr>
              <w:t>charts</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Factors influencing choice of cruising</w:t>
            </w:r>
            <w:r>
              <w:rPr>
                <w:spacing w:val="-5"/>
                <w:sz w:val="18"/>
              </w:rPr>
              <w:t> </w:t>
            </w:r>
            <w:r>
              <w:rPr>
                <w:sz w:val="18"/>
              </w:rPr>
              <w:t>levels</w:t>
            </w:r>
          </w:p>
          <w:p>
            <w:pPr>
              <w:pStyle w:val="TableParagraph"/>
              <w:numPr>
                <w:ilvl w:val="0"/>
                <w:numId w:val="2"/>
              </w:numPr>
              <w:tabs>
                <w:tab w:pos="774" w:val="left" w:leader="none"/>
                <w:tab w:pos="775" w:val="left" w:leader="none"/>
              </w:tabs>
              <w:spacing w:line="218" w:lineRule="exact" w:before="0" w:after="0"/>
              <w:ind w:left="775" w:right="0" w:hanging="361"/>
              <w:jc w:val="left"/>
              <w:rPr>
                <w:sz w:val="18"/>
              </w:rPr>
            </w:pPr>
            <w:r>
              <w:rPr>
                <w:sz w:val="18"/>
              </w:rPr>
              <w:t>Last light calculations and</w:t>
            </w:r>
            <w:r>
              <w:rPr>
                <w:spacing w:val="-4"/>
                <w:sz w:val="18"/>
              </w:rPr>
              <w:t> </w:t>
            </w:r>
            <w:r>
              <w:rPr>
                <w:sz w:val="18"/>
              </w:rPr>
              <w:t>considerations</w:t>
            </w:r>
          </w:p>
          <w:p>
            <w:pPr>
              <w:pStyle w:val="TableParagraph"/>
              <w:numPr>
                <w:ilvl w:val="0"/>
                <w:numId w:val="2"/>
              </w:numPr>
              <w:tabs>
                <w:tab w:pos="774" w:val="left" w:leader="none"/>
                <w:tab w:pos="775" w:val="left" w:leader="none"/>
              </w:tabs>
              <w:spacing w:line="218" w:lineRule="exact" w:before="0" w:after="0"/>
              <w:ind w:left="775" w:right="0" w:hanging="361"/>
              <w:jc w:val="left"/>
              <w:rPr>
                <w:sz w:val="18"/>
              </w:rPr>
            </w:pPr>
            <w:r>
              <w:rPr>
                <w:sz w:val="18"/>
              </w:rPr>
              <w:t>Calculation of estimated fuel consumption, fuel reserves, operational requirements and preparation of fuel</w:t>
            </w:r>
            <w:r>
              <w:rPr>
                <w:spacing w:val="-11"/>
                <w:sz w:val="18"/>
              </w:rPr>
              <w:t> </w:t>
            </w:r>
            <w:r>
              <w:rPr>
                <w:sz w:val="18"/>
              </w:rPr>
              <w:t>log</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Preparation and submission of flight</w:t>
            </w:r>
            <w:r>
              <w:rPr>
                <w:spacing w:val="-9"/>
                <w:sz w:val="18"/>
              </w:rPr>
              <w:t> </w:t>
            </w:r>
            <w:r>
              <w:rPr>
                <w:sz w:val="18"/>
              </w:rPr>
              <w:t>plan</w:t>
            </w:r>
          </w:p>
          <w:p>
            <w:pPr>
              <w:pStyle w:val="TableParagraph"/>
              <w:numPr>
                <w:ilvl w:val="0"/>
                <w:numId w:val="2"/>
              </w:numPr>
              <w:tabs>
                <w:tab w:pos="774" w:val="left" w:leader="none"/>
                <w:tab w:pos="775" w:val="left" w:leader="none"/>
              </w:tabs>
              <w:spacing w:line="219" w:lineRule="exact" w:before="0" w:after="0"/>
              <w:ind w:left="775" w:right="0" w:hanging="361"/>
              <w:jc w:val="left"/>
              <w:rPr>
                <w:sz w:val="18"/>
              </w:rPr>
            </w:pPr>
            <w:r>
              <w:rPr>
                <w:sz w:val="18"/>
              </w:rPr>
              <w:t>Departure and arrival procedures/restrictions – non-towered aerodrome or landing</w:t>
            </w:r>
            <w:r>
              <w:rPr>
                <w:spacing w:val="-13"/>
                <w:sz w:val="18"/>
              </w:rPr>
              <w:t> </w:t>
            </w:r>
            <w:r>
              <w:rPr>
                <w:sz w:val="18"/>
              </w:rPr>
              <w:t>area</w:t>
            </w:r>
          </w:p>
          <w:p>
            <w:pPr>
              <w:pStyle w:val="TableParagraph"/>
              <w:numPr>
                <w:ilvl w:val="0"/>
                <w:numId w:val="2"/>
              </w:numPr>
              <w:tabs>
                <w:tab w:pos="775" w:val="left" w:leader="none"/>
                <w:tab w:pos="776" w:val="left" w:leader="none"/>
              </w:tabs>
              <w:spacing w:line="218" w:lineRule="exact" w:before="0" w:after="0"/>
              <w:ind w:left="775" w:right="0" w:hanging="361"/>
              <w:jc w:val="left"/>
              <w:rPr>
                <w:sz w:val="18"/>
              </w:rPr>
            </w:pPr>
            <w:r>
              <w:rPr>
                <w:sz w:val="18"/>
              </w:rPr>
              <w:t>Operations in Class G airspace, airspace restrictions (prohibited, restricted and danger</w:t>
            </w:r>
            <w:r>
              <w:rPr>
                <w:spacing w:val="-7"/>
                <w:sz w:val="18"/>
              </w:rPr>
              <w:t> </w:t>
            </w:r>
            <w:r>
              <w:rPr>
                <w:sz w:val="18"/>
              </w:rPr>
              <w:t>areas)</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Visual navigation techniques (e.g. dead reckoning, ‘time-to-map-to-ground’, the ‘one-in-sixty’</w:t>
            </w:r>
            <w:r>
              <w:rPr>
                <w:spacing w:val="-7"/>
                <w:sz w:val="18"/>
              </w:rPr>
              <w:t> </w:t>
            </w:r>
            <w:r>
              <w:rPr>
                <w:sz w:val="18"/>
              </w:rPr>
              <w:t>rule)</w:t>
            </w:r>
          </w:p>
          <w:p>
            <w:pPr>
              <w:pStyle w:val="TableParagraph"/>
              <w:numPr>
                <w:ilvl w:val="0"/>
                <w:numId w:val="2"/>
              </w:numPr>
              <w:tabs>
                <w:tab w:pos="775" w:val="left" w:leader="none"/>
                <w:tab w:pos="776" w:val="left" w:leader="none"/>
              </w:tabs>
              <w:spacing w:line="219" w:lineRule="exact" w:before="1" w:after="0"/>
              <w:ind w:left="775" w:right="0" w:hanging="361"/>
              <w:jc w:val="left"/>
              <w:rPr>
                <w:sz w:val="18"/>
              </w:rPr>
            </w:pPr>
            <w:r>
              <w:rPr>
                <w:sz w:val="18"/>
              </w:rPr>
              <w:t>Navigation checklist procedures, maintenance of navigation</w:t>
            </w:r>
            <w:r>
              <w:rPr>
                <w:spacing w:val="-7"/>
                <w:sz w:val="18"/>
              </w:rPr>
              <w:t> </w:t>
            </w:r>
            <w:r>
              <w:rPr>
                <w:sz w:val="18"/>
              </w:rPr>
              <w:t>log</w:t>
            </w:r>
          </w:p>
          <w:p>
            <w:pPr>
              <w:pStyle w:val="TableParagraph"/>
              <w:numPr>
                <w:ilvl w:val="0"/>
                <w:numId w:val="2"/>
              </w:numPr>
              <w:tabs>
                <w:tab w:pos="775" w:val="left" w:leader="none"/>
                <w:tab w:pos="776" w:val="left" w:leader="none"/>
              </w:tabs>
              <w:spacing w:line="218" w:lineRule="exact" w:before="0" w:after="0"/>
              <w:ind w:left="775" w:right="0" w:hanging="361"/>
              <w:jc w:val="left"/>
              <w:rPr>
                <w:sz w:val="18"/>
              </w:rPr>
            </w:pPr>
            <w:r>
              <w:rPr>
                <w:sz w:val="18"/>
              </w:rPr>
              <w:t>Engine handling considerations, fuel management and use of fuel</w:t>
            </w:r>
            <w:r>
              <w:rPr>
                <w:spacing w:val="-16"/>
                <w:sz w:val="18"/>
              </w:rPr>
              <w:t> </w:t>
            </w:r>
            <w:r>
              <w:rPr>
                <w:sz w:val="18"/>
              </w:rPr>
              <w:t>log</w:t>
            </w:r>
          </w:p>
          <w:p>
            <w:pPr>
              <w:pStyle w:val="TableParagraph"/>
              <w:numPr>
                <w:ilvl w:val="0"/>
                <w:numId w:val="2"/>
              </w:numPr>
              <w:tabs>
                <w:tab w:pos="775" w:val="left" w:leader="none"/>
                <w:tab w:pos="776" w:val="left" w:leader="none"/>
              </w:tabs>
              <w:spacing w:line="219" w:lineRule="exact" w:before="0" w:after="0"/>
              <w:ind w:left="775" w:right="0" w:hanging="361"/>
              <w:jc w:val="left"/>
              <w:rPr>
                <w:sz w:val="18"/>
              </w:rPr>
            </w:pPr>
            <w:r>
              <w:rPr>
                <w:sz w:val="18"/>
              </w:rPr>
              <w:t>Radio communication</w:t>
            </w:r>
            <w:r>
              <w:rPr>
                <w:spacing w:val="-2"/>
                <w:sz w:val="18"/>
              </w:rPr>
              <w:t> </w:t>
            </w:r>
            <w:r>
              <w:rPr>
                <w:sz w:val="18"/>
              </w:rPr>
              <w:t>procedures</w:t>
            </w:r>
          </w:p>
          <w:p>
            <w:pPr>
              <w:pStyle w:val="TableParagraph"/>
              <w:numPr>
                <w:ilvl w:val="0"/>
                <w:numId w:val="2"/>
              </w:numPr>
              <w:tabs>
                <w:tab w:pos="774" w:val="left" w:leader="none"/>
                <w:tab w:pos="775" w:val="left" w:leader="none"/>
              </w:tabs>
              <w:spacing w:line="220" w:lineRule="exact" w:before="0" w:after="0"/>
              <w:ind w:left="775" w:right="0" w:hanging="360"/>
              <w:jc w:val="left"/>
              <w:rPr>
                <w:sz w:val="18"/>
              </w:rPr>
            </w:pPr>
            <w:r>
              <w:rPr>
                <w:sz w:val="18"/>
              </w:rPr>
              <w:t>SAR</w:t>
            </w:r>
            <w:r>
              <w:rPr>
                <w:spacing w:val="-1"/>
                <w:sz w:val="18"/>
              </w:rPr>
              <w:t> </w:t>
            </w:r>
            <w:r>
              <w:rPr>
                <w:sz w:val="18"/>
              </w:rPr>
              <w:t>requirements</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tcPr>
          <w:p>
            <w:pPr>
              <w:pStyle w:val="TableParagraph"/>
              <w:spacing w:before="25"/>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467"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540" w:bottom="62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TE3-64: BASIC NAVIGATION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0"/>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101"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right="187"/>
              <w:jc w:val="right"/>
              <w:rPr>
                <w:sz w:val="18"/>
              </w:rPr>
            </w:pPr>
            <w:r>
              <w:rPr>
                <w:sz w:val="18"/>
              </w:rPr>
              <w:t>(f)</w:t>
            </w:r>
          </w:p>
        </w:tc>
        <w:tc>
          <w:tcPr>
            <w:tcW w:w="8647" w:type="dxa"/>
          </w:tcPr>
          <w:p>
            <w:pPr>
              <w:pStyle w:val="TableParagraph"/>
              <w:spacing w:before="27"/>
              <w:ind w:left="26" w:right="101"/>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515" w:hRule="atLeast"/>
        </w:trPr>
        <w:tc>
          <w:tcPr>
            <w:tcW w:w="1106" w:type="dxa"/>
            <w:gridSpan w:val="2"/>
          </w:tcPr>
          <w:p>
            <w:pPr>
              <w:pStyle w:val="TableParagraph"/>
              <w:rPr>
                <w:rFonts w:ascii="Times New Roman"/>
                <w:sz w:val="18"/>
              </w:rPr>
            </w:pPr>
          </w:p>
        </w:tc>
        <w:tc>
          <w:tcPr>
            <w:tcW w:w="8647" w:type="dxa"/>
          </w:tcPr>
          <w:p>
            <w:pPr>
              <w:pStyle w:val="TableParagraph"/>
              <w:numPr>
                <w:ilvl w:val="0"/>
                <w:numId w:val="3"/>
              </w:numPr>
              <w:tabs>
                <w:tab w:pos="701" w:val="left" w:leader="none"/>
              </w:tabs>
              <w:spacing w:line="240" w:lineRule="auto" w:before="26" w:after="0"/>
              <w:ind w:left="701" w:right="0" w:hanging="279"/>
              <w:jc w:val="left"/>
              <w:rPr>
                <w:sz w:val="20"/>
              </w:rPr>
            </w:pPr>
            <w:r>
              <w:rPr>
                <w:sz w:val="20"/>
              </w:rPr>
              <w:t>C1 through</w:t>
            </w:r>
            <w:r>
              <w:rPr>
                <w:spacing w:val="-1"/>
                <w:sz w:val="20"/>
              </w:rPr>
              <w:t> </w:t>
            </w:r>
            <w:r>
              <w:rPr>
                <w:sz w:val="20"/>
              </w:rPr>
              <w:t>C5</w:t>
            </w:r>
          </w:p>
          <w:p>
            <w:pPr>
              <w:pStyle w:val="TableParagraph"/>
              <w:numPr>
                <w:ilvl w:val="0"/>
                <w:numId w:val="3"/>
              </w:numPr>
              <w:tabs>
                <w:tab w:pos="747" w:val="left" w:leader="none"/>
              </w:tabs>
              <w:spacing w:line="240" w:lineRule="auto" w:before="0" w:after="0"/>
              <w:ind w:left="746" w:right="0" w:hanging="325"/>
              <w:jc w:val="left"/>
              <w:rPr>
                <w:sz w:val="20"/>
              </w:rPr>
            </w:pPr>
            <w:r>
              <w:rPr>
                <w:sz w:val="20"/>
              </w:rPr>
              <w:t>CTR, CTA, ONTA and</w:t>
            </w:r>
            <w:r>
              <w:rPr>
                <w:spacing w:val="-6"/>
                <w:sz w:val="20"/>
              </w:rPr>
              <w:t> </w:t>
            </w:r>
            <w:r>
              <w:rPr>
                <w:sz w:val="20"/>
              </w:rPr>
              <w:t>OGA</w:t>
            </w:r>
          </w:p>
        </w:tc>
        <w:tc>
          <w:tcPr>
            <w:tcW w:w="569" w:type="dxa"/>
            <w:shd w:val="clear" w:color="auto" w:fill="F2F2F2"/>
          </w:tcPr>
          <w:p>
            <w:pPr>
              <w:pStyle w:val="TableParagraph"/>
              <w:spacing w:before="155"/>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422"/>
              <w:rPr>
                <w:sz w:val="20"/>
              </w:rPr>
            </w:pPr>
            <w:r>
              <w:rPr>
                <w:sz w:val="18"/>
              </w:rPr>
              <w:t>(xxv) </w:t>
            </w:r>
            <w:r>
              <w:rPr>
                <w:sz w:val="20"/>
              </w:rPr>
              <w:t>NAV, RNE, ONTA, OCA, OGA and CTA (Basic navigation)</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F2F2F2"/>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4" w:type="dxa"/>
            <w:gridSpan w:val="4"/>
          </w:tcPr>
          <w:p>
            <w:pPr>
              <w:pStyle w:val="TableParagraph"/>
              <w:numPr>
                <w:ilvl w:val="0"/>
                <w:numId w:val="4"/>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4"/>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64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26" w:top="560" w:bottom="62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87680"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49.05pt;height:12.1pt;mso-position-horizontal-relative:page;mso-position-vertical-relative:page;z-index:-252486656" type="#_x0000_t202" filled="false" stroked="false">
          <v:textbox inset="0,0,0,0">
            <w:txbxContent>
              <w:p>
                <w:pPr>
                  <w:spacing w:before="14"/>
                  <w:ind w:left="20" w:right="0" w:firstLine="0"/>
                  <w:jc w:val="left"/>
                  <w:rPr>
                    <w:sz w:val="18"/>
                  </w:rPr>
                </w:pPr>
                <w:r>
                  <w:rPr>
                    <w:sz w:val="18"/>
                  </w:rPr>
                  <w:t>FIR-TE3-64</w:t>
                </w:r>
              </w:p>
            </w:txbxContent>
          </v:textbox>
          <w10:wrap type="none"/>
        </v:shape>
      </w:pict>
    </w:r>
    <w:r>
      <w:rPr/>
      <w:pict>
        <v:shape style="position:absolute;margin-left:272.95401pt;margin-top:810.57251pt;width:49.65pt;height:12.1pt;mso-position-horizontal-relative:page;mso-position-vertical-relative:page;z-index:-25248563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0.57251pt;width:32.65pt;height:12.1pt;mso-position-horizontal-relative:page;mso-position-vertical-relative:page;z-index:-25248460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2">
    <w:multiLevelType w:val="hybridMultilevel"/>
    <w:lvl w:ilvl="0">
      <w:start w:val="2"/>
      <w:numFmt w:val="lowerRoman"/>
      <w:lvlText w:val="(%1)"/>
      <w:lvlJc w:val="left"/>
      <w:pPr>
        <w:ind w:left="701" w:hanging="279"/>
        <w:jc w:val="left"/>
      </w:pPr>
      <w:rPr>
        <w:rFonts w:hint="default" w:ascii="Arial" w:hAnsi="Arial" w:eastAsia="Arial" w:cs="Arial"/>
        <w:spacing w:val="-1"/>
        <w:w w:val="99"/>
        <w:sz w:val="20"/>
        <w:szCs w:val="20"/>
        <w:lang w:val="en-au" w:eastAsia="en-au" w:bidi="en-au"/>
      </w:rPr>
    </w:lvl>
    <w:lvl w:ilvl="1">
      <w:start w:val="0"/>
      <w:numFmt w:val="bullet"/>
      <w:lvlText w:val="•"/>
      <w:lvlJc w:val="left"/>
      <w:pPr>
        <w:ind w:left="1493" w:hanging="279"/>
      </w:pPr>
      <w:rPr>
        <w:rFonts w:hint="default"/>
        <w:lang w:val="en-au" w:eastAsia="en-au" w:bidi="en-au"/>
      </w:rPr>
    </w:lvl>
    <w:lvl w:ilvl="2">
      <w:start w:val="0"/>
      <w:numFmt w:val="bullet"/>
      <w:lvlText w:val="•"/>
      <w:lvlJc w:val="left"/>
      <w:pPr>
        <w:ind w:left="2287" w:hanging="279"/>
      </w:pPr>
      <w:rPr>
        <w:rFonts w:hint="default"/>
        <w:lang w:val="en-au" w:eastAsia="en-au" w:bidi="en-au"/>
      </w:rPr>
    </w:lvl>
    <w:lvl w:ilvl="3">
      <w:start w:val="0"/>
      <w:numFmt w:val="bullet"/>
      <w:lvlText w:val="•"/>
      <w:lvlJc w:val="left"/>
      <w:pPr>
        <w:ind w:left="3081" w:hanging="279"/>
      </w:pPr>
      <w:rPr>
        <w:rFonts w:hint="default"/>
        <w:lang w:val="en-au" w:eastAsia="en-au" w:bidi="en-au"/>
      </w:rPr>
    </w:lvl>
    <w:lvl w:ilvl="4">
      <w:start w:val="0"/>
      <w:numFmt w:val="bullet"/>
      <w:lvlText w:val="•"/>
      <w:lvlJc w:val="left"/>
      <w:pPr>
        <w:ind w:left="3874" w:hanging="279"/>
      </w:pPr>
      <w:rPr>
        <w:rFonts w:hint="default"/>
        <w:lang w:val="en-au" w:eastAsia="en-au" w:bidi="en-au"/>
      </w:rPr>
    </w:lvl>
    <w:lvl w:ilvl="5">
      <w:start w:val="0"/>
      <w:numFmt w:val="bullet"/>
      <w:lvlText w:val="•"/>
      <w:lvlJc w:val="left"/>
      <w:pPr>
        <w:ind w:left="4668" w:hanging="279"/>
      </w:pPr>
      <w:rPr>
        <w:rFonts w:hint="default"/>
        <w:lang w:val="en-au" w:eastAsia="en-au" w:bidi="en-au"/>
      </w:rPr>
    </w:lvl>
    <w:lvl w:ilvl="6">
      <w:start w:val="0"/>
      <w:numFmt w:val="bullet"/>
      <w:lvlText w:val="•"/>
      <w:lvlJc w:val="left"/>
      <w:pPr>
        <w:ind w:left="5462" w:hanging="279"/>
      </w:pPr>
      <w:rPr>
        <w:rFonts w:hint="default"/>
        <w:lang w:val="en-au" w:eastAsia="en-au" w:bidi="en-au"/>
      </w:rPr>
    </w:lvl>
    <w:lvl w:ilvl="7">
      <w:start w:val="0"/>
      <w:numFmt w:val="bullet"/>
      <w:lvlText w:val="•"/>
      <w:lvlJc w:val="left"/>
      <w:pPr>
        <w:ind w:left="6255" w:hanging="279"/>
      </w:pPr>
      <w:rPr>
        <w:rFonts w:hint="default"/>
        <w:lang w:val="en-au" w:eastAsia="en-au" w:bidi="en-au"/>
      </w:rPr>
    </w:lvl>
    <w:lvl w:ilvl="8">
      <w:start w:val="0"/>
      <w:numFmt w:val="bullet"/>
      <w:lvlText w:val="•"/>
      <w:lvlJc w:val="left"/>
      <w:pPr>
        <w:ind w:left="7049" w:hanging="279"/>
      </w:pPr>
      <w:rPr>
        <w:rFonts w:hint="default"/>
        <w:lang w:val="en-au" w:eastAsia="en-au" w:bidi="en-au"/>
      </w:rPr>
    </w:lvl>
  </w:abstractNum>
  <w:abstractNum w:abstractNumId="1">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TE3-64 - Basic Navigation - long brief training plan &amp; student record</dc:title>
  <dcterms:created xsi:type="dcterms:W3CDTF">2021-11-09T23:36:29Z</dcterms:created>
  <dcterms:modified xsi:type="dcterms:W3CDTF">2021-11-09T23:36:29Z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