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TE3-23: MEDIUM TURNS 2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38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Medium</w:t>
            </w:r>
            <w:r>
              <w:rPr>
                <w:b/>
                <w:spacing w:val="-2"/>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Medium</w:t>
            </w:r>
            <w:r>
              <w:rPr>
                <w:b/>
                <w:spacing w:val="-3"/>
                <w:sz w:val="18"/>
              </w:rPr>
              <w:t> </w:t>
            </w:r>
            <w:r>
              <w:rPr>
                <w:b/>
                <w:sz w:val="18"/>
              </w:rPr>
              <w:t>Turns</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2327"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medium</w:t>
            </w:r>
            <w:r>
              <w:rPr>
                <w:spacing w:val="-4"/>
                <w:sz w:val="18"/>
              </w:rPr>
              <w:t> </w:t>
            </w:r>
            <w:r>
              <w:rPr>
                <w:sz w:val="18"/>
              </w:rPr>
              <w:t>turns</w:t>
            </w:r>
          </w:p>
          <w:p>
            <w:pPr>
              <w:pStyle w:val="TableParagraph"/>
              <w:numPr>
                <w:ilvl w:val="0"/>
                <w:numId w:val="2"/>
              </w:numPr>
              <w:tabs>
                <w:tab w:pos="623" w:val="left" w:leader="none"/>
                <w:tab w:pos="624" w:val="left" w:leader="none"/>
              </w:tabs>
              <w:spacing w:line="240" w:lineRule="auto" w:before="43" w:after="0"/>
              <w:ind w:left="623" w:right="127" w:hanging="356"/>
              <w:jc w:val="left"/>
              <w:rPr>
                <w:sz w:val="18"/>
              </w:rPr>
            </w:pPr>
            <w:r>
              <w:rPr>
                <w:sz w:val="18"/>
              </w:rPr>
              <w:t>In this airborne lesson read back, the trainee should be able to deliver the lesson using the demonstrate, direct and monitor techniques demonstrating an understanding in assessing student performance, provision of additional instruction following the monitoring process and guiding the student in self-assessment</w:t>
            </w:r>
            <w:r>
              <w:rPr>
                <w:spacing w:val="-9"/>
                <w:sz w:val="18"/>
              </w:rPr>
              <w:t> </w:t>
            </w:r>
            <w:r>
              <w:rPr>
                <w:sz w:val="18"/>
              </w:rPr>
              <w:t>skills.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Flight Instructor manual will provide useful reference for the content of this</w:t>
            </w:r>
            <w:r>
              <w:rPr>
                <w:spacing w:val="-9"/>
                <w:sz w:val="18"/>
              </w:rPr>
              <w:t> </w:t>
            </w:r>
            <w:r>
              <w:rPr>
                <w:sz w:val="18"/>
              </w:rPr>
              <w:t>lesson.</w:t>
            </w:r>
          </w:p>
          <w:p>
            <w:pPr>
              <w:pStyle w:val="TableParagraph"/>
              <w:numPr>
                <w:ilvl w:val="0"/>
                <w:numId w:val="2"/>
              </w:numPr>
              <w:tabs>
                <w:tab w:pos="623" w:val="left" w:leader="none"/>
                <w:tab w:pos="624" w:val="left" w:leader="none"/>
              </w:tabs>
              <w:spacing w:line="240" w:lineRule="auto" w:before="40" w:after="0"/>
              <w:ind w:left="623" w:right="27" w:hanging="356"/>
              <w:jc w:val="left"/>
              <w:rPr>
                <w:sz w:val="18"/>
              </w:rPr>
            </w:pPr>
            <w:r>
              <w:rPr>
                <w:sz w:val="18"/>
              </w:rPr>
              <w:t>The trainee should demonstrate the integration of HF/NTS items introduced in the pre-flight brief including reviewing with the student radiotelephony phraseology including the phonetic alphabet as it relates to the planned flight and re-inforce those items from previous</w:t>
            </w:r>
            <w:r>
              <w:rPr>
                <w:spacing w:val="1"/>
                <w:sz w:val="18"/>
              </w:rPr>
              <w:t> </w:t>
            </w:r>
            <w:r>
              <w:rPr>
                <w:sz w:val="18"/>
              </w:rPr>
              <w:t>lessons</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w:t>
            </w:r>
            <w:r>
              <w:rPr>
                <w:spacing w:val="-2"/>
                <w:sz w:val="18"/>
              </w:rPr>
              <w:t> </w:t>
            </w:r>
            <w:r>
              <w:rPr>
                <w:sz w:val="18"/>
              </w:rPr>
              <w:t>trainee</w:t>
            </w:r>
            <w:r>
              <w:rPr>
                <w:spacing w:val="-1"/>
                <w:sz w:val="18"/>
              </w:rPr>
              <w:t> </w:t>
            </w:r>
            <w:r>
              <w:rPr>
                <w:sz w:val="18"/>
              </w:rPr>
              <w:t>should</w:t>
            </w:r>
            <w:r>
              <w:rPr>
                <w:spacing w:val="-1"/>
                <w:sz w:val="18"/>
              </w:rPr>
              <w:t> </w:t>
            </w:r>
            <w:r>
              <w:rPr>
                <w:sz w:val="18"/>
              </w:rPr>
              <w:t>deliver</w:t>
            </w:r>
            <w:r>
              <w:rPr>
                <w:spacing w:val="-2"/>
                <w:sz w:val="18"/>
              </w:rPr>
              <w:t> </w:t>
            </w:r>
            <w:r>
              <w:rPr>
                <w:sz w:val="18"/>
              </w:rPr>
              <w:t>a</w:t>
            </w:r>
            <w:r>
              <w:rPr>
                <w:spacing w:val="-4"/>
                <w:sz w:val="18"/>
              </w:rPr>
              <w:t> </w:t>
            </w:r>
            <w:r>
              <w:rPr>
                <w:sz w:val="18"/>
              </w:rPr>
              <w:t>post-flight</w:t>
            </w:r>
            <w:r>
              <w:rPr>
                <w:spacing w:val="-2"/>
                <w:sz w:val="18"/>
              </w:rPr>
              <w:t> </w:t>
            </w:r>
            <w:r>
              <w:rPr>
                <w:sz w:val="18"/>
              </w:rPr>
              <w:t>debrief</w:t>
            </w:r>
            <w:r>
              <w:rPr>
                <w:spacing w:val="-4"/>
                <w:sz w:val="18"/>
              </w:rPr>
              <w:t> </w:t>
            </w:r>
            <w:r>
              <w:rPr>
                <w:sz w:val="18"/>
              </w:rPr>
              <w:t>on</w:t>
            </w:r>
            <w:r>
              <w:rPr>
                <w:spacing w:val="-1"/>
                <w:sz w:val="18"/>
              </w:rPr>
              <w:t> </w:t>
            </w:r>
            <w:r>
              <w:rPr>
                <w:sz w:val="18"/>
              </w:rPr>
              <w:t>their</w:t>
            </w:r>
            <w:r>
              <w:rPr>
                <w:spacing w:val="-5"/>
                <w:sz w:val="18"/>
              </w:rPr>
              <w:t> </w:t>
            </w:r>
            <w:r>
              <w:rPr>
                <w:sz w:val="18"/>
              </w:rPr>
              <w:t>medium</w:t>
            </w:r>
            <w:r>
              <w:rPr>
                <w:spacing w:val="-1"/>
                <w:sz w:val="18"/>
              </w:rPr>
              <w:t> </w:t>
            </w:r>
            <w:r>
              <w:rPr>
                <w:sz w:val="18"/>
              </w:rPr>
              <w:t>turns</w:t>
            </w:r>
            <w:r>
              <w:rPr>
                <w:spacing w:val="-1"/>
                <w:sz w:val="18"/>
              </w:rPr>
              <w:t> </w:t>
            </w:r>
            <w:r>
              <w:rPr>
                <w:sz w:val="18"/>
              </w:rPr>
              <w:t>read</w:t>
            </w:r>
            <w:r>
              <w:rPr>
                <w:spacing w:val="-4"/>
                <w:sz w:val="18"/>
              </w:rPr>
              <w:t> </w:t>
            </w:r>
            <w:r>
              <w:rPr>
                <w:sz w:val="18"/>
              </w:rPr>
              <w:t>back</w:t>
            </w:r>
            <w:r>
              <w:rPr>
                <w:spacing w:val="-1"/>
                <w:sz w:val="18"/>
              </w:rPr>
              <w:t> </w:t>
            </w:r>
            <w:r>
              <w:rPr>
                <w:sz w:val="18"/>
              </w:rPr>
              <w:t>where</w:t>
            </w:r>
            <w:r>
              <w:rPr>
                <w:spacing w:val="-1"/>
                <w:sz w:val="18"/>
              </w:rPr>
              <w:t> </w:t>
            </w:r>
            <w:r>
              <w:rPr>
                <w:sz w:val="18"/>
              </w:rPr>
              <w:t>the</w:t>
            </w:r>
            <w:r>
              <w:rPr>
                <w:spacing w:val="-4"/>
                <w:sz w:val="18"/>
              </w:rPr>
              <w:t> </w:t>
            </w:r>
            <w:r>
              <w:rPr>
                <w:sz w:val="18"/>
              </w:rPr>
              <w:t>instructor</w:t>
            </w:r>
            <w:r>
              <w:rPr>
                <w:spacing w:val="-2"/>
                <w:sz w:val="18"/>
              </w:rPr>
              <w:t> </w:t>
            </w:r>
            <w:r>
              <w:rPr>
                <w:sz w:val="18"/>
              </w:rPr>
              <w:t>role</w:t>
            </w:r>
            <w:r>
              <w:rPr>
                <w:spacing w:val="-2"/>
                <w:sz w:val="18"/>
              </w:rPr>
              <w:t> </w:t>
            </w:r>
            <w:r>
              <w:rPr>
                <w:sz w:val="18"/>
              </w:rPr>
              <w:t>played</w:t>
            </w:r>
            <w:r>
              <w:rPr>
                <w:spacing w:val="-1"/>
                <w:sz w:val="18"/>
              </w:rPr>
              <w:t> </w:t>
            </w:r>
            <w:r>
              <w:rPr>
                <w:sz w:val="18"/>
              </w:rPr>
              <w:t>the</w:t>
            </w:r>
            <w:r>
              <w:rPr>
                <w:spacing w:val="-1"/>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9"/>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9"/>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(ix) A3.4 – Medium Turns (level)</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spacing w:before="22"/>
              <w:ind w:right="185"/>
              <w:jc w:val="right"/>
              <w:rPr>
                <w:sz w:val="20"/>
              </w:rPr>
            </w:pPr>
            <w:r>
              <w:rPr>
                <w:sz w:val="20"/>
              </w:rPr>
              <w:t>(c)</w:t>
            </w:r>
          </w:p>
        </w:tc>
        <w:tc>
          <w:tcPr>
            <w:tcW w:w="8489" w:type="dxa"/>
            <w:tcBorders>
              <w:top w:val="single" w:sz="18" w:space="0" w:color="F2F2F2"/>
            </w:tcBorders>
          </w:tcPr>
          <w:p>
            <w:pPr>
              <w:pStyle w:val="TableParagraph"/>
              <w:spacing w:before="24"/>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0"/>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aircraft;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48"/>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2"/>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(iii)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5"/>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5"/>
              <w:ind w:left="791"/>
              <w:rPr>
                <w:sz w:val="18"/>
              </w:rPr>
            </w:pPr>
            <w:r>
              <w:rPr>
                <w:sz w:val="18"/>
              </w:rPr>
              <w:t>(b)</w:t>
            </w:r>
          </w:p>
        </w:tc>
        <w:tc>
          <w:tcPr>
            <w:tcW w:w="8489" w:type="dxa"/>
          </w:tcPr>
          <w:p>
            <w:pPr>
              <w:pStyle w:val="TableParagraph"/>
              <w:spacing w:before="25"/>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5"/>
              <w:ind w:right="187"/>
              <w:jc w:val="right"/>
              <w:rPr>
                <w:sz w:val="18"/>
              </w:rPr>
            </w:pPr>
            <w:r>
              <w:rPr>
                <w:sz w:val="18"/>
              </w:rPr>
              <w:t>(c)</w:t>
            </w:r>
          </w:p>
        </w:tc>
        <w:tc>
          <w:tcPr>
            <w:tcW w:w="8489" w:type="dxa"/>
          </w:tcPr>
          <w:p>
            <w:pPr>
              <w:pStyle w:val="TableParagraph"/>
              <w:spacing w:before="25"/>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NTS1.1 Maintain effective lookout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NTS1.4 Set priorities and manage tasks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8"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3"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1"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60"/>
        </w:sectPr>
      </w:pPr>
    </w:p>
    <w:p>
      <w:pPr>
        <w:pStyle w:val="BodyText"/>
        <w:rPr>
          <w:rFonts w:ascii="Times New Roman"/>
          <w:b w:val="0"/>
        </w:rPr>
      </w:pPr>
    </w:p>
    <w:p>
      <w:pPr>
        <w:pStyle w:val="BodyText"/>
        <w:rPr>
          <w:rFonts w:ascii="Times New Roman"/>
          <w:b w:val="0"/>
        </w:rPr>
      </w:pPr>
    </w:p>
    <w:p>
      <w:pPr>
        <w:pStyle w:val="BodyText"/>
        <w:spacing w:before="4" w:after="1"/>
        <w:rPr>
          <w:rFonts w:ascii="Times New Roman"/>
          <w:b w:val="0"/>
          <w:sz w:val="13"/>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252" w:hRule="atLeast"/>
        </w:trPr>
        <w:tc>
          <w:tcPr>
            <w:tcW w:w="10746" w:type="dxa"/>
            <w:gridSpan w:val="2"/>
            <w:tcBorders>
              <w:bottom w:val="single" w:sz="8" w:space="0" w:color="000000"/>
            </w:tcBorders>
          </w:tcPr>
          <w:p>
            <w:pPr>
              <w:pStyle w:val="TableParagraph"/>
              <w:rPr>
                <w:rFonts w:ascii="Times New Roman"/>
                <w:sz w:val="20"/>
              </w:rPr>
            </w:pPr>
          </w:p>
        </w:tc>
      </w:tr>
      <w:tr>
        <w:trPr>
          <w:trHeight w:val="308" w:hRule="atLeast"/>
        </w:trPr>
        <w:tc>
          <w:tcPr>
            <w:tcW w:w="5758" w:type="dxa"/>
            <w:tcBorders>
              <w:top w:val="single" w:sz="8" w:space="0" w:color="000000"/>
            </w:tcBorders>
            <w:shd w:val="clear" w:color="auto" w:fill="F2F2F2"/>
          </w:tcPr>
          <w:p>
            <w:pPr>
              <w:pStyle w:val="TableParagraph"/>
              <w:spacing w:before="23"/>
              <w:ind w:left="55"/>
              <w:rPr>
                <w:b/>
                <w:sz w:val="22"/>
              </w:rPr>
            </w:pPr>
            <w:r>
              <w:rPr>
                <w:b/>
                <w:sz w:val="22"/>
              </w:rPr>
              <w:t>Instructor’s Signature &amp; Date</w:t>
            </w:r>
          </w:p>
        </w:tc>
        <w:tc>
          <w:tcPr>
            <w:tcW w:w="4988" w:type="dxa"/>
            <w:tcBorders>
              <w:top w:val="single" w:sz="8" w:space="0" w:color="000000"/>
            </w:tcBorders>
            <w:shd w:val="clear" w:color="auto" w:fill="F2F2F2"/>
          </w:tcPr>
          <w:p>
            <w:pPr>
              <w:pStyle w:val="TableParagraph"/>
              <w:spacing w:before="23"/>
              <w:ind w:left="57"/>
              <w:rPr>
                <w:b/>
                <w:sz w:val="22"/>
              </w:rPr>
            </w:pPr>
            <w:r>
              <w:rPr>
                <w:b/>
                <w:sz w:val="22"/>
              </w:rPr>
              <w:t>Trainee’s Signature &amp; Date</w:t>
            </w:r>
          </w:p>
        </w:tc>
      </w:tr>
      <w:tr>
        <w:trPr>
          <w:trHeight w:val="347" w:hRule="atLeast"/>
        </w:trPr>
        <w:tc>
          <w:tcPr>
            <w:tcW w:w="5758" w:type="dxa"/>
          </w:tcPr>
          <w:p>
            <w:pPr>
              <w:pStyle w:val="TableParagraph"/>
              <w:rPr>
                <w:rFonts w:ascii="Times New Roman"/>
                <w:sz w:val="20"/>
              </w:rPr>
            </w:pPr>
          </w:p>
        </w:tc>
        <w:tc>
          <w:tcPr>
            <w:tcW w:w="4988" w:type="dxa"/>
          </w:tcPr>
          <w:p>
            <w:pPr>
              <w:pStyle w:val="TableParagraph"/>
              <w:rPr>
                <w:rFonts w:ascii="Times New Roman"/>
                <w:sz w:val="20"/>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1027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09248" type="#_x0000_t202" filled="false" stroked="false">
          <v:textbox inset="0,0,0,0">
            <w:txbxContent>
              <w:p>
                <w:pPr>
                  <w:spacing w:line="203" w:lineRule="exact" w:before="0"/>
                  <w:ind w:left="20" w:right="0" w:firstLine="0"/>
                  <w:jc w:val="left"/>
                  <w:rPr>
                    <w:rFonts w:ascii="Calibri"/>
                    <w:sz w:val="18"/>
                  </w:rPr>
                </w:pPr>
                <w:r>
                  <w:rPr>
                    <w:rFonts w:ascii="Calibri"/>
                    <w:sz w:val="18"/>
                  </w:rPr>
                  <w:t>FIR-TE3-23</w:t>
                </w:r>
              </w:p>
            </w:txbxContent>
          </v:textbox>
          <w10:wrap type="none"/>
        </v:shape>
      </w:pict>
    </w:r>
    <w:r>
      <w:rPr/>
      <w:pict>
        <v:shape style="position:absolute;margin-left:274.763pt;margin-top:801.289978pt;width:45.95pt;height:11pt;mso-position-horizontal-relative:page;mso-position-vertical-relative:page;z-index:-25310822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0720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04128"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03104" type="#_x0000_t202" filled="false" stroked="false">
          <v:textbox inset="0,0,0,0">
            <w:txbxContent>
              <w:p>
                <w:pPr>
                  <w:spacing w:line="203" w:lineRule="exact" w:before="0"/>
                  <w:ind w:left="20" w:right="0" w:firstLine="0"/>
                  <w:jc w:val="left"/>
                  <w:rPr>
                    <w:rFonts w:ascii="Calibri"/>
                    <w:sz w:val="18"/>
                  </w:rPr>
                </w:pPr>
                <w:r>
                  <w:rPr>
                    <w:rFonts w:ascii="Calibri"/>
                    <w:sz w:val="18"/>
                  </w:rPr>
                  <w:t>FIR-TE3-23</w:t>
                </w:r>
              </w:p>
            </w:txbxContent>
          </v:textbox>
          <w10:wrap type="none"/>
        </v:shape>
      </w:pict>
    </w:r>
    <w:r>
      <w:rPr/>
      <w:pict>
        <v:shape style="position:absolute;margin-left:274.763pt;margin-top:801.289978pt;width:45.95pt;height:11pt;mso-position-horizontal-relative:page;mso-position-vertical-relative:page;z-index:-25310208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0105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0617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85.35pt;height:13.15pt;mso-position-horizontal-relative:page;mso-position-vertical-relative:page;z-index:-253105152" type="#_x0000_t202" filled="false" stroked="false">
          <v:textbox inset="0,0,0,0">
            <w:txbxContent>
              <w:p>
                <w:pPr>
                  <w:pStyle w:val="BodyText"/>
                  <w:spacing w:before="12"/>
                  <w:ind w:left="20"/>
                </w:pPr>
                <w:r>
                  <w:rPr/>
                  <w:t>LESSON TE3-23: MEDIUM TURNS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TE3-23 - Medium Turns 2 - pre-flight &amp; in-flight training plan &amp; student record</dc:title>
  <dcterms:created xsi:type="dcterms:W3CDTF">2021-11-10T00:17:48Z</dcterms:created>
  <dcterms:modified xsi:type="dcterms:W3CDTF">2021-11-10T00:17:48Z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