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1.65pt;height:55.6pt;mso-position-horizontal-relative:char;mso-position-vertical-relative:line" coordorigin="0,0" coordsize="11033,1112">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24,684" to="11023,684" stroked="true" strokeweight=".481pt" strokecolor="#000000">
              <v:stroke dashstyle="solid"/>
            </v:line>
            <v:line style="position:absolute" from="24,1106" to="11023,1106" stroked="true" strokeweight=".48pt" strokecolor="#000000">
              <v:stroke dashstyle="solid"/>
            </v:line>
            <v:line style="position:absolute" from="19,679" to="19,1111" stroked="true" strokeweight=".48pt" strokecolor="#000000">
              <v:stroke dashstyle="solid"/>
            </v:line>
            <v:line style="position:absolute" from="11028,0" to="11028,1111" stroked="true" strokeweight=".48pt" strokecolor="#000000">
              <v:stroke dashstyle="solid"/>
            </v:line>
            <v:shape style="position:absolute;left:16;top:688;width:11007;height:413" type="#_x0000_t202" filled="true" fillcolor="#f2f2f2" stroked="false">
              <v:textbox inset="0,0,0,0">
                <w:txbxContent>
                  <w:p>
                    <w:pPr>
                      <w:spacing w:before="55"/>
                      <w:ind w:left="36" w:right="0" w:firstLine="0"/>
                      <w:jc w:val="left"/>
                      <w:rPr>
                        <w:b/>
                        <w:sz w:val="22"/>
                      </w:rPr>
                    </w:pPr>
                    <w:r>
                      <w:rPr>
                        <w:b/>
                        <w:sz w:val="22"/>
                      </w:rPr>
                      <w:t>LESSON TE3-6 &amp; TE3-8: PRE-FLIGHT INSPECTION</w:t>
                    </w:r>
                  </w:p>
                </w:txbxContent>
              </v:textbox>
              <v:fill type="solid"/>
              <w10:wrap type="none"/>
            </v:shape>
            <v:shape style="position:absolute;left:16;top:9;width:11007;height:660" type="#_x0000_t202" filled="true" fillcolor="#dadada" stroked="false">
              <v:textbox inset="0,0,0,0">
                <w:txbxContent>
                  <w:p>
                    <w:pPr>
                      <w:spacing w:line="276" w:lineRule="auto" w:before="57"/>
                      <w:ind w:left="3496" w:right="1071"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sz w:val="20"/>
        </w:rPr>
      </w:r>
    </w:p>
    <w:p>
      <w:pPr>
        <w:pStyle w:val="BodyText"/>
        <w:spacing w:before="2"/>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briefing and practical training in </w:t>
            </w:r>
            <w:r>
              <w:rPr>
                <w:b/>
                <w:sz w:val="18"/>
              </w:rPr>
              <w:t>Pre-flight</w:t>
            </w:r>
            <w:r>
              <w:rPr>
                <w:b/>
                <w:spacing w:val="-3"/>
                <w:sz w:val="18"/>
              </w:rPr>
              <w:t> </w:t>
            </w:r>
            <w:r>
              <w:rPr>
                <w:b/>
                <w:sz w:val="18"/>
              </w:rPr>
              <w:t>Inspections</w:t>
            </w:r>
          </w:p>
          <w:p>
            <w:pPr>
              <w:pStyle w:val="TableParagraph"/>
              <w:numPr>
                <w:ilvl w:val="0"/>
                <w:numId w:val="1"/>
              </w:numPr>
              <w:tabs>
                <w:tab w:pos="774" w:val="left" w:leader="none"/>
                <w:tab w:pos="775" w:val="left" w:leader="none"/>
              </w:tabs>
              <w:spacing w:line="240" w:lineRule="auto" w:before="0" w:after="0"/>
              <w:ind w:left="775" w:right="0" w:hanging="361"/>
              <w:jc w:val="left"/>
              <w:rPr>
                <w:b/>
                <w:sz w:val="18"/>
              </w:rPr>
            </w:pPr>
            <w:r>
              <w:rPr>
                <w:sz w:val="18"/>
              </w:rPr>
              <w:t>Read back of briefing and practical training in </w:t>
            </w:r>
            <w:r>
              <w:rPr>
                <w:b/>
                <w:sz w:val="18"/>
              </w:rPr>
              <w:t>Pre-flight</w:t>
            </w:r>
            <w:r>
              <w:rPr>
                <w:b/>
                <w:spacing w:val="-4"/>
                <w:sz w:val="18"/>
              </w:rPr>
              <w:t> </w:t>
            </w:r>
            <w:r>
              <w:rPr>
                <w:b/>
                <w:sz w:val="18"/>
              </w:rPr>
              <w:t>Inspections</w:t>
            </w:r>
          </w:p>
          <w:p>
            <w:pPr>
              <w:pStyle w:val="TableParagraph"/>
              <w:numPr>
                <w:ilvl w:val="0"/>
                <w:numId w:val="1"/>
              </w:numPr>
              <w:tabs>
                <w:tab w:pos="774" w:val="left" w:leader="none"/>
                <w:tab w:pos="775"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407"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1" w:after="0"/>
              <w:ind w:left="621" w:right="0" w:hanging="356"/>
              <w:jc w:val="left"/>
              <w:rPr>
                <w:sz w:val="18"/>
              </w:rPr>
            </w:pPr>
            <w:r>
              <w:rPr>
                <w:sz w:val="18"/>
              </w:rPr>
              <w:t>The lesson should include a classroom briefing followed by a pre-flight inspection of the training aircraft</w:t>
            </w:r>
            <w:r>
              <w:rPr>
                <w:spacing w:val="-36"/>
                <w:sz w:val="18"/>
              </w:rPr>
              <w:t> </w:t>
            </w:r>
            <w:r>
              <w:rPr>
                <w:sz w:val="18"/>
              </w:rPr>
              <w:t>parked on the apron.</w:t>
            </w:r>
          </w:p>
          <w:p>
            <w:pPr>
              <w:pStyle w:val="TableParagraph"/>
              <w:numPr>
                <w:ilvl w:val="0"/>
                <w:numId w:val="2"/>
              </w:numPr>
              <w:tabs>
                <w:tab w:pos="621" w:val="left" w:leader="none"/>
                <w:tab w:pos="622" w:val="left" w:leader="none"/>
              </w:tabs>
              <w:spacing w:line="240" w:lineRule="auto" w:before="43" w:after="0"/>
              <w:ind w:left="621" w:right="809" w:hanging="356"/>
              <w:jc w:val="left"/>
              <w:rPr>
                <w:sz w:val="18"/>
              </w:rPr>
            </w:pPr>
            <w:r>
              <w:rPr>
                <w:sz w:val="18"/>
              </w:rPr>
              <w:t>The lesson content should focus on the introduction of basics of the topics below with the understanding that they will be repeated/re-enforced in each subsequent flying</w:t>
            </w:r>
            <w:r>
              <w:rPr>
                <w:spacing w:val="-3"/>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733" w:hanging="356"/>
              <w:jc w:val="left"/>
              <w:rPr>
                <w:sz w:val="18"/>
              </w:rPr>
            </w:pPr>
            <w:r>
              <w:rPr>
                <w:sz w:val="18"/>
              </w:rPr>
              <w:t>The instructor should emphasise to the trainee instructor the importance of introducing the student to the significance and importance of pre-flight inspection in ensuring safe</w:t>
            </w:r>
            <w:r>
              <w:rPr>
                <w:spacing w:val="-3"/>
                <w:sz w:val="18"/>
              </w:rPr>
              <w:t> </w:t>
            </w:r>
            <w:r>
              <w:rPr>
                <w:sz w:val="18"/>
              </w:rPr>
              <w:t>flight</w:t>
            </w:r>
          </w:p>
          <w:p>
            <w:pPr>
              <w:pStyle w:val="TableParagraph"/>
              <w:numPr>
                <w:ilvl w:val="0"/>
                <w:numId w:val="2"/>
              </w:numPr>
              <w:tabs>
                <w:tab w:pos="621" w:val="left" w:leader="none"/>
                <w:tab w:pos="622" w:val="left" w:leader="none"/>
              </w:tabs>
              <w:spacing w:line="240" w:lineRule="auto" w:before="39" w:after="0"/>
              <w:ind w:left="621" w:right="0" w:hanging="356"/>
              <w:jc w:val="left"/>
              <w:rPr>
                <w:sz w:val="18"/>
              </w:rPr>
            </w:pPr>
            <w:r>
              <w:rPr>
                <w:sz w:val="18"/>
              </w:rPr>
              <w:t>The lesson should</w:t>
            </w:r>
            <w:r>
              <w:rPr>
                <w:spacing w:val="-4"/>
                <w:sz w:val="18"/>
              </w:rPr>
              <w:t> </w:t>
            </w:r>
            <w:r>
              <w:rPr>
                <w:sz w:val="18"/>
              </w:rPr>
              <w:t>include</w:t>
            </w:r>
          </w:p>
          <w:p>
            <w:pPr>
              <w:pStyle w:val="TableParagraph"/>
              <w:numPr>
                <w:ilvl w:val="1"/>
                <w:numId w:val="2"/>
              </w:numPr>
              <w:tabs>
                <w:tab w:pos="774" w:val="left" w:leader="none"/>
                <w:tab w:pos="775" w:val="left" w:leader="none"/>
              </w:tabs>
              <w:spacing w:line="219" w:lineRule="exact" w:before="43" w:after="0"/>
              <w:ind w:left="774" w:right="0" w:hanging="361"/>
              <w:jc w:val="left"/>
              <w:rPr>
                <w:sz w:val="18"/>
              </w:rPr>
            </w:pPr>
            <w:r>
              <w:rPr>
                <w:sz w:val="18"/>
              </w:rPr>
              <w:t>Requirement and responsibility</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Equipment</w:t>
            </w:r>
            <w:r>
              <w:rPr>
                <w:spacing w:val="-3"/>
                <w:sz w:val="18"/>
              </w:rPr>
              <w:t> </w:t>
            </w:r>
            <w:r>
              <w:rPr>
                <w:sz w:val="18"/>
              </w:rPr>
              <w:t>security</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Internal and external aircraft check in accordance with aircraft manufacturer manual or operator’s written</w:t>
            </w:r>
            <w:r>
              <w:rPr>
                <w:spacing w:val="-20"/>
                <w:sz w:val="18"/>
              </w:rPr>
              <w:t> </w:t>
            </w:r>
            <w:r>
              <w:rPr>
                <w:sz w:val="18"/>
              </w:rPr>
              <w:t>procedures</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Identification of defects and action to be</w:t>
            </w:r>
            <w:r>
              <w:rPr>
                <w:spacing w:val="-21"/>
                <w:sz w:val="18"/>
              </w:rPr>
              <w:t> </w:t>
            </w:r>
            <w:r>
              <w:rPr>
                <w:sz w:val="18"/>
              </w:rPr>
              <w:t>taken</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Removal of aircraft securing items and</w:t>
            </w:r>
            <w:r>
              <w:rPr>
                <w:spacing w:val="-24"/>
                <w:sz w:val="18"/>
              </w:rPr>
              <w:t> </w:t>
            </w:r>
            <w:r>
              <w:rPr>
                <w:sz w:val="18"/>
              </w:rPr>
              <w:t>covers</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Certification in aircraft documents, including entry of defects and</w:t>
            </w:r>
            <w:r>
              <w:rPr>
                <w:spacing w:val="-8"/>
                <w:sz w:val="18"/>
              </w:rPr>
              <w:t> </w:t>
            </w:r>
            <w:r>
              <w:rPr>
                <w:sz w:val="18"/>
              </w:rPr>
              <w:t>endorsements</w:t>
            </w:r>
          </w:p>
          <w:p>
            <w:pPr>
              <w:pStyle w:val="TableParagraph"/>
              <w:numPr>
                <w:ilvl w:val="1"/>
                <w:numId w:val="2"/>
              </w:numPr>
              <w:tabs>
                <w:tab w:pos="774" w:val="left" w:leader="none"/>
                <w:tab w:pos="775" w:val="left" w:leader="none"/>
              </w:tabs>
              <w:spacing w:line="240" w:lineRule="auto" w:before="0" w:after="0"/>
              <w:ind w:left="775" w:right="197" w:hanging="360"/>
              <w:jc w:val="left"/>
              <w:rPr>
                <w:sz w:val="18"/>
              </w:rPr>
            </w:pPr>
            <w:r>
              <w:rPr>
                <w:sz w:val="18"/>
              </w:rPr>
              <w:t>An introduction to basic HF/NTS considerations required for safe flight in context of this lesson with emphasis on the meaning and importance of human factors and threat and error management where appropriate from units NTS1 and</w:t>
            </w:r>
            <w:r>
              <w:rPr>
                <w:spacing w:val="-21"/>
                <w:sz w:val="18"/>
              </w:rPr>
              <w:t> </w:t>
            </w:r>
            <w:r>
              <w:rPr>
                <w:sz w:val="18"/>
              </w:rPr>
              <w:t>NTS2</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6"/>
              <w:jc w:val="center"/>
              <w:rPr>
                <w:b/>
                <w:sz w:val="18"/>
              </w:rPr>
            </w:pPr>
            <w:r>
              <w:rPr>
                <w:b/>
                <w:sz w:val="18"/>
              </w:rPr>
              <w:t>MOS</w:t>
            </w:r>
          </w:p>
          <w:p>
            <w:pPr>
              <w:pStyle w:val="TableParagraph"/>
              <w:spacing w:before="5"/>
              <w:ind w:left="154"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1"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7"/>
              <w:rPr>
                <w:b/>
                <w:sz w:val="16"/>
              </w:rPr>
            </w:pPr>
            <w:r>
              <w:rPr>
                <w:b/>
                <w:sz w:val="16"/>
              </w:rPr>
              <w:t>Achieved</w:t>
            </w:r>
          </w:p>
        </w:tc>
      </w:tr>
      <w:tr>
        <w:trPr>
          <w:trHeight w:val="281" w:hRule="atLeast"/>
        </w:trPr>
        <w:tc>
          <w:tcPr>
            <w:tcW w:w="1178" w:type="dxa"/>
          </w:tcPr>
          <w:p>
            <w:pPr>
              <w:pStyle w:val="TableParagraph"/>
              <w:spacing w:before="17"/>
              <w:ind w:right="160"/>
              <w:jc w:val="right"/>
              <w:rPr>
                <w:b/>
                <w:sz w:val="18"/>
              </w:rPr>
            </w:pPr>
            <w:r>
              <w:rPr>
                <w:b/>
                <w:sz w:val="18"/>
              </w:rPr>
              <w:t>FIR-TE3.2</w:t>
            </w:r>
          </w:p>
        </w:tc>
        <w:tc>
          <w:tcPr>
            <w:tcW w:w="8572" w:type="dxa"/>
            <w:tcBorders>
              <w:top w:val="single" w:sz="24" w:space="0" w:color="F2F2F2"/>
            </w:tcBorders>
          </w:tcPr>
          <w:p>
            <w:pPr>
              <w:pStyle w:val="TableParagraph"/>
              <w:spacing w:before="17"/>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5"/>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1"/>
              <w:jc w:val="right"/>
              <w:rPr>
                <w:b/>
                <w:sz w:val="18"/>
              </w:rPr>
            </w:pPr>
            <w:r>
              <w:rPr>
                <w:b/>
                <w:sz w:val="18"/>
              </w:rPr>
              <w:t>FIR-TE3.3</w:t>
            </w:r>
          </w:p>
        </w:tc>
        <w:tc>
          <w:tcPr>
            <w:tcW w:w="8572" w:type="dxa"/>
          </w:tcPr>
          <w:p>
            <w:pPr>
              <w:pStyle w:val="TableParagraph"/>
              <w:spacing w:before="20"/>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67"/>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2</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(b)</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helicopters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(v) C2.1 – Pre-flight actions and procedures</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3"/>
              <w:ind w:left="26"/>
              <w:rPr>
                <w:b/>
                <w:sz w:val="20"/>
              </w:rPr>
            </w:pPr>
            <w:r>
              <w:rPr>
                <w:b/>
                <w:sz w:val="20"/>
              </w:rPr>
              <w:t>MOS Ref</w:t>
            </w:r>
          </w:p>
        </w:tc>
        <w:tc>
          <w:tcPr>
            <w:tcW w:w="9730" w:type="dxa"/>
            <w:gridSpan w:val="3"/>
            <w:shd w:val="clear" w:color="auto" w:fill="F2F2F2"/>
          </w:tcPr>
          <w:p>
            <w:pPr>
              <w:pStyle w:val="TableParagraph"/>
              <w:spacing w:before="23"/>
              <w:ind w:left="33"/>
              <w:rPr>
                <w:b/>
                <w:sz w:val="20"/>
              </w:rPr>
            </w:pPr>
            <w:r>
              <w:rPr>
                <w:b/>
                <w:sz w:val="20"/>
              </w:rPr>
              <w:t>Underpinning knowledge</w:t>
            </w:r>
          </w:p>
        </w:tc>
      </w:tr>
      <w:tr>
        <w:trPr>
          <w:trHeight w:val="285" w:hRule="atLeast"/>
        </w:trPr>
        <w:tc>
          <w:tcPr>
            <w:tcW w:w="1178" w:type="dxa"/>
          </w:tcPr>
          <w:p>
            <w:pPr>
              <w:pStyle w:val="TableParagraph"/>
              <w:spacing w:before="23"/>
              <w:ind w:right="184"/>
              <w:jc w:val="right"/>
              <w:rPr>
                <w:b/>
                <w:sz w:val="20"/>
              </w:rPr>
            </w:pPr>
            <w:r>
              <w:rPr>
                <w:b/>
                <w:w w:val="95"/>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7"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2"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spacing w:after="0" w:line="237" w:lineRule="auto"/>
        <w:jc w:val="left"/>
        <w:rPr>
          <w:sz w:val="20"/>
        </w:rPr>
        <w:sectPr>
          <w:footerReference w:type="default" r:id="rId5"/>
          <w:type w:val="continuous"/>
          <w:pgSz w:w="11910" w:h="16840"/>
          <w:pgMar w:footer="627" w:top="540" w:bottom="820" w:left="420" w:right="160"/>
          <w:pgNumType w:start="1"/>
        </w:sectPr>
      </w:pPr>
    </w:p>
    <w:p>
      <w:pPr>
        <w:pStyle w:val="BodyText"/>
        <w:ind w:left="110"/>
        <w:rPr>
          <w:rFonts w:ascii="Times New Roman"/>
          <w:b w:val="0"/>
          <w:sz w:val="20"/>
        </w:rPr>
      </w:pPr>
      <w:r>
        <w:rPr>
          <w:rFonts w:ascii="Times New Roman"/>
          <w:b w:val="0"/>
          <w:sz w:val="20"/>
        </w:rPr>
        <w:pict>
          <v:shape style="width:550.450pt;height:21.15pt;mso-position-horizontal-relative:char;mso-position-vertical-relative:line" type="#_x0000_t202" filled="true" fillcolor="#f2f2f2" stroked="true" strokeweight=".48pt" strokecolor="#000000">
            <w10:anchorlock/>
            <v:textbox inset="0,0,0,0">
              <w:txbxContent>
                <w:p>
                  <w:pPr>
                    <w:pStyle w:val="BodyText"/>
                    <w:spacing w:before="55"/>
                    <w:ind w:left="28"/>
                  </w:pPr>
                  <w:r>
                    <w:rPr/>
                    <w:t>LESSON TE3-6 &amp; TE3-8: PRE-FLIGHT INSPECTON</w:t>
                  </w:r>
                </w:p>
              </w:txbxContent>
            </v:textbox>
            <v:fill type="solid"/>
            <v:stroke dashstyle="solid"/>
          </v:shape>
        </w:pict>
      </w:r>
      <w:r>
        <w:rPr>
          <w:rFonts w:ascii="Times New Roman"/>
          <w:b w:val="0"/>
          <w:sz w:val="20"/>
        </w:rPr>
      </w:r>
    </w:p>
    <w:p>
      <w:pPr>
        <w:pStyle w:val="BodyText"/>
        <w:rPr>
          <w:rFonts w:ascii="Times New Roman"/>
          <w:b w:val="0"/>
          <w:sz w:val="20"/>
        </w:rPr>
      </w:pPr>
    </w:p>
    <w:p>
      <w:pPr>
        <w:pStyle w:val="BodyText"/>
        <w:spacing w:before="10" w:after="1"/>
        <w:rPr>
          <w:rFonts w:ascii="Times New Roman"/>
          <w:b w:val="0"/>
          <w:sz w:val="2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621" w:hRule="atLeast"/>
        </w:trPr>
        <w:tc>
          <w:tcPr>
            <w:tcW w:w="10916" w:type="dxa"/>
            <w:gridSpan w:val="2"/>
            <w:shd w:val="clear" w:color="auto" w:fill="EEECE1"/>
          </w:tcPr>
          <w:p>
            <w:pPr>
              <w:pStyle w:val="TableParagraph"/>
              <w:spacing w:before="52"/>
              <w:ind w:left="2863" w:right="213" w:hanging="2628"/>
              <w:rPr>
                <w:b/>
                <w:sz w:val="22"/>
              </w:rPr>
            </w:pPr>
            <w:r>
              <w:rPr>
                <w:b/>
                <w:sz w:val="22"/>
              </w:rPr>
              <w:t>COMMENTS AND OUTCOME (INCLUDING ELEMENTS &amp; PERFORMANCE CRITERIA THAT REQUIRE CONSOLIDATION AND/OR REMEDIAL TRAINING)</w:t>
            </w:r>
          </w:p>
        </w:tc>
      </w:tr>
      <w:tr>
        <w:trPr>
          <w:trHeight w:val="3563" w:hRule="atLeast"/>
        </w:trPr>
        <w:tc>
          <w:tcPr>
            <w:tcW w:w="10916" w:type="dxa"/>
            <w:gridSpan w:val="2"/>
            <w:tcBorders>
              <w:bottom w:val="single" w:sz="8" w:space="0" w:color="000000"/>
            </w:tcBorders>
          </w:tcPr>
          <w:p>
            <w:pPr>
              <w:pStyle w:val="TableParagraph"/>
              <w:rPr>
                <w:rFonts w:ascii="Times New Roman"/>
                <w:sz w:val="20"/>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20"/>
              </w:rPr>
            </w:pPr>
          </w:p>
        </w:tc>
        <w:tc>
          <w:tcPr>
            <w:tcW w:w="5350" w:type="dxa"/>
          </w:tcPr>
          <w:p>
            <w:pPr>
              <w:pStyle w:val="TableParagraph"/>
              <w:rPr>
                <w:rFonts w:ascii="Times New Roman"/>
                <w:sz w:val="20"/>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062720"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79.5pt;height:12.1pt;mso-position-horizontal-relative:page;mso-position-vertical-relative:page;z-index:-252061696" type="#_x0000_t202" filled="false" stroked="false">
          <v:textbox inset="0,0,0,0">
            <w:txbxContent>
              <w:p>
                <w:pPr>
                  <w:spacing w:before="14"/>
                  <w:ind w:left="20" w:right="0" w:firstLine="0"/>
                  <w:jc w:val="left"/>
                  <w:rPr>
                    <w:sz w:val="18"/>
                  </w:rPr>
                </w:pPr>
                <w:r>
                  <w:rPr>
                    <w:sz w:val="18"/>
                  </w:rPr>
                  <w:t>FIR-TE3-6 &amp; TE3-8</w:t>
                </w:r>
              </w:p>
            </w:txbxContent>
          </v:textbox>
          <w10:wrap type="none"/>
        </v:shape>
      </w:pict>
    </w:r>
    <w:r>
      <w:rPr/>
      <w:pict>
        <v:shape style="position:absolute;margin-left:272.945007pt;margin-top:800.492493pt;width:49.65pt;height:12.1pt;mso-position-horizontal-relative:page;mso-position-vertical-relative:page;z-index:-2520606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6499pt;margin-top:800.492493pt;width:48.2pt;height:12.1pt;mso-position-horizontal-relative:page;mso-position-vertical-relative:page;z-index:-2520596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775" w:hanging="360"/>
      </w:pPr>
      <w:rPr>
        <w:rFonts w:hint="default" w:ascii="Symbol" w:hAnsi="Symbol" w:eastAsia="Symbol" w:cs="Symbol"/>
        <w:w w:val="100"/>
        <w:sz w:val="18"/>
        <w:szCs w:val="18"/>
        <w:lang w:val="en-au" w:eastAsia="en-au" w:bidi="en-au"/>
      </w:rPr>
    </w:lvl>
    <w:lvl w:ilvl="2">
      <w:start w:val="0"/>
      <w:numFmt w:val="bullet"/>
      <w:lvlText w:val="•"/>
      <w:lvlJc w:val="left"/>
      <w:pPr>
        <w:ind w:left="1921" w:hanging="360"/>
      </w:pPr>
      <w:rPr>
        <w:rFonts w:hint="default"/>
        <w:lang w:val="en-au" w:eastAsia="en-au" w:bidi="en-au"/>
      </w:rPr>
    </w:lvl>
    <w:lvl w:ilvl="3">
      <w:start w:val="0"/>
      <w:numFmt w:val="bullet"/>
      <w:lvlText w:val="•"/>
      <w:lvlJc w:val="left"/>
      <w:pPr>
        <w:ind w:left="3062" w:hanging="360"/>
      </w:pPr>
      <w:rPr>
        <w:rFonts w:hint="default"/>
        <w:lang w:val="en-au" w:eastAsia="en-au" w:bidi="en-au"/>
      </w:rPr>
    </w:lvl>
    <w:lvl w:ilvl="4">
      <w:start w:val="0"/>
      <w:numFmt w:val="bullet"/>
      <w:lvlText w:val="•"/>
      <w:lvlJc w:val="left"/>
      <w:pPr>
        <w:ind w:left="4204" w:hanging="360"/>
      </w:pPr>
      <w:rPr>
        <w:rFonts w:hint="default"/>
        <w:lang w:val="en-au" w:eastAsia="en-au" w:bidi="en-au"/>
      </w:rPr>
    </w:lvl>
    <w:lvl w:ilvl="5">
      <w:start w:val="0"/>
      <w:numFmt w:val="bullet"/>
      <w:lvlText w:val="•"/>
      <w:lvlJc w:val="left"/>
      <w:pPr>
        <w:ind w:left="5345" w:hanging="360"/>
      </w:pPr>
      <w:rPr>
        <w:rFonts w:hint="default"/>
        <w:lang w:val="en-au" w:eastAsia="en-au" w:bidi="en-au"/>
      </w:rPr>
    </w:lvl>
    <w:lvl w:ilvl="6">
      <w:start w:val="0"/>
      <w:numFmt w:val="bullet"/>
      <w:lvlText w:val="•"/>
      <w:lvlJc w:val="left"/>
      <w:pPr>
        <w:ind w:left="6486" w:hanging="360"/>
      </w:pPr>
      <w:rPr>
        <w:rFonts w:hint="default"/>
        <w:lang w:val="en-au" w:eastAsia="en-au" w:bidi="en-au"/>
      </w:rPr>
    </w:lvl>
    <w:lvl w:ilvl="7">
      <w:start w:val="0"/>
      <w:numFmt w:val="bullet"/>
      <w:lvlText w:val="•"/>
      <w:lvlJc w:val="left"/>
      <w:pPr>
        <w:ind w:left="7628" w:hanging="360"/>
      </w:pPr>
      <w:rPr>
        <w:rFonts w:hint="default"/>
        <w:lang w:val="en-au" w:eastAsia="en-au" w:bidi="en-au"/>
      </w:rPr>
    </w:lvl>
    <w:lvl w:ilvl="8">
      <w:start w:val="0"/>
      <w:numFmt w:val="bullet"/>
      <w:lvlText w:val="•"/>
      <w:lvlJc w:val="left"/>
      <w:pPr>
        <w:ind w:left="8769"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TE3-6 &amp; TE3-8 Pre-flight inspection Lesson plan Training record</dc:title>
  <dcterms:created xsi:type="dcterms:W3CDTF">2021-11-10T00:44:01Z</dcterms:created>
  <dcterms:modified xsi:type="dcterms:W3CDTF">2021-11-10T00:44:01Z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