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43.25pt;height:64pt;mso-position-horizontal-relative:char;mso-position-vertical-relative:line" coordorigin="0,0" coordsize="10865,1280">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274" to="10855,1274" stroked="true" strokeweight=".481pt" strokecolor="#000000">
              <v:stroke dashstyle="solid"/>
            </v:line>
            <v:line style="position:absolute" from="22,679" to="22,1279" stroked="true" strokeweight=".481pt" strokecolor="#000000">
              <v:stroke dashstyle="solid"/>
            </v:line>
            <v:line style="position:absolute" from="10860,0" to="10860,1279" stroked="true" strokeweight=".48pt" strokecolor="#000000">
              <v:stroke dashstyle="solid"/>
            </v:line>
            <v:shape style="position:absolute;left:18;top:688;width:10838;height:581" type="#_x0000_t202" filled="true" fillcolor="#f2f2f2" stroked="false">
              <v:textbox inset="0,0,0,0">
                <w:txbxContent>
                  <w:p>
                    <w:pPr>
                      <w:spacing w:before="57"/>
                      <w:ind w:left="37" w:right="825" w:firstLine="0"/>
                      <w:jc w:val="left"/>
                      <w:rPr>
                        <w:b/>
                        <w:sz w:val="20"/>
                      </w:rPr>
                    </w:pPr>
                    <w:r>
                      <w:rPr>
                        <w:b/>
                        <w:sz w:val="20"/>
                      </w:rPr>
                      <w:t>LESSON TE3-31: HOVER, LIFT-OFF TO HOVER &amp; LAND FROM HOVER – PRE-FLIGHT BRIEF and FLIGHT TRAINING</w:t>
                    </w:r>
                  </w:p>
                </w:txbxContent>
              </v:textbox>
              <v:fill type="solid"/>
              <w10:wrap type="none"/>
            </v:shape>
            <v:shape style="position:absolute;left:18;top:9;width:10838;height:660" type="#_x0000_t202" filled="true" fillcolor="#dadada" stroked="false">
              <v:textbox inset="0,0,0,0">
                <w:txbxContent>
                  <w:p>
                    <w:pPr>
                      <w:spacing w:line="276" w:lineRule="auto" w:before="57"/>
                      <w:ind w:left="3370" w:right="1028"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11"/>
        <w:rPr>
          <w:rFonts w:ascii="Times New Roman"/>
          <w:b w:val="0"/>
          <w:sz w:val="7"/>
        </w:rPr>
      </w:pPr>
    </w:p>
    <w:tbl>
      <w:tblPr>
        <w:tblW w:w="0" w:type="auto"/>
        <w:jc w:val="left"/>
        <w:tblInd w:w="1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2"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18"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5"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3"/>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600"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Read back of pre-flight brief for </w:t>
            </w:r>
            <w:r>
              <w:rPr>
                <w:b/>
                <w:sz w:val="18"/>
              </w:rPr>
              <w:t>Hover, Lift-off to Hover and Land from</w:t>
            </w:r>
            <w:r>
              <w:rPr>
                <w:b/>
                <w:spacing w:val="-11"/>
                <w:sz w:val="18"/>
              </w:rPr>
              <w:t> </w:t>
            </w:r>
            <w:r>
              <w:rPr>
                <w:b/>
                <w:sz w:val="18"/>
              </w:rPr>
              <w:t>Hover</w:t>
            </w:r>
          </w:p>
          <w:p>
            <w:pPr>
              <w:pStyle w:val="TableParagraph"/>
              <w:numPr>
                <w:ilvl w:val="0"/>
                <w:numId w:val="1"/>
              </w:numPr>
              <w:tabs>
                <w:tab w:pos="286" w:val="left" w:leader="none"/>
              </w:tabs>
              <w:spacing w:line="218" w:lineRule="exact" w:before="0" w:after="0"/>
              <w:ind w:left="285" w:right="0" w:hanging="219"/>
              <w:jc w:val="left"/>
              <w:rPr>
                <w:b/>
                <w:sz w:val="18"/>
              </w:rPr>
            </w:pPr>
            <w:r>
              <w:rPr>
                <w:sz w:val="18"/>
              </w:rPr>
              <w:t>Demonstration of in-flight lesson for </w:t>
            </w:r>
            <w:r>
              <w:rPr>
                <w:b/>
                <w:sz w:val="18"/>
              </w:rPr>
              <w:t>Hover, Lift-off to Hover and Land from</w:t>
            </w:r>
            <w:r>
              <w:rPr>
                <w:b/>
                <w:spacing w:val="-8"/>
                <w:sz w:val="18"/>
              </w:rPr>
              <w:t> </w:t>
            </w:r>
            <w:r>
              <w:rPr>
                <w:b/>
                <w:sz w:val="18"/>
              </w:rPr>
              <w:t>Hover</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Read back of in-flight lesson for </w:t>
            </w:r>
            <w:r>
              <w:rPr>
                <w:b/>
                <w:sz w:val="18"/>
              </w:rPr>
              <w:t>Hover, Lift-off to Hover and Land from</w:t>
            </w:r>
            <w:r>
              <w:rPr>
                <w:b/>
                <w:spacing w:val="-7"/>
                <w:sz w:val="18"/>
              </w:rPr>
              <w:t> </w:t>
            </w:r>
            <w:r>
              <w:rPr>
                <w:b/>
                <w:sz w:val="18"/>
              </w:rPr>
              <w:t>Hover</w:t>
            </w:r>
          </w:p>
          <w:p>
            <w:pPr>
              <w:pStyle w:val="TableParagraph"/>
              <w:numPr>
                <w:ilvl w:val="0"/>
                <w:numId w:val="1"/>
              </w:numPr>
              <w:tabs>
                <w:tab w:pos="286" w:val="left" w:leader="none"/>
              </w:tabs>
              <w:spacing w:line="219" w:lineRule="exact" w:before="5" w:after="0"/>
              <w:ind w:left="285" w:right="0" w:hanging="220"/>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6" w:val="left" w:leader="none"/>
              </w:tabs>
              <w:spacing w:line="218" w:lineRule="exact" w:before="0" w:after="0"/>
              <w:ind w:left="285" w:right="0" w:hanging="220"/>
              <w:jc w:val="left"/>
              <w:rPr>
                <w:sz w:val="18"/>
              </w:rPr>
            </w:pPr>
            <w:r>
              <w:rPr>
                <w:sz w:val="18"/>
              </w:rPr>
              <w:t>The blueprint for the pre-flight brief and in-flight lesson is the operator’s approved lesson from their PPL/CPL</w:t>
            </w:r>
            <w:r>
              <w:rPr>
                <w:spacing w:val="-31"/>
                <w:sz w:val="18"/>
              </w:rPr>
              <w:t> </w:t>
            </w:r>
            <w:r>
              <w:rPr>
                <w:sz w:val="18"/>
              </w:rPr>
              <w:t>syllabus</w:t>
            </w:r>
          </w:p>
          <w:p>
            <w:pPr>
              <w:pStyle w:val="TableParagraph"/>
              <w:numPr>
                <w:ilvl w:val="0"/>
                <w:numId w:val="1"/>
              </w:numPr>
              <w:tabs>
                <w:tab w:pos="286" w:val="left" w:leader="none"/>
              </w:tabs>
              <w:spacing w:line="220" w:lineRule="exact" w:before="0"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3774"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Training Notes</w:t>
            </w:r>
          </w:p>
          <w:p>
            <w:pPr>
              <w:pStyle w:val="TableParagraph"/>
              <w:spacing w:before="7"/>
              <w:rPr>
                <w:rFonts w:ascii="Times New Roman"/>
                <w:sz w:val="20"/>
              </w:rPr>
            </w:pPr>
          </w:p>
          <w:p>
            <w:pPr>
              <w:pStyle w:val="TableParagraph"/>
              <w:numPr>
                <w:ilvl w:val="0"/>
                <w:numId w:val="2"/>
              </w:numPr>
              <w:tabs>
                <w:tab w:pos="623" w:val="left" w:leader="none"/>
                <w:tab w:pos="624" w:val="left" w:leader="none"/>
              </w:tabs>
              <w:spacing w:line="237" w:lineRule="auto" w:before="0" w:after="0"/>
              <w:ind w:left="623" w:right="114" w:hanging="356"/>
              <w:jc w:val="left"/>
              <w:rPr>
                <w:sz w:val="18"/>
              </w:rPr>
            </w:pPr>
            <w:r>
              <w:rPr>
                <w:sz w:val="18"/>
              </w:rPr>
              <w:t>The trainee to read back the pre-flight brief on Hover, Lift-off to Hover and Land from Hover if not already completed as part of lesson TE3-30.</w:t>
            </w:r>
          </w:p>
          <w:p>
            <w:pPr>
              <w:pStyle w:val="TableParagraph"/>
              <w:numPr>
                <w:ilvl w:val="0"/>
                <w:numId w:val="2"/>
              </w:numPr>
              <w:tabs>
                <w:tab w:pos="623" w:val="left" w:leader="none"/>
                <w:tab w:pos="624" w:val="left" w:leader="none"/>
              </w:tabs>
              <w:spacing w:line="237" w:lineRule="auto" w:before="44" w:after="0"/>
              <w:ind w:left="623" w:right="-44" w:hanging="356"/>
              <w:jc w:val="left"/>
              <w:rPr>
                <w:sz w:val="18"/>
              </w:rPr>
            </w:pPr>
            <w:r>
              <w:rPr>
                <w:sz w:val="18"/>
              </w:rPr>
              <w:t>This lesson covers both demonstration and read back in one. Time constraints and trainee FI performance may preclude completion of the entire lesson. In this case the FIR instructor will need to prioritise the learning tasks and be mindful that it is no necessary to complete all</w:t>
            </w:r>
            <w:r>
              <w:rPr>
                <w:spacing w:val="1"/>
                <w:sz w:val="18"/>
              </w:rPr>
              <w:t> </w:t>
            </w:r>
            <w:r>
              <w:rPr>
                <w:sz w:val="18"/>
              </w:rPr>
              <w:t>elements.</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During the lesson, intervention and recovery from mishandled hovering should be</w:t>
            </w:r>
            <w:r>
              <w:rPr>
                <w:spacing w:val="-4"/>
                <w:sz w:val="18"/>
              </w:rPr>
              <w:t> </w:t>
            </w:r>
            <w:r>
              <w:rPr>
                <w:sz w:val="18"/>
              </w:rPr>
              <w:t>practised.</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37" w:lineRule="auto" w:before="44" w:after="0"/>
              <w:ind w:left="623" w:right="175" w:hanging="356"/>
              <w:jc w:val="left"/>
              <w:rPr>
                <w:sz w:val="18"/>
              </w:rPr>
            </w:pPr>
            <w:r>
              <w:rPr>
                <w:sz w:val="18"/>
              </w:rPr>
              <w:t>The trainee should demonstrate the integration of HF/NTS items introduced in the pre-flight brief including reviewing with the student</w:t>
            </w:r>
            <w:r>
              <w:rPr>
                <w:spacing w:val="-4"/>
                <w:sz w:val="18"/>
              </w:rPr>
              <w:t> </w:t>
            </w:r>
            <w:r>
              <w:rPr>
                <w:sz w:val="18"/>
              </w:rPr>
              <w:t>management</w:t>
            </w:r>
            <w:r>
              <w:rPr>
                <w:spacing w:val="-4"/>
                <w:sz w:val="18"/>
              </w:rPr>
              <w:t> </w:t>
            </w:r>
            <w:r>
              <w:rPr>
                <w:sz w:val="18"/>
              </w:rPr>
              <w:t>of</w:t>
            </w:r>
            <w:r>
              <w:rPr>
                <w:spacing w:val="-2"/>
                <w:sz w:val="18"/>
              </w:rPr>
              <w:t> </w:t>
            </w:r>
            <w:r>
              <w:rPr>
                <w:sz w:val="18"/>
              </w:rPr>
              <w:t>threats</w:t>
            </w:r>
            <w:r>
              <w:rPr>
                <w:spacing w:val="-1"/>
                <w:sz w:val="18"/>
              </w:rPr>
              <w:t> </w:t>
            </w:r>
            <w:r>
              <w:rPr>
                <w:sz w:val="18"/>
              </w:rPr>
              <w:t>and</w:t>
            </w:r>
            <w:r>
              <w:rPr>
                <w:spacing w:val="-1"/>
                <w:sz w:val="18"/>
              </w:rPr>
              <w:t> </w:t>
            </w:r>
            <w:r>
              <w:rPr>
                <w:sz w:val="18"/>
              </w:rPr>
              <w:t>errors</w:t>
            </w:r>
            <w:r>
              <w:rPr>
                <w:spacing w:val="-1"/>
                <w:sz w:val="18"/>
              </w:rPr>
              <w:t> </w:t>
            </w:r>
            <w:r>
              <w:rPr>
                <w:sz w:val="18"/>
              </w:rPr>
              <w:t>and</w:t>
            </w:r>
            <w:r>
              <w:rPr>
                <w:spacing w:val="-1"/>
                <w:sz w:val="18"/>
              </w:rPr>
              <w:t> </w:t>
            </w:r>
            <w:r>
              <w:rPr>
                <w:sz w:val="18"/>
              </w:rPr>
              <w:t>an</w:t>
            </w:r>
            <w:r>
              <w:rPr>
                <w:spacing w:val="-1"/>
                <w:sz w:val="18"/>
              </w:rPr>
              <w:t> </w:t>
            </w:r>
            <w:r>
              <w:rPr>
                <w:sz w:val="18"/>
              </w:rPr>
              <w:t>undesired</w:t>
            </w:r>
            <w:r>
              <w:rPr>
                <w:spacing w:val="-4"/>
                <w:sz w:val="18"/>
              </w:rPr>
              <w:t> </w:t>
            </w:r>
            <w:r>
              <w:rPr>
                <w:sz w:val="18"/>
              </w:rPr>
              <w:t>aircraft</w:t>
            </w:r>
            <w:r>
              <w:rPr>
                <w:spacing w:val="-2"/>
                <w:sz w:val="18"/>
              </w:rPr>
              <w:t> </w:t>
            </w:r>
            <w:r>
              <w:rPr>
                <w:sz w:val="18"/>
              </w:rPr>
              <w:t>state</w:t>
            </w:r>
            <w:r>
              <w:rPr>
                <w:spacing w:val="-4"/>
                <w:sz w:val="18"/>
              </w:rPr>
              <w:t> </w:t>
            </w:r>
            <w:r>
              <w:rPr>
                <w:sz w:val="18"/>
              </w:rPr>
              <w:t>that</w:t>
            </w:r>
            <w:r>
              <w:rPr>
                <w:spacing w:val="-4"/>
                <w:sz w:val="18"/>
              </w:rPr>
              <w:t> </w:t>
            </w:r>
            <w:r>
              <w:rPr>
                <w:sz w:val="18"/>
              </w:rPr>
              <w:t>can</w:t>
            </w:r>
            <w:r>
              <w:rPr>
                <w:spacing w:val="-1"/>
                <w:sz w:val="18"/>
              </w:rPr>
              <w:t> </w:t>
            </w:r>
            <w:r>
              <w:rPr>
                <w:sz w:val="18"/>
              </w:rPr>
              <w:t>result</w:t>
            </w:r>
            <w:r>
              <w:rPr>
                <w:spacing w:val="-4"/>
                <w:sz w:val="18"/>
              </w:rPr>
              <w:t> </w:t>
            </w:r>
            <w:r>
              <w:rPr>
                <w:sz w:val="18"/>
              </w:rPr>
              <w:t>from</w:t>
            </w:r>
            <w:r>
              <w:rPr>
                <w:spacing w:val="-1"/>
                <w:sz w:val="18"/>
              </w:rPr>
              <w:t> </w:t>
            </w:r>
            <w:r>
              <w:rPr>
                <w:sz w:val="18"/>
              </w:rPr>
              <w:t>unmanaged</w:t>
            </w:r>
            <w:r>
              <w:rPr>
                <w:spacing w:val="-4"/>
                <w:sz w:val="18"/>
              </w:rPr>
              <w:t> </w:t>
            </w:r>
            <w:r>
              <w:rPr>
                <w:sz w:val="18"/>
              </w:rPr>
              <w:t>threats</w:t>
            </w:r>
            <w:r>
              <w:rPr>
                <w:spacing w:val="-3"/>
                <w:sz w:val="18"/>
              </w:rPr>
              <w:t> </w:t>
            </w:r>
            <w:r>
              <w:rPr>
                <w:sz w:val="18"/>
              </w:rPr>
              <w:t>and</w:t>
            </w:r>
            <w:r>
              <w:rPr>
                <w:spacing w:val="-4"/>
                <w:sz w:val="18"/>
              </w:rPr>
              <w:t> </w:t>
            </w:r>
            <w:r>
              <w:rPr>
                <w:sz w:val="18"/>
              </w:rPr>
              <w:t>errors.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4"/>
                <w:sz w:val="18"/>
              </w:rPr>
              <w:t> </w:t>
            </w:r>
            <w:r>
              <w:rPr>
                <w:sz w:val="18"/>
              </w:rPr>
              <w:t>manual</w:t>
            </w:r>
            <w:r>
              <w:rPr>
                <w:spacing w:val="-3"/>
                <w:sz w:val="18"/>
              </w:rPr>
              <w:t> </w:t>
            </w:r>
            <w:r>
              <w:rPr>
                <w:sz w:val="18"/>
              </w:rPr>
              <w:t>provides</w:t>
            </w:r>
            <w:r>
              <w:rPr>
                <w:spacing w:val="-3"/>
                <w:sz w:val="18"/>
              </w:rPr>
              <w:t> </w:t>
            </w:r>
            <w:r>
              <w:rPr>
                <w:sz w:val="18"/>
              </w:rPr>
              <w:t>useful</w:t>
            </w:r>
            <w:r>
              <w:rPr>
                <w:spacing w:val="-1"/>
                <w:sz w:val="18"/>
              </w:rPr>
              <w:t> </w:t>
            </w:r>
            <w:r>
              <w:rPr>
                <w:sz w:val="18"/>
              </w:rPr>
              <w:t>references for</w:t>
            </w:r>
            <w:r>
              <w:rPr>
                <w:spacing w:val="-2"/>
                <w:sz w:val="18"/>
              </w:rPr>
              <w:t> </w:t>
            </w:r>
            <w:r>
              <w:rPr>
                <w:sz w:val="18"/>
              </w:rPr>
              <w:t>some</w:t>
            </w:r>
            <w:r>
              <w:rPr>
                <w:spacing w:val="-1"/>
                <w:sz w:val="18"/>
              </w:rPr>
              <w:t> </w:t>
            </w:r>
            <w:r>
              <w:rPr>
                <w:sz w:val="18"/>
              </w:rPr>
              <w:t>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4"/>
                <w:sz w:val="18"/>
              </w:rPr>
              <w:t> </w:t>
            </w:r>
            <w:r>
              <w:rPr>
                <w:sz w:val="18"/>
              </w:rPr>
              <w:t>that</w:t>
            </w:r>
            <w:r>
              <w:rPr>
                <w:spacing w:val="-3"/>
                <w:sz w:val="18"/>
              </w:rPr>
              <w:t> </w:t>
            </w:r>
            <w:r>
              <w:rPr>
                <w:sz w:val="18"/>
              </w:rPr>
              <w:t>should</w:t>
            </w:r>
            <w:r>
              <w:rPr>
                <w:spacing w:val="-4"/>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37" w:lineRule="auto" w:before="44" w:after="0"/>
              <w:ind w:left="623" w:right="250" w:hanging="356"/>
              <w:jc w:val="left"/>
              <w:rPr>
                <w:sz w:val="18"/>
              </w:rPr>
            </w:pPr>
            <w:r>
              <w:rPr>
                <w:sz w:val="18"/>
              </w:rPr>
              <w:t>The trainee should be able to demonstrate most of the criteria to standard 2 however there are several standard 3 relating to intervention techniques which was discussed in tutorial 7 and this is the first opportunity to apply in</w:t>
            </w:r>
            <w:r>
              <w:rPr>
                <w:spacing w:val="-31"/>
                <w:sz w:val="18"/>
              </w:rPr>
              <w:t> </w:t>
            </w:r>
            <w:r>
              <w:rPr>
                <w:sz w:val="18"/>
              </w:rPr>
              <w:t>practice</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instructor where the instructor role played a</w:t>
            </w:r>
            <w:r>
              <w:rPr>
                <w:spacing w:val="-9"/>
                <w:sz w:val="18"/>
              </w:rPr>
              <w:t> </w:t>
            </w:r>
            <w:r>
              <w:rPr>
                <w:sz w:val="18"/>
              </w:rPr>
              <w:t>student.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From this read back onwards, the trainee FI should write up a training record for</w:t>
            </w:r>
            <w:r>
              <w:rPr>
                <w:spacing w:val="-11"/>
                <w:sz w:val="18"/>
              </w:rPr>
              <w:t> </w:t>
            </w:r>
            <w:r>
              <w:rPr>
                <w:sz w:val="18"/>
              </w:rPr>
              <w:t>‘Bloggs’</w:t>
            </w:r>
          </w:p>
        </w:tc>
      </w:tr>
    </w:tbl>
    <w:p>
      <w:pPr>
        <w:pStyle w:val="BodyText"/>
        <w:spacing w:before="2"/>
        <w:rPr>
          <w:rFonts w:ascii="Times New Roman"/>
          <w:b w:val="0"/>
          <w:sz w:val="28"/>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4"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17"/>
              <w:ind w:left="189"/>
              <w:rPr>
                <w:b/>
                <w:sz w:val="18"/>
              </w:rPr>
            </w:pPr>
            <w:r>
              <w:rPr>
                <w:b/>
                <w:sz w:val="18"/>
              </w:rPr>
              <w:t>FIR-TE3.2</w:t>
            </w:r>
          </w:p>
        </w:tc>
        <w:tc>
          <w:tcPr>
            <w:tcW w:w="8489"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left="767"/>
              <w:rPr>
                <w:sz w:val="20"/>
              </w:rPr>
            </w:pPr>
            <w:r>
              <w:rPr>
                <w:sz w:val="20"/>
              </w:rPr>
              <w:t>(e)</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560" w:right="240"/>
          <w:pgNumType w:start="1"/>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 NTS1 and NTS2</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489"/>
              <w:rPr>
                <w:sz w:val="18"/>
              </w:rPr>
            </w:pPr>
            <w:r>
              <w:rPr>
                <w:sz w:val="18"/>
              </w:rPr>
              <w:t>(xvi) H2.1, H2.2 and H2.6 - Hovering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(f)</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467"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1160" w:bottom="840" w:left="560" w:right="240"/>
          <w:pgNumType w:start="2"/>
        </w:sectPr>
      </w:pPr>
    </w:p>
    <w:p>
      <w:pPr>
        <w:pStyle w:val="BodyText"/>
        <w:spacing w:before="7" w:after="1"/>
        <w:rPr>
          <w:rFonts w:ascii="Times New Roman"/>
          <w:b w:val="0"/>
          <w:sz w:val="11"/>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the aircraft;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w w:val="95"/>
                <w:sz w:val="18"/>
              </w:rPr>
              <w:t>(d)</w:t>
            </w:r>
          </w:p>
        </w:tc>
        <w:tc>
          <w:tcPr>
            <w:tcW w:w="8489" w:type="dxa"/>
          </w:tcPr>
          <w:p>
            <w:pPr>
              <w:pStyle w:val="TableParagraph"/>
              <w:spacing w:before="25"/>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NTS2.1 Recognise and manage threats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0"/>
              <w:ind w:right="178"/>
              <w:jc w:val="right"/>
              <w:rPr>
                <w:b/>
                <w:sz w:val="18"/>
              </w:rPr>
            </w:pPr>
            <w:r>
              <w:rPr>
                <w:b/>
                <w:sz w:val="18"/>
              </w:rPr>
              <w:t>FIR-TE3.8</w:t>
            </w:r>
          </w:p>
        </w:tc>
        <w:tc>
          <w:tcPr>
            <w:tcW w:w="8489" w:type="dxa"/>
          </w:tcPr>
          <w:p>
            <w:pPr>
              <w:pStyle w:val="TableParagraph"/>
              <w:spacing w:before="20"/>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1160" w:bottom="840" w:left="560" w:right="240"/>
        </w:sectPr>
      </w:pPr>
    </w:p>
    <w:p>
      <w:pPr>
        <w:pStyle w:val="BodyText"/>
        <w:spacing w:before="5"/>
        <w:rPr>
          <w:rFonts w:ascii="Times New Roman"/>
          <w:b w:val="0"/>
          <w:sz w:val="10"/>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24"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6" w:right="91"/>
              <w:rPr>
                <w:b/>
                <w:sz w:val="16"/>
              </w:rPr>
            </w:pPr>
            <w:r>
              <w:rPr>
                <w:b/>
                <w:sz w:val="16"/>
              </w:rPr>
              <w:t>Performance Standard</w:t>
            </w:r>
          </w:p>
        </w:tc>
      </w:tr>
      <w:tr>
        <w:trPr>
          <w:trHeight w:val="863"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bl>
    <w:p>
      <w:pPr>
        <w:pStyle w:val="BodyText"/>
        <w:rPr>
          <w:rFonts w:ascii="Times New Roman"/>
          <w:b w:val="0"/>
        </w:rPr>
      </w:pPr>
    </w:p>
    <w:p>
      <w:pPr>
        <w:pStyle w:val="BodyText"/>
        <w:spacing w:before="2" w:after="1"/>
        <w:rPr>
          <w:rFonts w:ascii="Times New Roman"/>
          <w:b w:val="0"/>
          <w:sz w:val="24"/>
        </w:rPr>
      </w:pPr>
    </w:p>
    <w:tbl>
      <w:tblPr>
        <w:tblW w:w="0" w:type="auto"/>
        <w:jc w:val="left"/>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1" w:hRule="atLeast"/>
        </w:trPr>
        <w:tc>
          <w:tcPr>
            <w:tcW w:w="1049" w:type="dxa"/>
          </w:tcPr>
          <w:p>
            <w:pPr>
              <w:pStyle w:val="TableParagraph"/>
              <w:spacing w:before="20"/>
              <w:ind w:left="132" w:right="45"/>
              <w:jc w:val="center"/>
              <w:rPr>
                <w:b/>
                <w:sz w:val="18"/>
              </w:rPr>
            </w:pPr>
            <w:r>
              <w:rPr>
                <w:b/>
                <w:sz w:val="18"/>
              </w:rPr>
              <w:t>FIR-TE3</w:t>
            </w:r>
          </w:p>
        </w:tc>
        <w:tc>
          <w:tcPr>
            <w:tcW w:w="9780" w:type="dxa"/>
          </w:tcPr>
          <w:p>
            <w:pPr>
              <w:pStyle w:val="TableParagraph"/>
              <w:spacing w:before="20"/>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6"/>
        <w:rPr>
          <w:rFonts w:ascii="Times New Roman"/>
          <w:b w:val="0"/>
          <w:sz w:val="23"/>
        </w:rPr>
      </w:pPr>
    </w:p>
    <w:tbl>
      <w:tblPr>
        <w:tblW w:w="0" w:type="auto"/>
        <w:jc w:val="left"/>
        <w:tblInd w:w="155" w:type="dxa"/>
        <w:tblBorders>
          <w:top w:val="single" w:sz="34" w:space="0" w:color="EEECE1"/>
          <w:left w:val="single" w:sz="34" w:space="0" w:color="EEECE1"/>
          <w:bottom w:val="single" w:sz="34" w:space="0" w:color="EEECE1"/>
          <w:right w:val="single" w:sz="34" w:space="0" w:color="EEECE1"/>
          <w:insideH w:val="single" w:sz="34" w:space="0" w:color="EEECE1"/>
          <w:insideV w:val="single" w:sz="34" w:space="0" w:color="EEECE1"/>
        </w:tblBorders>
        <w:tblLayout w:type="fixed"/>
        <w:tblCellMar>
          <w:top w:w="0" w:type="dxa"/>
          <w:left w:w="0" w:type="dxa"/>
          <w:bottom w:w="0" w:type="dxa"/>
          <w:right w:w="0" w:type="dxa"/>
        </w:tblCellMar>
        <w:tblLook w:val="01E0"/>
      </w:tblPr>
      <w:tblGrid>
        <w:gridCol w:w="5758"/>
        <w:gridCol w:w="4988"/>
      </w:tblGrid>
      <w:tr>
        <w:trPr>
          <w:trHeight w:val="440" w:hRule="atLeast"/>
        </w:trPr>
        <w:tc>
          <w:tcPr>
            <w:tcW w:w="10746" w:type="dxa"/>
            <w:gridSpan w:val="2"/>
            <w:tcBorders>
              <w:left w:val="single" w:sz="4" w:space="0" w:color="000000"/>
              <w:right w:val="single" w:sz="4" w:space="0" w:color="000000"/>
            </w:tcBorders>
            <w:shd w:val="clear" w:color="auto" w:fill="F2F2F2"/>
          </w:tcPr>
          <w:p>
            <w:pPr>
              <w:pStyle w:val="TableParagraph"/>
              <w:spacing w:line="216" w:lineRule="exact"/>
              <w:ind w:left="604" w:right="602"/>
              <w:jc w:val="center"/>
              <w:rPr>
                <w:b/>
                <w:sz w:val="20"/>
              </w:rPr>
            </w:pPr>
            <w:r>
              <w:rPr>
                <w:b/>
                <w:sz w:val="20"/>
              </w:rPr>
              <w:t>COMMENTS AND OUTCOME (INCLUDING ELEMENTS &amp; PERFORMANCE CRITERIA THAT REQUIRE</w:t>
            </w:r>
          </w:p>
          <w:p>
            <w:pPr>
              <w:pStyle w:val="TableParagraph"/>
              <w:spacing w:line="204" w:lineRule="exact"/>
              <w:ind w:left="604" w:right="602"/>
              <w:jc w:val="center"/>
              <w:rPr>
                <w:b/>
                <w:sz w:val="20"/>
              </w:rPr>
            </w:pPr>
            <w:r>
              <w:rPr>
                <w:b/>
                <w:sz w:val="20"/>
              </w:rPr>
              <w:t>CONSOLIDATION AND/OR REMEDIAL TRAINING)</w:t>
            </w:r>
          </w:p>
        </w:tc>
      </w:tr>
      <w:tr>
        <w:trPr>
          <w:trHeight w:val="4245" w:hRule="atLeast"/>
        </w:trPr>
        <w:tc>
          <w:tcPr>
            <w:tcW w:w="10746" w:type="dxa"/>
            <w:gridSpan w:val="2"/>
            <w:tcBorders>
              <w:left w:val="single" w:sz="4" w:space="0" w:color="000000"/>
              <w:bottom w:val="single" w:sz="8" w:space="0" w:color="000000"/>
              <w:right w:val="single" w:sz="4" w:space="0" w:color="000000"/>
            </w:tcBorders>
          </w:tcPr>
          <w:p>
            <w:pPr>
              <w:pStyle w:val="TableParagraph"/>
              <w:rPr>
                <w:rFonts w:ascii="Times New Roman"/>
                <w:sz w:val="18"/>
              </w:rPr>
            </w:pPr>
          </w:p>
        </w:tc>
      </w:tr>
      <w:tr>
        <w:trPr>
          <w:trHeight w:val="284" w:hRule="atLeast"/>
        </w:trPr>
        <w:tc>
          <w:tcPr>
            <w:tcW w:w="5758" w:type="dxa"/>
            <w:tcBorders>
              <w:top w:val="single" w:sz="8" w:space="0" w:color="000000"/>
              <w:left w:val="single" w:sz="4" w:space="0" w:color="000000"/>
              <w:bottom w:val="single" w:sz="4" w:space="0" w:color="000000"/>
              <w:right w:val="single" w:sz="4"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left w:val="single" w:sz="4" w:space="0" w:color="000000"/>
              <w:bottom w:val="single" w:sz="4" w:space="0" w:color="000000"/>
              <w:right w:val="single" w:sz="4"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18"/>
              </w:rPr>
            </w:pPr>
          </w:p>
        </w:tc>
        <w:tc>
          <w:tcPr>
            <w:tcW w:w="4988" w:type="dxa"/>
            <w:tcBorders>
              <w:top w:val="single" w:sz="4" w:space="0" w:color="000000"/>
              <w:left w:val="single" w:sz="4" w:space="0" w:color="000000"/>
              <w:bottom w:val="single" w:sz="4" w:space="0" w:color="000000"/>
              <w:right w:val="single" w:sz="4" w:space="0" w:color="000000"/>
            </w:tcBorders>
          </w:tcPr>
          <w:p>
            <w:pPr>
              <w:pStyle w:val="TableParagraph"/>
              <w:rPr>
                <w:rFonts w:ascii="Times New Roman"/>
                <w:sz w:val="18"/>
              </w:rPr>
            </w:pPr>
          </w:p>
        </w:tc>
      </w:tr>
    </w:tbl>
    <w:sectPr>
      <w:pgSz w:w="11910" w:h="16840"/>
      <w:pgMar w:header="566" w:footer="642" w:top="1160" w:bottom="840" w:left="56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4406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43040" type="#_x0000_t202" filled="false" stroked="false">
          <v:textbox inset="0,0,0,0">
            <w:txbxContent>
              <w:p>
                <w:pPr>
                  <w:spacing w:line="203" w:lineRule="exact" w:before="0"/>
                  <w:ind w:left="20" w:right="0" w:firstLine="0"/>
                  <w:jc w:val="left"/>
                  <w:rPr>
                    <w:rFonts w:ascii="Calibri"/>
                    <w:sz w:val="18"/>
                  </w:rPr>
                </w:pPr>
                <w:r>
                  <w:rPr>
                    <w:rFonts w:ascii="Calibri"/>
                    <w:sz w:val="18"/>
                  </w:rPr>
                  <w:t>FIR-TE3-31</w:t>
                </w:r>
              </w:p>
            </w:txbxContent>
          </v:textbox>
          <w10:wrap type="none"/>
        </v:shape>
      </w:pict>
    </w:r>
    <w:r>
      <w:rPr/>
      <w:pict>
        <v:shape style="position:absolute;margin-left:274.763pt;margin-top:801.289978pt;width:45.95pt;height:11pt;mso-position-horizontal-relative:page;mso-position-vertical-relative:page;z-index:-25314201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4099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3792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36896" type="#_x0000_t202" filled="false" stroked="false">
          <v:textbox inset="0,0,0,0">
            <w:txbxContent>
              <w:p>
                <w:pPr>
                  <w:spacing w:line="203" w:lineRule="exact" w:before="0"/>
                  <w:ind w:left="20" w:right="0" w:firstLine="0"/>
                  <w:jc w:val="left"/>
                  <w:rPr>
                    <w:rFonts w:ascii="Calibri"/>
                    <w:sz w:val="18"/>
                  </w:rPr>
                </w:pPr>
                <w:r>
                  <w:rPr>
                    <w:rFonts w:ascii="Calibri"/>
                    <w:sz w:val="18"/>
                  </w:rPr>
                  <w:t>FIR-TE3-31</w:t>
                </w:r>
              </w:p>
            </w:txbxContent>
          </v:textbox>
          <w10:wrap type="none"/>
        </v:shape>
      </w:pict>
    </w:r>
    <w:r>
      <w:rPr/>
      <w:pict>
        <v:shape style="position:absolute;margin-left:274.763pt;margin-top:801.289978pt;width:45.95pt;height:11pt;mso-position-horizontal-relative:page;mso-position-vertical-relative:page;z-index:-25313587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3484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30pt;mso-position-horizontal-relative:page;mso-position-vertical-relative:page;z-index:-253139968" coordorigin="672,566" coordsize="10848,600">
          <v:rect style="position:absolute;left:681;top:576;width:10829;height:291" filled="true" fillcolor="#f2f2f2" stroked="false">
            <v:fill type="solid"/>
          </v:rect>
          <v:line style="position:absolute" from="682,571" to="11510,571" stroked="true" strokeweight=".48pt" strokecolor="#000000">
            <v:stroke dashstyle="solid"/>
          </v:line>
          <v:rect style="position:absolute;left:681;top:866;width:10829;height:291" filled="true" fillcolor="#f2f2f2" stroked="false">
            <v:fill type="solid"/>
          </v:rect>
          <v:line style="position:absolute" from="682,1162" to="11510,1162" stroked="true" strokeweight=".48pt" strokecolor="#000000">
            <v:stroke dashstyle="solid"/>
          </v:line>
          <v:line style="position:absolute" from="677,566" to="677,1166" stroked="true" strokeweight=".481pt" strokecolor="#000000">
            <v:stroke dashstyle="solid"/>
          </v:line>
          <v:line style="position:absolute" from="11515,566" to="11515,1166" stroked="true" strokeweight=".48pt" strokecolor="#000000">
            <v:stroke dashstyle="solid"/>
          </v:line>
          <w10:wrap type="none"/>
        </v:group>
      </w:pict>
    </w:r>
    <w:r>
      <w:rPr/>
      <w:pict>
        <v:shape style="position:absolute;margin-left:34.520pt;margin-top:31.02346pt;width:499.85pt;height:24.65pt;mso-position-horizontal-relative:page;mso-position-vertical-relative:page;z-index:-253138944" type="#_x0000_t202" filled="false" stroked="false">
          <v:textbox inset="0,0,0,0">
            <w:txbxContent>
              <w:p>
                <w:pPr>
                  <w:pStyle w:val="BodyText"/>
                  <w:spacing w:before="12"/>
                  <w:ind w:left="20" w:right="1"/>
                </w:pPr>
                <w:r>
                  <w:rPr/>
                  <w:t>LESSON TE3-31: HOVER, LIFT-OFF TO HOVER &amp; LAND FROM HOVER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285" w:hanging="219"/>
      </w:pPr>
      <w:rPr>
        <w:rFonts w:hint="default" w:ascii="Symbol" w:hAnsi="Symbol" w:eastAsia="Symbol" w:cs="Symbol"/>
        <w:w w:val="100"/>
        <w:sz w:val="18"/>
        <w:szCs w:val="18"/>
        <w:lang w:val="en-au" w:eastAsia="en-au" w:bidi="en-au"/>
      </w:rPr>
    </w:lvl>
    <w:lvl w:ilvl="1">
      <w:start w:val="0"/>
      <w:numFmt w:val="bullet"/>
      <w:lvlText w:val="•"/>
      <w:lvlJc w:val="left"/>
      <w:pPr>
        <w:ind w:left="1328" w:hanging="219"/>
      </w:pPr>
      <w:rPr>
        <w:rFonts w:hint="default"/>
        <w:lang w:val="en-au" w:eastAsia="en-au" w:bidi="en-au"/>
      </w:rPr>
    </w:lvl>
    <w:lvl w:ilvl="2">
      <w:start w:val="0"/>
      <w:numFmt w:val="bullet"/>
      <w:lvlText w:val="•"/>
      <w:lvlJc w:val="left"/>
      <w:pPr>
        <w:ind w:left="2376" w:hanging="219"/>
      </w:pPr>
      <w:rPr>
        <w:rFonts w:hint="default"/>
        <w:lang w:val="en-au" w:eastAsia="en-au" w:bidi="en-au"/>
      </w:rPr>
    </w:lvl>
    <w:lvl w:ilvl="3">
      <w:start w:val="0"/>
      <w:numFmt w:val="bullet"/>
      <w:lvlText w:val="•"/>
      <w:lvlJc w:val="left"/>
      <w:pPr>
        <w:ind w:left="3424" w:hanging="219"/>
      </w:pPr>
      <w:rPr>
        <w:rFonts w:hint="default"/>
        <w:lang w:val="en-au" w:eastAsia="en-au" w:bidi="en-au"/>
      </w:rPr>
    </w:lvl>
    <w:lvl w:ilvl="4">
      <w:start w:val="0"/>
      <w:numFmt w:val="bullet"/>
      <w:lvlText w:val="•"/>
      <w:lvlJc w:val="left"/>
      <w:pPr>
        <w:ind w:left="4472" w:hanging="219"/>
      </w:pPr>
      <w:rPr>
        <w:rFonts w:hint="default"/>
        <w:lang w:val="en-au" w:eastAsia="en-au" w:bidi="en-au"/>
      </w:rPr>
    </w:lvl>
    <w:lvl w:ilvl="5">
      <w:start w:val="0"/>
      <w:numFmt w:val="bullet"/>
      <w:lvlText w:val="•"/>
      <w:lvlJc w:val="left"/>
      <w:pPr>
        <w:ind w:left="5520" w:hanging="219"/>
      </w:pPr>
      <w:rPr>
        <w:rFonts w:hint="default"/>
        <w:lang w:val="en-au" w:eastAsia="en-au" w:bidi="en-au"/>
      </w:rPr>
    </w:lvl>
    <w:lvl w:ilvl="6">
      <w:start w:val="0"/>
      <w:numFmt w:val="bullet"/>
      <w:lvlText w:val="•"/>
      <w:lvlJc w:val="left"/>
      <w:pPr>
        <w:ind w:left="6568" w:hanging="219"/>
      </w:pPr>
      <w:rPr>
        <w:rFonts w:hint="default"/>
        <w:lang w:val="en-au" w:eastAsia="en-au" w:bidi="en-au"/>
      </w:rPr>
    </w:lvl>
    <w:lvl w:ilvl="7">
      <w:start w:val="0"/>
      <w:numFmt w:val="bullet"/>
      <w:lvlText w:val="•"/>
      <w:lvlJc w:val="left"/>
      <w:pPr>
        <w:ind w:left="7616" w:hanging="219"/>
      </w:pPr>
      <w:rPr>
        <w:rFonts w:hint="default"/>
        <w:lang w:val="en-au" w:eastAsia="en-au" w:bidi="en-au"/>
      </w:rPr>
    </w:lvl>
    <w:lvl w:ilvl="8">
      <w:start w:val="0"/>
      <w:numFmt w:val="bullet"/>
      <w:lvlText w:val="•"/>
      <w:lvlJc w:val="left"/>
      <w:pPr>
        <w:ind w:left="8664"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TE3-31 Hover Lift-off to Hover Land from Hover Preflight  Inflight Lesson plan Trng record </dc:title>
  <dcterms:created xsi:type="dcterms:W3CDTF">2021-11-10T00:52:12Z</dcterms:created>
  <dcterms:modified xsi:type="dcterms:W3CDTF">2021-11-10T00:52:12Z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