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rect style="position:absolute;left:0;top:0;width:10;height:10" filled="true" fillcolor="#000000" stroked="false">
              <v:fill type="solid"/>
            </v:rect>
            <v:rect style="position:absolute;left:0;top:0;width:10;height:10" filled="true" fillcolor="#000000" stroked="false">
              <v:fill type="solid"/>
            </v:rect>
            <v:line style="position:absolute" from="10,5" to="10994,5" stroked="true" strokeweight=".481pt" strokecolor="#000000">
              <v:stroke dashstyle="solid"/>
            </v:line>
            <v:rect style="position:absolute;left:10994;top:0;width:10;height:10" filled="true" fillcolor="#000000" stroked="false">
              <v:fill type="solid"/>
            </v:rect>
            <v:rect style="position:absolute;left:10994;top:0;width:10;height:10" filled="true" fillcolor="#000000" stroked="false">
              <v:fill type="solid"/>
            </v:rect>
            <v:line style="position:absolute" from="5,10" to="5,324" stroked="true" strokeweight=".48pt" strokecolor="#000000">
              <v:stroke dashstyle="solid"/>
            </v:line>
            <v:line style="position:absolute" from="10999,10" to="10999,324" stroked="true" strokeweight=".48pt" strokecolor="#000000">
              <v:stroke dashstyle="solid"/>
            </v:line>
            <v:line style="position:absolute" from="10,583" to="10994,583" stroked="true" strokeweight=".48pt" strokecolor="#000000">
              <v:stroke dashstyle="solid"/>
            </v:line>
            <v:line style="position:absolute" from="5,324" to="5,588" stroked="true" strokeweight=".48pt" strokecolor="#000000">
              <v:stroke dashstyle="solid"/>
            </v:line>
            <v:line style="position:absolute" from="24,593" to="10994,593" stroked="true" strokeweight=".48pt" strokecolor="#000000">
              <v:stroke dashstyle="solid"/>
            </v:line>
            <v:line style="position:absolute" from="24,953" to="10994,953" stroked="true" strokeweight=".48pt" strokecolor="#000000">
              <v:stroke dashstyle="solid"/>
            </v:line>
            <v:line style="position:absolute" from="19,588" to="19,958" stroked="true" strokeweight=".48pt" strokecolor="#000000">
              <v:stroke dashstyle="solid"/>
            </v:line>
            <v:line style="position:absolute" from="10999,324" to="10999,958" stroked="true" strokeweight=".48pt" strokecolor="#000000">
              <v:stroke dashstyle="solid"/>
            </v:line>
            <v:shape style="position:absolute;left:16;top:597;width:10978;height:351" type="#_x0000_t202" filled="true" fillcolor="#f2f2f2" stroked="false">
              <v:textbox inset="0,0,0,0">
                <w:txbxContent>
                  <w:p>
                    <w:pPr>
                      <w:spacing w:before="57"/>
                      <w:ind w:left="36" w:right="0" w:firstLine="0"/>
                      <w:jc w:val="left"/>
                      <w:rPr>
                        <w:b/>
                        <w:sz w:val="20"/>
                      </w:rPr>
                    </w:pPr>
                    <w:r>
                      <w:rPr>
                        <w:b/>
                        <w:sz w:val="20"/>
                      </w:rPr>
                      <w:t>LESSON TE3-59: PRECAUTIONARY SEARCH AND LANDING AND SYSTEM MALFUNCTIONS – LONG BRIEF</w:t>
                    </w:r>
                  </w:p>
                </w:txbxContent>
              </v:textbox>
              <v:fill type="solid"/>
              <w10:wrap type="none"/>
            </v:shape>
            <v:shape style="position:absolute;left:16;top:9;width:10978;height:569"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8"/>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8"/>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70"/>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7"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5" w:hRule="atLeast"/>
        </w:trPr>
        <w:tc>
          <w:tcPr>
            <w:tcW w:w="3665" w:type="dxa"/>
            <w:gridSpan w:val="2"/>
          </w:tcPr>
          <w:p>
            <w:pPr>
              <w:pStyle w:val="TableParagraph"/>
              <w:spacing w:before="21"/>
              <w:ind w:left="7"/>
              <w:jc w:val="center"/>
              <w:rPr>
                <w:b/>
                <w:sz w:val="20"/>
              </w:rPr>
            </w:pPr>
            <w:r>
              <w:rPr>
                <w:b/>
                <w:w w:val="99"/>
                <w:sz w:val="20"/>
              </w:rPr>
              <w:t>3</w:t>
            </w:r>
          </w:p>
        </w:tc>
        <w:tc>
          <w:tcPr>
            <w:tcW w:w="3438" w:type="dxa"/>
            <w:gridSpan w:val="3"/>
          </w:tcPr>
          <w:p>
            <w:pPr>
              <w:pStyle w:val="TableParagraph"/>
              <w:spacing w:before="21"/>
              <w:ind w:left="8"/>
              <w:jc w:val="center"/>
              <w:rPr>
                <w:b/>
                <w:sz w:val="20"/>
              </w:rPr>
            </w:pPr>
            <w:r>
              <w:rPr>
                <w:b/>
                <w:w w:val="99"/>
                <w:sz w:val="20"/>
              </w:rPr>
              <w:t>2</w:t>
            </w:r>
          </w:p>
        </w:tc>
        <w:tc>
          <w:tcPr>
            <w:tcW w:w="3812" w:type="dxa"/>
            <w:gridSpan w:val="2"/>
          </w:tcPr>
          <w:p>
            <w:pPr>
              <w:pStyle w:val="TableParagraph"/>
              <w:spacing w:before="21"/>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Prepare a long brief for P</w:t>
            </w:r>
            <w:r>
              <w:rPr>
                <w:b/>
                <w:sz w:val="18"/>
              </w:rPr>
              <w:t>recautionary Search and Landing </w:t>
            </w:r>
            <w:r>
              <w:rPr>
                <w:sz w:val="18"/>
              </w:rPr>
              <w:t>incorporating </w:t>
            </w:r>
            <w:r>
              <w:rPr>
                <w:b/>
                <w:sz w:val="18"/>
              </w:rPr>
              <w:t>Fire emergencies and System</w:t>
            </w:r>
            <w:r>
              <w:rPr>
                <w:b/>
                <w:spacing w:val="2"/>
                <w:sz w:val="18"/>
              </w:rPr>
              <w:t> </w:t>
            </w:r>
            <w:r>
              <w:rPr>
                <w:b/>
                <w:sz w:val="18"/>
              </w:rPr>
              <w:t>Malfunctions</w:t>
            </w:r>
          </w:p>
          <w:p>
            <w:pPr>
              <w:pStyle w:val="TableParagraph"/>
              <w:numPr>
                <w:ilvl w:val="0"/>
                <w:numId w:val="1"/>
              </w:numPr>
              <w:tabs>
                <w:tab w:pos="774" w:val="left" w:leader="none"/>
                <w:tab w:pos="775" w:val="left" w:leader="none"/>
              </w:tabs>
              <w:spacing w:line="219" w:lineRule="exact" w:before="0" w:after="0"/>
              <w:ind w:left="775" w:right="0" w:hanging="361"/>
              <w:jc w:val="left"/>
              <w:rPr>
                <w:rFonts w:ascii="Symbol" w:hAnsi="Symbol"/>
                <w:b/>
                <w:sz w:val="18"/>
              </w:rPr>
            </w:pPr>
            <w:r>
              <w:rPr>
                <w:sz w:val="18"/>
              </w:rPr>
              <w:t>Read</w:t>
            </w:r>
            <w:r>
              <w:rPr>
                <w:spacing w:val="-2"/>
                <w:sz w:val="18"/>
              </w:rPr>
              <w:t> </w:t>
            </w:r>
            <w:r>
              <w:rPr>
                <w:sz w:val="18"/>
              </w:rPr>
              <w:t>back</w:t>
            </w:r>
            <w:r>
              <w:rPr>
                <w:spacing w:val="-3"/>
                <w:sz w:val="18"/>
              </w:rPr>
              <w:t> </w:t>
            </w:r>
            <w:r>
              <w:rPr>
                <w:sz w:val="18"/>
              </w:rPr>
              <w:t>of</w:t>
            </w:r>
            <w:r>
              <w:rPr>
                <w:spacing w:val="-4"/>
                <w:sz w:val="18"/>
              </w:rPr>
              <w:t> </w:t>
            </w:r>
            <w:r>
              <w:rPr>
                <w:sz w:val="18"/>
              </w:rPr>
              <w:t>long</w:t>
            </w:r>
            <w:r>
              <w:rPr>
                <w:spacing w:val="-5"/>
                <w:sz w:val="18"/>
              </w:rPr>
              <w:t> </w:t>
            </w:r>
            <w:r>
              <w:rPr>
                <w:sz w:val="18"/>
              </w:rPr>
              <w:t>brief</w:t>
            </w:r>
            <w:r>
              <w:rPr>
                <w:spacing w:val="-2"/>
                <w:sz w:val="18"/>
              </w:rPr>
              <w:t> </w:t>
            </w:r>
            <w:r>
              <w:rPr>
                <w:sz w:val="18"/>
              </w:rPr>
              <w:t>for</w:t>
            </w:r>
            <w:r>
              <w:rPr>
                <w:spacing w:val="-2"/>
                <w:sz w:val="18"/>
              </w:rPr>
              <w:t> </w:t>
            </w:r>
            <w:r>
              <w:rPr>
                <w:sz w:val="18"/>
              </w:rPr>
              <w:t>P</w:t>
            </w:r>
            <w:r>
              <w:rPr>
                <w:b/>
                <w:sz w:val="18"/>
              </w:rPr>
              <w:t>recautionary</w:t>
            </w:r>
            <w:r>
              <w:rPr>
                <w:b/>
                <w:spacing w:val="-9"/>
                <w:sz w:val="18"/>
              </w:rPr>
              <w:t> </w:t>
            </w:r>
            <w:r>
              <w:rPr>
                <w:b/>
                <w:sz w:val="18"/>
              </w:rPr>
              <w:t>Search</w:t>
            </w:r>
            <w:r>
              <w:rPr>
                <w:b/>
                <w:spacing w:val="-3"/>
                <w:sz w:val="18"/>
              </w:rPr>
              <w:t> </w:t>
            </w:r>
            <w:r>
              <w:rPr>
                <w:b/>
                <w:sz w:val="18"/>
              </w:rPr>
              <w:t>and</w:t>
            </w:r>
            <w:r>
              <w:rPr>
                <w:b/>
                <w:spacing w:val="-2"/>
                <w:sz w:val="18"/>
              </w:rPr>
              <w:t> </w:t>
            </w:r>
            <w:r>
              <w:rPr>
                <w:b/>
                <w:sz w:val="18"/>
              </w:rPr>
              <w:t>Landing</w:t>
            </w:r>
            <w:r>
              <w:rPr>
                <w:b/>
                <w:spacing w:val="-2"/>
                <w:sz w:val="18"/>
              </w:rPr>
              <w:t> </w:t>
            </w:r>
            <w:r>
              <w:rPr>
                <w:sz w:val="18"/>
              </w:rPr>
              <w:t>incorporating</w:t>
            </w:r>
            <w:r>
              <w:rPr>
                <w:spacing w:val="-2"/>
                <w:sz w:val="18"/>
              </w:rPr>
              <w:t> </w:t>
            </w:r>
            <w:r>
              <w:rPr>
                <w:b/>
                <w:sz w:val="18"/>
              </w:rPr>
              <w:t>Fire</w:t>
            </w:r>
            <w:r>
              <w:rPr>
                <w:b/>
                <w:spacing w:val="-1"/>
                <w:sz w:val="18"/>
              </w:rPr>
              <w:t> </w:t>
            </w:r>
            <w:r>
              <w:rPr>
                <w:b/>
                <w:sz w:val="18"/>
              </w:rPr>
              <w:t>emergencies</w:t>
            </w:r>
            <w:r>
              <w:rPr>
                <w:b/>
                <w:spacing w:val="-4"/>
                <w:sz w:val="18"/>
              </w:rPr>
              <w:t> </w:t>
            </w:r>
            <w:r>
              <w:rPr>
                <w:b/>
                <w:sz w:val="18"/>
              </w:rPr>
              <w:t>and</w:t>
            </w:r>
            <w:r>
              <w:rPr>
                <w:b/>
                <w:spacing w:val="-3"/>
                <w:sz w:val="18"/>
              </w:rPr>
              <w:t> </w:t>
            </w:r>
            <w:r>
              <w:rPr>
                <w:b/>
                <w:sz w:val="18"/>
              </w:rPr>
              <w:t>System</w:t>
            </w:r>
            <w:r>
              <w:rPr>
                <w:b/>
                <w:spacing w:val="-1"/>
                <w:sz w:val="18"/>
              </w:rPr>
              <w:t> </w:t>
            </w:r>
            <w:r>
              <w:rPr>
                <w:b/>
                <w:sz w:val="18"/>
              </w:rPr>
              <w:t>Malfunctions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4"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793" w:hRule="atLeast"/>
        </w:trPr>
        <w:tc>
          <w:tcPr>
            <w:tcW w:w="10915" w:type="dxa"/>
            <w:gridSpan w:val="7"/>
          </w:tcPr>
          <w:p>
            <w:pPr>
              <w:pStyle w:val="TableParagraph"/>
              <w:spacing w:before="23"/>
              <w:ind w:left="138"/>
              <w:rPr>
                <w:b/>
                <w:sz w:val="18"/>
              </w:rPr>
            </w:pPr>
            <w:r>
              <w:rPr>
                <w:b/>
                <w:sz w:val="18"/>
              </w:rPr>
              <w:t>Training Notes</w:t>
            </w:r>
          </w:p>
          <w:p>
            <w:pPr>
              <w:pStyle w:val="TableParagraph"/>
              <w:spacing w:before="4"/>
              <w:ind w:left="196" w:right="682"/>
              <w:rPr>
                <w:sz w:val="18"/>
              </w:rPr>
            </w:pPr>
            <w:r>
              <w:rPr>
                <w:sz w:val="18"/>
              </w:rPr>
              <w:t>The trainee instructor should be able to prepare and deliver this brief to a standard acceptable for issue of the grade 3 training endorsement</w:t>
            </w:r>
          </w:p>
          <w:p>
            <w:pPr>
              <w:pStyle w:val="TableParagraph"/>
              <w:spacing w:line="206"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19" w:lineRule="exact" w:before="2" w:after="0"/>
              <w:ind w:left="774" w:right="0" w:hanging="361"/>
              <w:jc w:val="left"/>
              <w:rPr>
                <w:sz w:val="18"/>
              </w:rPr>
            </w:pPr>
            <w:r>
              <w:rPr>
                <w:sz w:val="18"/>
              </w:rPr>
              <w:t>Importance of proper planning and early decision</w:t>
            </w:r>
            <w:r>
              <w:rPr>
                <w:spacing w:val="-6"/>
                <w:sz w:val="18"/>
              </w:rPr>
              <w:t> </w:t>
            </w:r>
            <w:r>
              <w:rPr>
                <w:sz w:val="18"/>
              </w:rPr>
              <w:t>making</w:t>
            </w:r>
          </w:p>
          <w:p>
            <w:pPr>
              <w:pStyle w:val="TableParagraph"/>
              <w:numPr>
                <w:ilvl w:val="0"/>
                <w:numId w:val="2"/>
              </w:numPr>
              <w:tabs>
                <w:tab w:pos="774" w:val="left" w:leader="none"/>
                <w:tab w:pos="775" w:val="left" w:leader="none"/>
              </w:tabs>
              <w:spacing w:line="218" w:lineRule="exact" w:before="0" w:after="0"/>
              <w:ind w:left="775" w:right="0" w:hanging="360"/>
              <w:jc w:val="left"/>
              <w:rPr>
                <w:sz w:val="18"/>
              </w:rPr>
            </w:pPr>
            <w:r>
              <w:rPr>
                <w:sz w:val="18"/>
              </w:rPr>
              <w:t>Aeroplane configuration – precautionary/poor visibility</w:t>
            </w:r>
            <w:r>
              <w:rPr>
                <w:spacing w:val="-8"/>
                <w:sz w:val="18"/>
              </w:rPr>
              <w:t> </w:t>
            </w:r>
            <w:r>
              <w:rPr>
                <w:sz w:val="18"/>
              </w:rPr>
              <w:t>cruise</w:t>
            </w:r>
          </w:p>
          <w:p>
            <w:pPr>
              <w:pStyle w:val="TableParagraph"/>
              <w:numPr>
                <w:ilvl w:val="0"/>
                <w:numId w:val="2"/>
              </w:numPr>
              <w:tabs>
                <w:tab w:pos="774" w:val="left" w:leader="none"/>
                <w:tab w:pos="775" w:val="left" w:leader="none"/>
              </w:tabs>
              <w:spacing w:line="218" w:lineRule="exact" w:before="0" w:after="0"/>
              <w:ind w:left="775" w:right="0" w:hanging="360"/>
              <w:jc w:val="left"/>
              <w:rPr>
                <w:sz w:val="18"/>
              </w:rPr>
            </w:pPr>
            <w:r>
              <w:rPr>
                <w:sz w:val="18"/>
              </w:rPr>
              <w:t>Landing area/field</w:t>
            </w:r>
            <w:r>
              <w:rPr>
                <w:spacing w:val="1"/>
                <w:sz w:val="18"/>
              </w:rPr>
              <w:t> </w:t>
            </w:r>
            <w:r>
              <w:rPr>
                <w:sz w:val="18"/>
              </w:rPr>
              <w:t>selection</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Obstacle, terrain and turbulence</w:t>
            </w:r>
            <w:r>
              <w:rPr>
                <w:spacing w:val="2"/>
                <w:sz w:val="18"/>
              </w:rPr>
              <w:t> </w:t>
            </w:r>
            <w:r>
              <w:rPr>
                <w:sz w:val="18"/>
              </w:rPr>
              <w:t>awareness</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Wind awareness – judging direction and</w:t>
            </w:r>
            <w:r>
              <w:rPr>
                <w:spacing w:val="-4"/>
                <w:sz w:val="18"/>
              </w:rPr>
              <w:t> </w:t>
            </w:r>
            <w:r>
              <w:rPr>
                <w:sz w:val="18"/>
              </w:rPr>
              <w:t>strength</w:t>
            </w:r>
          </w:p>
          <w:p>
            <w:pPr>
              <w:pStyle w:val="TableParagraph"/>
              <w:numPr>
                <w:ilvl w:val="0"/>
                <w:numId w:val="2"/>
              </w:numPr>
              <w:tabs>
                <w:tab w:pos="774" w:val="left" w:leader="none"/>
                <w:tab w:pos="775" w:val="left" w:leader="none"/>
              </w:tabs>
              <w:spacing w:line="218" w:lineRule="exact" w:before="0" w:after="0"/>
              <w:ind w:left="775" w:right="0" w:hanging="360"/>
              <w:jc w:val="left"/>
              <w:rPr>
                <w:sz w:val="18"/>
              </w:rPr>
            </w:pPr>
            <w:r>
              <w:rPr>
                <w:sz w:val="18"/>
              </w:rPr>
              <w:t>Low flying considerations and</w:t>
            </w:r>
            <w:r>
              <w:rPr>
                <w:spacing w:val="-4"/>
                <w:sz w:val="18"/>
              </w:rPr>
              <w:t> </w:t>
            </w:r>
            <w:r>
              <w:rPr>
                <w:sz w:val="18"/>
              </w:rPr>
              <w:t>hazards</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Turning illusions</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Planning the search, approach and</w:t>
            </w:r>
            <w:r>
              <w:rPr>
                <w:spacing w:val="-8"/>
                <w:sz w:val="18"/>
              </w:rPr>
              <w:t> </w:t>
            </w:r>
            <w:r>
              <w:rPr>
                <w:sz w:val="18"/>
              </w:rPr>
              <w:t>landing</w:t>
            </w:r>
          </w:p>
          <w:p>
            <w:pPr>
              <w:pStyle w:val="TableParagraph"/>
              <w:numPr>
                <w:ilvl w:val="0"/>
                <w:numId w:val="2"/>
              </w:numPr>
              <w:tabs>
                <w:tab w:pos="774" w:val="left" w:leader="none"/>
                <w:tab w:pos="775" w:val="left" w:leader="none"/>
              </w:tabs>
              <w:spacing w:line="218" w:lineRule="exact" w:before="0" w:after="0"/>
              <w:ind w:left="775" w:right="0" w:hanging="360"/>
              <w:jc w:val="left"/>
              <w:rPr>
                <w:sz w:val="18"/>
              </w:rPr>
            </w:pPr>
            <w:r>
              <w:rPr>
                <w:sz w:val="18"/>
              </w:rPr>
              <w:t>Vital</w:t>
            </w:r>
            <w:r>
              <w:rPr>
                <w:spacing w:val="-3"/>
                <w:sz w:val="18"/>
              </w:rPr>
              <w:t> </w:t>
            </w:r>
            <w:r>
              <w:rPr>
                <w:sz w:val="18"/>
              </w:rPr>
              <w:t>actions</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Radio procedures (PAN</w:t>
            </w:r>
            <w:r>
              <w:rPr>
                <w:spacing w:val="-2"/>
                <w:sz w:val="18"/>
              </w:rPr>
              <w:t> </w:t>
            </w:r>
            <w:r>
              <w:rPr>
                <w:sz w:val="18"/>
              </w:rPr>
              <w:t>call)</w:t>
            </w:r>
          </w:p>
          <w:p>
            <w:pPr>
              <w:pStyle w:val="TableParagraph"/>
              <w:numPr>
                <w:ilvl w:val="0"/>
                <w:numId w:val="2"/>
              </w:numPr>
              <w:tabs>
                <w:tab w:pos="774" w:val="left" w:leader="none"/>
                <w:tab w:pos="775" w:val="left" w:leader="none"/>
              </w:tabs>
              <w:spacing w:line="219" w:lineRule="exact" w:before="1" w:after="0"/>
              <w:ind w:left="775" w:right="0" w:hanging="360"/>
              <w:jc w:val="left"/>
              <w:rPr>
                <w:sz w:val="18"/>
              </w:rPr>
            </w:pPr>
            <w:r>
              <w:rPr>
                <w:sz w:val="18"/>
              </w:rPr>
              <w:t>Passenger</w:t>
            </w:r>
            <w:r>
              <w:rPr>
                <w:spacing w:val="-3"/>
                <w:sz w:val="18"/>
              </w:rPr>
              <w:t> </w:t>
            </w:r>
            <w:r>
              <w:rPr>
                <w:sz w:val="18"/>
              </w:rPr>
              <w:t>management</w:t>
            </w:r>
          </w:p>
          <w:p>
            <w:pPr>
              <w:pStyle w:val="TableParagraph"/>
              <w:numPr>
                <w:ilvl w:val="0"/>
                <w:numId w:val="2"/>
              </w:numPr>
              <w:tabs>
                <w:tab w:pos="774" w:val="left" w:leader="none"/>
                <w:tab w:pos="775" w:val="left" w:leader="none"/>
              </w:tabs>
              <w:spacing w:line="219" w:lineRule="exact" w:before="0" w:after="0"/>
              <w:ind w:left="775" w:right="0" w:hanging="360"/>
              <w:jc w:val="left"/>
              <w:rPr>
                <w:sz w:val="18"/>
              </w:rPr>
            </w:pPr>
            <w:r>
              <w:rPr>
                <w:sz w:val="18"/>
              </w:rPr>
              <w:t>Actions after</w:t>
            </w:r>
            <w:r>
              <w:rPr>
                <w:spacing w:val="-2"/>
                <w:sz w:val="18"/>
              </w:rPr>
              <w:t> </w:t>
            </w:r>
            <w:r>
              <w:rPr>
                <w:sz w:val="18"/>
              </w:rPr>
              <w:t>landing</w:t>
            </w:r>
          </w:p>
          <w:p>
            <w:pPr>
              <w:pStyle w:val="TableParagraph"/>
              <w:numPr>
                <w:ilvl w:val="0"/>
                <w:numId w:val="2"/>
              </w:numPr>
              <w:tabs>
                <w:tab w:pos="774" w:val="left" w:leader="none"/>
                <w:tab w:pos="775" w:val="left" w:leader="none"/>
              </w:tabs>
              <w:spacing w:line="240" w:lineRule="auto" w:before="29" w:after="0"/>
              <w:ind w:left="775" w:right="0" w:hanging="360"/>
              <w:jc w:val="left"/>
              <w:rPr>
                <w:sz w:val="18"/>
              </w:rPr>
            </w:pPr>
            <w:r>
              <w:rPr>
                <w:sz w:val="18"/>
              </w:rPr>
              <w:t>Management of abnormal situations such as fire and system malfunctions as per published aircraft</w:t>
            </w:r>
            <w:r>
              <w:rPr>
                <w:spacing w:val="-22"/>
                <w:sz w:val="18"/>
              </w:rPr>
              <w:t> </w:t>
            </w:r>
            <w:r>
              <w:rPr>
                <w:sz w:val="18"/>
              </w:rPr>
              <w:t>procedures</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5"/>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8"/>
              <w:rPr>
                <w:b/>
                <w:sz w:val="18"/>
              </w:rPr>
            </w:pPr>
            <w:r>
              <w:rPr>
                <w:b/>
                <w:sz w:val="18"/>
              </w:rPr>
              <w:t>Required</w:t>
            </w:r>
          </w:p>
        </w:tc>
        <w:tc>
          <w:tcPr>
            <w:tcW w:w="567" w:type="dxa"/>
            <w:shd w:val="clear" w:color="auto" w:fill="F2F2F2"/>
            <w:textDirection w:val="btLr"/>
          </w:tcPr>
          <w:p>
            <w:pPr>
              <w:pStyle w:val="TableParagraph"/>
              <w:spacing w:before="87"/>
              <w:ind w:left="42"/>
              <w:rPr>
                <w:b/>
                <w:sz w:val="16"/>
              </w:rPr>
            </w:pPr>
            <w:r>
              <w:rPr>
                <w:b/>
                <w:sz w:val="16"/>
              </w:rPr>
              <w:t>Achieved</w:t>
            </w:r>
          </w:p>
        </w:tc>
      </w:tr>
      <w:tr>
        <w:trPr>
          <w:trHeight w:val="284"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sz w:val="18"/>
              </w:rPr>
              <w:t>(c)</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380" w:bottom="620" w:left="420" w:right="280"/>
          <w:pgNumType w:start="1"/>
        </w:sectPr>
      </w:pPr>
    </w:p>
    <w:p>
      <w:pPr>
        <w:pStyle w:val="BodyText"/>
        <w:ind w:left="110"/>
        <w:rPr>
          <w:rFonts w:ascii="Times New Roman"/>
          <w:b w:val="0"/>
        </w:rPr>
      </w:pPr>
      <w:r>
        <w:rPr>
          <w:rFonts w:ascii="Times New Roman"/>
          <w:b w:val="0"/>
        </w:rPr>
        <w:pict>
          <v:shape style="width:549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TE3-59: PRECAUTIONARY SEARCH AND LANDING AND SYSTEM MALFUNCTIONS – LONG BRIEF</w:t>
                  </w:r>
                </w:p>
              </w:txbxContent>
            </v:textbox>
            <v:fill type="solid"/>
            <v:stroke dashstyle="solid"/>
          </v:shape>
        </w:pict>
      </w:r>
      <w:r>
        <w:rPr>
          <w:rFonts w:ascii="Times New Roman"/>
          <w:b w:val="0"/>
        </w:rPr>
      </w:r>
    </w:p>
    <w:p>
      <w:pPr>
        <w:pStyle w:val="BodyText"/>
        <w:spacing w:before="5"/>
        <w:rPr>
          <w:rFonts w:ascii="Times New Roman"/>
          <w:b w:val="0"/>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20"/>
        <w:gridCol w:w="86"/>
        <w:gridCol w:w="8647"/>
        <w:gridCol w:w="569"/>
        <w:gridCol w:w="567"/>
      </w:tblGrid>
      <w:tr>
        <w:trPr>
          <w:trHeight w:val="409"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5"/>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28"/>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86"/>
              <w:rPr>
                <w:sz w:val="18"/>
              </w:rPr>
            </w:pPr>
            <w:r>
              <w:rPr>
                <w:sz w:val="18"/>
              </w:rPr>
              <w:t>(d)</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(xxiii) A6.4, A6.3 – Precautionary search and landing and partial engine failure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(xxiv) A6.5 – Fire drill and system malfunctions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321" w:hRule="atLeast"/>
        </w:trPr>
        <w:tc>
          <w:tcPr>
            <w:tcW w:w="1020" w:type="dxa"/>
            <w:shd w:val="clear" w:color="auto" w:fill="F2F2F2"/>
          </w:tcPr>
          <w:p>
            <w:pPr>
              <w:pStyle w:val="TableParagraph"/>
              <w:spacing w:before="51"/>
              <w:ind w:left="83"/>
              <w:rPr>
                <w:b/>
                <w:sz w:val="18"/>
              </w:rPr>
            </w:pPr>
            <w:r>
              <w:rPr>
                <w:b/>
                <w:sz w:val="18"/>
              </w:rPr>
              <w:t>MOS Ref</w:t>
            </w:r>
          </w:p>
        </w:tc>
        <w:tc>
          <w:tcPr>
            <w:tcW w:w="9869" w:type="dxa"/>
            <w:gridSpan w:val="4"/>
            <w:shd w:val="clear" w:color="auto" w:fill="F2F2F2"/>
          </w:tcPr>
          <w:p>
            <w:pPr>
              <w:pStyle w:val="TableParagraph"/>
              <w:spacing w:before="51"/>
              <w:ind w:left="57"/>
              <w:rPr>
                <w:b/>
                <w:sz w:val="18"/>
              </w:rPr>
            </w:pPr>
            <w:r>
              <w:rPr>
                <w:b/>
                <w:sz w:val="18"/>
              </w:rPr>
              <w:t>Underpinning knowledge</w:t>
            </w:r>
          </w:p>
        </w:tc>
      </w:tr>
      <w:tr>
        <w:trPr>
          <w:trHeight w:val="318" w:hRule="atLeast"/>
        </w:trPr>
        <w:tc>
          <w:tcPr>
            <w:tcW w:w="1020" w:type="dxa"/>
          </w:tcPr>
          <w:p>
            <w:pPr>
              <w:pStyle w:val="TableParagraph"/>
              <w:spacing w:before="49"/>
              <w:ind w:left="225"/>
              <w:rPr>
                <w:b/>
                <w:sz w:val="18"/>
              </w:rPr>
            </w:pPr>
            <w:r>
              <w:rPr>
                <w:b/>
                <w:sz w:val="18"/>
              </w:rPr>
              <w:t>FIR-TE3</w:t>
            </w:r>
          </w:p>
        </w:tc>
        <w:tc>
          <w:tcPr>
            <w:tcW w:w="9869" w:type="dxa"/>
            <w:gridSpan w:val="4"/>
          </w:tcPr>
          <w:p>
            <w:pPr>
              <w:pStyle w:val="TableParagraph"/>
              <w:spacing w:before="49"/>
              <w:ind w:left="141"/>
              <w:rPr>
                <w:b/>
                <w:sz w:val="18"/>
              </w:rPr>
            </w:pPr>
            <w:r>
              <w:rPr>
                <w:b/>
                <w:sz w:val="18"/>
              </w:rPr>
              <w:t>Grade 3 training endorsement</w:t>
            </w:r>
          </w:p>
        </w:tc>
      </w:tr>
      <w:tr>
        <w:trPr>
          <w:trHeight w:val="755" w:hRule="atLeast"/>
        </w:trPr>
        <w:tc>
          <w:tcPr>
            <w:tcW w:w="1020" w:type="dxa"/>
          </w:tcPr>
          <w:p>
            <w:pPr>
              <w:pStyle w:val="TableParagraph"/>
              <w:rPr>
                <w:rFonts w:ascii="Times New Roman"/>
                <w:sz w:val="18"/>
              </w:rPr>
            </w:pPr>
          </w:p>
        </w:tc>
        <w:tc>
          <w:tcPr>
            <w:tcW w:w="9869" w:type="dxa"/>
            <w:gridSpan w:val="4"/>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168"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413" w:hRule="atLeast"/>
        </w:trPr>
        <w:tc>
          <w:tcPr>
            <w:tcW w:w="10915" w:type="dxa"/>
            <w:gridSpan w:val="2"/>
            <w:tcBorders>
              <w:bottom w:val="single" w:sz="8" w:space="0" w:color="000000"/>
            </w:tcBorders>
          </w:tcPr>
          <w:p>
            <w:pPr>
              <w:pStyle w:val="TableParagraph"/>
              <w:rPr>
                <w:rFonts w:ascii="Times New Roman"/>
                <w:sz w:val="18"/>
              </w:rPr>
            </w:pPr>
          </w:p>
        </w:tc>
      </w:tr>
      <w:tr>
        <w:trPr>
          <w:trHeight w:val="287"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26" w:top="380" w:bottom="62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08160"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49.05pt;height:12.1pt;mso-position-horizontal-relative:page;mso-position-vertical-relative:page;z-index:-252507136" type="#_x0000_t202" filled="false" stroked="false">
          <v:textbox inset="0,0,0,0">
            <w:txbxContent>
              <w:p>
                <w:pPr>
                  <w:spacing w:before="14"/>
                  <w:ind w:left="20" w:right="0" w:firstLine="0"/>
                  <w:jc w:val="left"/>
                  <w:rPr>
                    <w:sz w:val="18"/>
                  </w:rPr>
                </w:pPr>
                <w:r>
                  <w:rPr>
                    <w:sz w:val="18"/>
                  </w:rPr>
                  <w:t>FIR-TE3-59</w:t>
                </w:r>
              </w:p>
            </w:txbxContent>
          </v:textbox>
          <w10:wrap type="none"/>
        </v:shape>
      </w:pict>
    </w:r>
    <w:r>
      <w:rPr/>
      <w:pict>
        <v:shape style="position:absolute;margin-left:272.95401pt;margin-top:810.57251pt;width:49.65pt;height:12.1pt;mso-position-horizontal-relative:page;mso-position-vertical-relative:page;z-index:-25250611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0.57251pt;width:32.65pt;height:12.1pt;mso-position-horizontal-relative:page;mso-position-vertical-relative:page;z-index:-25250508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89" w:hanging="360"/>
      </w:pPr>
      <w:rPr>
        <w:rFonts w:hint="default"/>
        <w:lang w:val="en-au" w:eastAsia="en-au" w:bidi="en-au"/>
      </w:rPr>
    </w:lvl>
    <w:lvl w:ilvl="2">
      <w:start w:val="0"/>
      <w:numFmt w:val="bullet"/>
      <w:lvlText w:val="•"/>
      <w:lvlJc w:val="left"/>
      <w:pPr>
        <w:ind w:left="2419" w:hanging="360"/>
      </w:pPr>
      <w:rPr>
        <w:rFonts w:hint="default"/>
        <w:lang w:val="en-au" w:eastAsia="en-au" w:bidi="en-au"/>
      </w:rPr>
    </w:lvl>
    <w:lvl w:ilvl="3">
      <w:start w:val="0"/>
      <w:numFmt w:val="bullet"/>
      <w:lvlText w:val="•"/>
      <w:lvlJc w:val="left"/>
      <w:pPr>
        <w:ind w:left="3349" w:hanging="360"/>
      </w:pPr>
      <w:rPr>
        <w:rFonts w:hint="default"/>
        <w:lang w:val="en-au" w:eastAsia="en-au" w:bidi="en-au"/>
      </w:rPr>
    </w:lvl>
    <w:lvl w:ilvl="4">
      <w:start w:val="0"/>
      <w:numFmt w:val="bullet"/>
      <w:lvlText w:val="•"/>
      <w:lvlJc w:val="left"/>
      <w:pPr>
        <w:ind w:left="4279" w:hanging="360"/>
      </w:pPr>
      <w:rPr>
        <w:rFonts w:hint="default"/>
        <w:lang w:val="en-au" w:eastAsia="en-au" w:bidi="en-au"/>
      </w:rPr>
    </w:lvl>
    <w:lvl w:ilvl="5">
      <w:start w:val="0"/>
      <w:numFmt w:val="bullet"/>
      <w:lvlText w:val="•"/>
      <w:lvlJc w:val="left"/>
      <w:pPr>
        <w:ind w:left="5209" w:hanging="360"/>
      </w:pPr>
      <w:rPr>
        <w:rFonts w:hint="default"/>
        <w:lang w:val="en-au" w:eastAsia="en-au" w:bidi="en-au"/>
      </w:rPr>
    </w:lvl>
    <w:lvl w:ilvl="6">
      <w:start w:val="0"/>
      <w:numFmt w:val="bullet"/>
      <w:lvlText w:val="•"/>
      <w:lvlJc w:val="left"/>
      <w:pPr>
        <w:ind w:left="6139" w:hanging="360"/>
      </w:pPr>
      <w:rPr>
        <w:rFonts w:hint="default"/>
        <w:lang w:val="en-au" w:eastAsia="en-au" w:bidi="en-au"/>
      </w:rPr>
    </w:lvl>
    <w:lvl w:ilvl="7">
      <w:start w:val="0"/>
      <w:numFmt w:val="bullet"/>
      <w:lvlText w:val="•"/>
      <w:lvlJc w:val="left"/>
      <w:pPr>
        <w:ind w:left="7069" w:hanging="360"/>
      </w:pPr>
      <w:rPr>
        <w:rFonts w:hint="default"/>
        <w:lang w:val="en-au" w:eastAsia="en-au" w:bidi="en-au"/>
      </w:rPr>
    </w:lvl>
    <w:lvl w:ilvl="8">
      <w:start w:val="0"/>
      <w:numFmt w:val="bullet"/>
      <w:lvlText w:val="•"/>
      <w:lvlJc w:val="left"/>
      <w:pPr>
        <w:ind w:left="7999"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ascii="Symbol" w:hAnsi="Symbol" w:eastAsia="Symbol" w:cs="Symbol"/>
        <w:w w:val="100"/>
        <w:sz w:val="18"/>
        <w:szCs w:val="18"/>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TE3-59 -  Precuationary Search and Landing and System Failures - long brief training plan &amp; student record</dc:title>
  <dcterms:created xsi:type="dcterms:W3CDTF">2021-11-09T23:31:54Z</dcterms:created>
  <dcterms:modified xsi:type="dcterms:W3CDTF">2021-11-09T23:31:54Z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