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2"/>
        <w:ind w:left="179" w:right="0" w:firstLine="0"/>
        <w:jc w:val="left"/>
        <w:rPr>
          <w:b/>
          <w:sz w:val="24"/>
        </w:rPr>
      </w:pPr>
      <w:bookmarkStart w:name="Lesson TE9-6 – Aircraft handling from in" w:id="1"/>
      <w:bookmarkEnd w:id="1"/>
      <w:r>
        <w:rPr/>
      </w:r>
      <w:r>
        <w:rPr>
          <w:b/>
          <w:color w:val="1F497D"/>
          <w:sz w:val="24"/>
        </w:rPr>
        <w:t>Lesson TE9-6 – Aircraft handling from instructor control seat</w:t>
      </w:r>
    </w:p>
    <w:p>
      <w:pPr>
        <w:pStyle w:val="BodyText"/>
        <w:spacing w:before="8"/>
        <w:rPr>
          <w:b/>
          <w:sz w:val="1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2" w:hRule="atLeast"/>
        </w:trPr>
        <w:tc>
          <w:tcPr>
            <w:tcW w:w="2549" w:type="dxa"/>
            <w:shd w:val="clear" w:color="auto" w:fill="C0C0C0"/>
          </w:tcPr>
          <w:p>
            <w:pPr>
              <w:pStyle w:val="TableParagraph"/>
              <w:spacing w:before="86"/>
              <w:ind w:left="57"/>
              <w:rPr>
                <w:b/>
                <w:sz w:val="20"/>
              </w:rPr>
            </w:pPr>
            <w:r>
              <w:rPr>
                <w:b/>
                <w:sz w:val="20"/>
              </w:rPr>
              <w:t>Trainee name:</w:t>
            </w:r>
          </w:p>
        </w:tc>
        <w:tc>
          <w:tcPr>
            <w:tcW w:w="2844" w:type="dxa"/>
          </w:tcPr>
          <w:p>
            <w:pPr>
              <w:pStyle w:val="TableParagraph"/>
              <w:rPr>
                <w:rFonts w:ascii="Times New Roman"/>
                <w:sz w:val="18"/>
              </w:rPr>
            </w:pPr>
          </w:p>
        </w:tc>
        <w:tc>
          <w:tcPr>
            <w:tcW w:w="2834" w:type="dxa"/>
            <w:shd w:val="clear" w:color="auto" w:fill="C0C0C0"/>
          </w:tcPr>
          <w:p>
            <w:pPr>
              <w:pStyle w:val="TableParagraph"/>
              <w:spacing w:before="86"/>
              <w:ind w:left="57"/>
              <w:rPr>
                <w:b/>
                <w:sz w:val="20"/>
              </w:rPr>
            </w:pPr>
            <w:r>
              <w:rPr>
                <w:b/>
                <w:sz w:val="20"/>
              </w:rPr>
              <w:t>Trainee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Instructor name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Instructor ARN</w:t>
            </w:r>
          </w:p>
        </w:tc>
        <w:tc>
          <w:tcPr>
            <w:tcW w:w="2433" w:type="dxa"/>
          </w:tcPr>
          <w:p>
            <w:pPr>
              <w:pStyle w:val="TableParagraph"/>
              <w:rPr>
                <w:rFonts w:ascii="Times New Roman"/>
                <w:sz w:val="18"/>
              </w:rPr>
            </w:pPr>
          </w:p>
        </w:tc>
      </w:tr>
      <w:tr>
        <w:trPr>
          <w:trHeight w:val="345" w:hRule="atLeast"/>
        </w:trPr>
        <w:tc>
          <w:tcPr>
            <w:tcW w:w="2549" w:type="dxa"/>
            <w:shd w:val="clear" w:color="auto" w:fill="C0C0C0"/>
          </w:tcPr>
          <w:p>
            <w:pPr>
              <w:pStyle w:val="TableParagraph"/>
              <w:spacing w:before="52"/>
              <w:ind w:left="57"/>
              <w:rPr>
                <w:b/>
                <w:sz w:val="20"/>
              </w:rPr>
            </w:pPr>
            <w:r>
              <w:rPr>
                <w:b/>
                <w:sz w:val="20"/>
              </w:rPr>
              <w:t>Demonstration date</w:t>
            </w:r>
          </w:p>
        </w:tc>
        <w:tc>
          <w:tcPr>
            <w:tcW w:w="2844" w:type="dxa"/>
          </w:tcPr>
          <w:p>
            <w:pPr>
              <w:pStyle w:val="TableParagraph"/>
              <w:rPr>
                <w:rFonts w:ascii="Times New Roman"/>
                <w:sz w:val="18"/>
              </w:rPr>
            </w:pPr>
          </w:p>
        </w:tc>
        <w:tc>
          <w:tcPr>
            <w:tcW w:w="2834" w:type="dxa"/>
            <w:shd w:val="clear" w:color="auto" w:fill="C0C0C0"/>
          </w:tcPr>
          <w:p>
            <w:pPr>
              <w:pStyle w:val="TableParagraph"/>
              <w:spacing w:before="52"/>
              <w:ind w:left="57"/>
              <w:rPr>
                <w:b/>
                <w:sz w:val="20"/>
              </w:rPr>
            </w:pPr>
            <w:r>
              <w:rPr>
                <w:b/>
                <w:sz w:val="20"/>
              </w:rPr>
              <w:t>Trainee read back date:</w:t>
            </w:r>
          </w:p>
        </w:tc>
        <w:tc>
          <w:tcPr>
            <w:tcW w:w="2433" w:type="dxa"/>
          </w:tcPr>
          <w:p>
            <w:pPr>
              <w:pStyle w:val="TableParagraph"/>
              <w:rPr>
                <w:rFonts w:ascii="Times New Roman"/>
                <w:sz w:val="18"/>
              </w:rPr>
            </w:pPr>
          </w:p>
        </w:tc>
      </w:tr>
    </w:tbl>
    <w:p>
      <w:pPr>
        <w:pStyle w:val="BodyText"/>
        <w:spacing w:before="10"/>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520" w:hRule="atLeast"/>
        </w:trPr>
        <w:tc>
          <w:tcPr>
            <w:tcW w:w="10661" w:type="dxa"/>
            <w:gridSpan w:val="3"/>
            <w:shd w:val="clear" w:color="auto" w:fill="C0C0C0"/>
          </w:tcPr>
          <w:p>
            <w:pPr>
              <w:pStyle w:val="TableParagraph"/>
              <w:spacing w:before="141"/>
              <w:ind w:left="3869" w:right="3864"/>
              <w:jc w:val="center"/>
              <w:rPr>
                <w:b/>
                <w:sz w:val="20"/>
              </w:rPr>
            </w:pPr>
            <w:r>
              <w:rPr>
                <w:b/>
                <w:sz w:val="20"/>
              </w:rPr>
              <w:t>PERFORMANCE STANDARDS</w:t>
            </w:r>
          </w:p>
        </w:tc>
      </w:tr>
      <w:tr>
        <w:trPr>
          <w:trHeight w:val="520" w:hRule="atLeast"/>
        </w:trPr>
        <w:tc>
          <w:tcPr>
            <w:tcW w:w="3583" w:type="dxa"/>
          </w:tcPr>
          <w:p>
            <w:pPr>
              <w:pStyle w:val="TableParagraph"/>
              <w:spacing w:before="138"/>
              <w:ind w:left="7"/>
              <w:jc w:val="center"/>
              <w:rPr>
                <w:b/>
                <w:sz w:val="20"/>
              </w:rPr>
            </w:pPr>
            <w:r>
              <w:rPr>
                <w:b/>
                <w:w w:val="99"/>
                <w:sz w:val="20"/>
              </w:rPr>
              <w:t>3</w:t>
            </w:r>
          </w:p>
        </w:tc>
        <w:tc>
          <w:tcPr>
            <w:tcW w:w="3497" w:type="dxa"/>
          </w:tcPr>
          <w:p>
            <w:pPr>
              <w:pStyle w:val="TableParagraph"/>
              <w:spacing w:before="138"/>
              <w:ind w:left="7"/>
              <w:jc w:val="center"/>
              <w:rPr>
                <w:b/>
                <w:sz w:val="20"/>
              </w:rPr>
            </w:pPr>
            <w:r>
              <w:rPr>
                <w:b/>
                <w:w w:val="99"/>
                <w:sz w:val="20"/>
              </w:rPr>
              <w:t>2</w:t>
            </w:r>
          </w:p>
        </w:tc>
        <w:tc>
          <w:tcPr>
            <w:tcW w:w="3581" w:type="dxa"/>
          </w:tcPr>
          <w:p>
            <w:pPr>
              <w:pStyle w:val="TableParagraph"/>
              <w:spacing w:before="138"/>
              <w:ind w:left="9"/>
              <w:jc w:val="center"/>
              <w:rPr>
                <w:b/>
                <w:sz w:val="20"/>
              </w:rPr>
            </w:pPr>
            <w:r>
              <w:rPr>
                <w:b/>
                <w:w w:val="99"/>
                <w:sz w:val="20"/>
              </w:rPr>
              <w:t>1</w:t>
            </w:r>
          </w:p>
        </w:tc>
      </w:tr>
      <w:tr>
        <w:trPr>
          <w:trHeight w:val="1117" w:hRule="atLeast"/>
        </w:trPr>
        <w:tc>
          <w:tcPr>
            <w:tcW w:w="3583" w:type="dxa"/>
          </w:tcPr>
          <w:p>
            <w:pPr>
              <w:pStyle w:val="TableParagraph"/>
              <w:spacing w:before="143"/>
              <w:ind w:left="57"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143"/>
              <w:ind w:left="57"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143"/>
              <w:ind w:left="57" w:right="181"/>
              <w:rPr>
                <w:sz w:val="18"/>
              </w:rPr>
            </w:pPr>
            <w:r>
              <w:rPr>
                <w:sz w:val="18"/>
              </w:rPr>
              <w:t>Achieves competency to the standard required for the grant of the authorisation.</w:t>
            </w:r>
          </w:p>
        </w:tc>
      </w:tr>
      <w:tr>
        <w:trPr>
          <w:trHeight w:val="997" w:hRule="atLeast"/>
        </w:trPr>
        <w:tc>
          <w:tcPr>
            <w:tcW w:w="10661" w:type="dxa"/>
            <w:gridSpan w:val="3"/>
          </w:tcPr>
          <w:p>
            <w:pPr>
              <w:pStyle w:val="TableParagraph"/>
              <w:spacing w:before="78"/>
              <w:ind w:left="57"/>
              <w:rPr>
                <w:b/>
                <w:sz w:val="20"/>
              </w:rPr>
            </w:pPr>
            <w:r>
              <w:rPr>
                <w:b/>
                <w:sz w:val="20"/>
              </w:rPr>
              <w:t>LESSON OVERVIEW</w:t>
            </w:r>
          </w:p>
          <w:p>
            <w:pPr>
              <w:pStyle w:val="TableParagraph"/>
              <w:numPr>
                <w:ilvl w:val="0"/>
                <w:numId w:val="1"/>
              </w:numPr>
              <w:tabs>
                <w:tab w:pos="341" w:val="left" w:leader="none"/>
              </w:tabs>
              <w:spacing w:line="219" w:lineRule="exact" w:before="166" w:after="0"/>
              <w:ind w:left="340" w:right="0" w:hanging="226"/>
              <w:jc w:val="left"/>
              <w:rPr>
                <w:sz w:val="18"/>
              </w:rPr>
            </w:pPr>
            <w:r>
              <w:rPr>
                <w:sz w:val="18"/>
              </w:rPr>
              <w:t>Trainee introduced to operating aircraft from instructor control seat at</w:t>
            </w:r>
            <w:r>
              <w:rPr>
                <w:spacing w:val="-8"/>
                <w:sz w:val="18"/>
              </w:rPr>
              <w:t> </w:t>
            </w:r>
            <w:r>
              <w:rPr>
                <w:sz w:val="18"/>
              </w:rPr>
              <w:t>night</w:t>
            </w:r>
          </w:p>
          <w:p>
            <w:pPr>
              <w:pStyle w:val="TableParagraph"/>
              <w:numPr>
                <w:ilvl w:val="0"/>
                <w:numId w:val="1"/>
              </w:numPr>
              <w:tabs>
                <w:tab w:pos="341" w:val="left" w:leader="none"/>
              </w:tabs>
              <w:spacing w:line="219" w:lineRule="exact" w:before="0" w:after="0"/>
              <w:ind w:left="340" w:right="0" w:hanging="226"/>
              <w:jc w:val="left"/>
              <w:rPr>
                <w:sz w:val="18"/>
              </w:rPr>
            </w:pPr>
            <w:r>
              <w:rPr>
                <w:sz w:val="18"/>
              </w:rPr>
              <w:t>Basic, advanced and abnormal aircraft procedures to be briefed and practised during the</w:t>
            </w:r>
            <w:r>
              <w:rPr>
                <w:spacing w:val="-4"/>
                <w:sz w:val="18"/>
              </w:rPr>
              <w:t> </w:t>
            </w:r>
            <w:r>
              <w:rPr>
                <w:sz w:val="18"/>
              </w:rPr>
              <w:t>flight</w:t>
            </w:r>
          </w:p>
        </w:tc>
      </w:tr>
      <w:tr>
        <w:trPr>
          <w:trHeight w:val="3517" w:hRule="atLeast"/>
        </w:trPr>
        <w:tc>
          <w:tcPr>
            <w:tcW w:w="10661" w:type="dxa"/>
            <w:gridSpan w:val="3"/>
          </w:tcPr>
          <w:p>
            <w:pPr>
              <w:pStyle w:val="TableParagraph"/>
              <w:spacing w:before="78"/>
              <w:ind w:left="57"/>
              <w:rPr>
                <w:b/>
                <w:sz w:val="20"/>
              </w:rPr>
            </w:pPr>
            <w:r>
              <w:rPr>
                <w:b/>
                <w:sz w:val="20"/>
              </w:rPr>
              <w:t>TRAINING NOTES</w:t>
            </w:r>
          </w:p>
          <w:p>
            <w:pPr>
              <w:pStyle w:val="TableParagraph"/>
              <w:numPr>
                <w:ilvl w:val="0"/>
                <w:numId w:val="2"/>
              </w:numPr>
              <w:tabs>
                <w:tab w:pos="341" w:val="left" w:leader="none"/>
              </w:tabs>
              <w:spacing w:line="240" w:lineRule="auto" w:before="166" w:after="0"/>
              <w:ind w:left="340" w:right="245" w:hanging="226"/>
              <w:jc w:val="left"/>
              <w:rPr>
                <w:sz w:val="18"/>
              </w:rPr>
            </w:pPr>
            <w:r>
              <w:rPr>
                <w:sz w:val="18"/>
              </w:rPr>
              <w:t>If this course is the first instructor training endorsement for the trainee, the trainee may not have operated an aircraft from the instructor</w:t>
            </w:r>
            <w:r>
              <w:rPr>
                <w:spacing w:val="-4"/>
                <w:sz w:val="18"/>
              </w:rPr>
              <w:t> </w:t>
            </w:r>
            <w:r>
              <w:rPr>
                <w:sz w:val="18"/>
              </w:rPr>
              <w:t>control</w:t>
            </w:r>
            <w:r>
              <w:rPr>
                <w:spacing w:val="-2"/>
                <w:sz w:val="18"/>
              </w:rPr>
              <w:t> </w:t>
            </w:r>
            <w:r>
              <w:rPr>
                <w:sz w:val="18"/>
              </w:rPr>
              <w:t>seat</w:t>
            </w:r>
            <w:r>
              <w:rPr>
                <w:spacing w:val="-3"/>
                <w:sz w:val="18"/>
              </w:rPr>
              <w:t> </w:t>
            </w:r>
            <w:r>
              <w:rPr>
                <w:sz w:val="18"/>
              </w:rPr>
              <w:t>previously.</w:t>
            </w:r>
            <w:r>
              <w:rPr>
                <w:spacing w:val="-3"/>
                <w:sz w:val="18"/>
              </w:rPr>
              <w:t> </w:t>
            </w:r>
            <w:r>
              <w:rPr>
                <w:sz w:val="18"/>
              </w:rPr>
              <w:t>In</w:t>
            </w:r>
            <w:r>
              <w:rPr>
                <w:spacing w:val="-3"/>
                <w:sz w:val="18"/>
              </w:rPr>
              <w:t> </w:t>
            </w:r>
            <w:r>
              <w:rPr>
                <w:sz w:val="18"/>
              </w:rPr>
              <w:t>this</w:t>
            </w:r>
            <w:r>
              <w:rPr>
                <w:spacing w:val="-4"/>
                <w:sz w:val="18"/>
              </w:rPr>
              <w:t> </w:t>
            </w:r>
            <w:r>
              <w:rPr>
                <w:sz w:val="18"/>
              </w:rPr>
              <w:t>circumstance,</w:t>
            </w:r>
            <w:r>
              <w:rPr>
                <w:spacing w:val="-3"/>
                <w:sz w:val="18"/>
              </w:rPr>
              <w:t> </w:t>
            </w:r>
            <w:r>
              <w:rPr>
                <w:sz w:val="18"/>
              </w:rPr>
              <w:t>the</w:t>
            </w:r>
            <w:r>
              <w:rPr>
                <w:spacing w:val="-5"/>
                <w:sz w:val="18"/>
              </w:rPr>
              <w:t> </w:t>
            </w:r>
            <w:r>
              <w:rPr>
                <w:sz w:val="18"/>
              </w:rPr>
              <w:t>instructor</w:t>
            </w:r>
            <w:r>
              <w:rPr>
                <w:spacing w:val="-5"/>
                <w:sz w:val="18"/>
              </w:rPr>
              <w:t> </w:t>
            </w:r>
            <w:r>
              <w:rPr>
                <w:sz w:val="18"/>
              </w:rPr>
              <w:t>should</w:t>
            </w:r>
            <w:r>
              <w:rPr>
                <w:spacing w:val="-2"/>
                <w:sz w:val="18"/>
              </w:rPr>
              <w:t> </w:t>
            </w:r>
            <w:r>
              <w:rPr>
                <w:sz w:val="18"/>
              </w:rPr>
              <w:t>provide</w:t>
            </w:r>
            <w:r>
              <w:rPr>
                <w:spacing w:val="-2"/>
                <w:sz w:val="18"/>
              </w:rPr>
              <w:t> </w:t>
            </w:r>
            <w:r>
              <w:rPr>
                <w:sz w:val="18"/>
              </w:rPr>
              <w:t>a</w:t>
            </w:r>
            <w:r>
              <w:rPr>
                <w:spacing w:val="-5"/>
                <w:sz w:val="18"/>
              </w:rPr>
              <w:t> </w:t>
            </w:r>
            <w:r>
              <w:rPr>
                <w:sz w:val="18"/>
              </w:rPr>
              <w:t>pre-flight</w:t>
            </w:r>
            <w:r>
              <w:rPr>
                <w:spacing w:val="-4"/>
                <w:sz w:val="18"/>
              </w:rPr>
              <w:t> </w:t>
            </w:r>
            <w:r>
              <w:rPr>
                <w:sz w:val="18"/>
              </w:rPr>
              <w:t>brief</w:t>
            </w:r>
            <w:r>
              <w:rPr>
                <w:spacing w:val="-3"/>
                <w:sz w:val="18"/>
              </w:rPr>
              <w:t> </w:t>
            </w:r>
            <w:r>
              <w:rPr>
                <w:sz w:val="18"/>
              </w:rPr>
              <w:t>on</w:t>
            </w:r>
            <w:r>
              <w:rPr>
                <w:spacing w:val="-2"/>
                <w:sz w:val="18"/>
              </w:rPr>
              <w:t> </w:t>
            </w:r>
            <w:r>
              <w:rPr>
                <w:sz w:val="18"/>
              </w:rPr>
              <w:t>the</w:t>
            </w:r>
            <w:r>
              <w:rPr>
                <w:spacing w:val="-2"/>
                <w:sz w:val="18"/>
              </w:rPr>
              <w:t> </w:t>
            </w:r>
            <w:r>
              <w:rPr>
                <w:sz w:val="18"/>
              </w:rPr>
              <w:t>differences</w:t>
            </w:r>
            <w:r>
              <w:rPr>
                <w:spacing w:val="-3"/>
                <w:sz w:val="18"/>
              </w:rPr>
              <w:t> </w:t>
            </w:r>
            <w:r>
              <w:rPr>
                <w:sz w:val="18"/>
              </w:rPr>
              <w:t>that</w:t>
            </w:r>
            <w:r>
              <w:rPr>
                <w:spacing w:val="-3"/>
                <w:sz w:val="18"/>
              </w:rPr>
              <w:t> </w:t>
            </w:r>
            <w:r>
              <w:rPr>
                <w:sz w:val="18"/>
              </w:rPr>
              <w:t>will be experienced including visual perceptions and aircraft</w:t>
            </w:r>
            <w:r>
              <w:rPr>
                <w:spacing w:val="-1"/>
                <w:sz w:val="18"/>
              </w:rPr>
              <w:t> </w:t>
            </w:r>
            <w:r>
              <w:rPr>
                <w:sz w:val="18"/>
              </w:rPr>
              <w:t>controls.</w:t>
            </w:r>
          </w:p>
          <w:p>
            <w:pPr>
              <w:pStyle w:val="TableParagraph"/>
              <w:numPr>
                <w:ilvl w:val="0"/>
                <w:numId w:val="2"/>
              </w:numPr>
              <w:tabs>
                <w:tab w:pos="341" w:val="left" w:leader="none"/>
              </w:tabs>
              <w:spacing w:line="240" w:lineRule="auto" w:before="0" w:after="0"/>
              <w:ind w:left="340" w:right="332" w:hanging="226"/>
              <w:jc w:val="left"/>
              <w:rPr>
                <w:sz w:val="18"/>
              </w:rPr>
            </w:pPr>
            <w:r>
              <w:rPr>
                <w:sz w:val="18"/>
              </w:rPr>
              <w:t>The instructor should brief the trainee on all normal and abnormal operations that are to be practiced with emphasis on where the difference in aircraft handling would be most</w:t>
            </w:r>
            <w:r>
              <w:rPr>
                <w:spacing w:val="-9"/>
                <w:sz w:val="18"/>
              </w:rPr>
              <w:t> </w:t>
            </w:r>
            <w:r>
              <w:rPr>
                <w:sz w:val="18"/>
              </w:rPr>
              <w:t>pronounced.</w:t>
            </w:r>
          </w:p>
          <w:p>
            <w:pPr>
              <w:pStyle w:val="TableParagraph"/>
              <w:numPr>
                <w:ilvl w:val="0"/>
                <w:numId w:val="2"/>
              </w:numPr>
              <w:tabs>
                <w:tab w:pos="341" w:val="left" w:leader="none"/>
              </w:tabs>
              <w:spacing w:line="240" w:lineRule="auto" w:before="0" w:after="0"/>
              <w:ind w:left="340" w:right="338" w:hanging="226"/>
              <w:jc w:val="both"/>
              <w:rPr>
                <w:sz w:val="18"/>
              </w:rPr>
            </w:pPr>
            <w:r>
              <w:rPr>
                <w:sz w:val="18"/>
              </w:rPr>
              <w:t>Additionally, the brief and flight should address particular manoeuvres that will be part of the night VFR training endorsement. There</w:t>
            </w:r>
            <w:r>
              <w:rPr>
                <w:spacing w:val="-2"/>
                <w:sz w:val="18"/>
              </w:rPr>
              <w:t> </w:t>
            </w:r>
            <w:r>
              <w:rPr>
                <w:sz w:val="18"/>
              </w:rPr>
              <w:t>should</w:t>
            </w:r>
            <w:r>
              <w:rPr>
                <w:spacing w:val="-5"/>
                <w:sz w:val="18"/>
              </w:rPr>
              <w:t> </w:t>
            </w:r>
            <w:r>
              <w:rPr>
                <w:sz w:val="18"/>
              </w:rPr>
              <w:t>be</w:t>
            </w:r>
            <w:r>
              <w:rPr>
                <w:spacing w:val="-2"/>
                <w:sz w:val="18"/>
              </w:rPr>
              <w:t> </w:t>
            </w:r>
            <w:r>
              <w:rPr>
                <w:sz w:val="18"/>
              </w:rPr>
              <w:t>particular</w:t>
            </w:r>
            <w:r>
              <w:rPr>
                <w:spacing w:val="-3"/>
                <w:sz w:val="18"/>
              </w:rPr>
              <w:t> </w:t>
            </w:r>
            <w:r>
              <w:rPr>
                <w:sz w:val="18"/>
              </w:rPr>
              <w:t>emphasis</w:t>
            </w:r>
            <w:r>
              <w:rPr>
                <w:spacing w:val="-3"/>
                <w:sz w:val="18"/>
              </w:rPr>
              <w:t> </w:t>
            </w:r>
            <w:r>
              <w:rPr>
                <w:sz w:val="18"/>
              </w:rPr>
              <w:t>on</w:t>
            </w:r>
            <w:r>
              <w:rPr>
                <w:spacing w:val="-2"/>
                <w:sz w:val="18"/>
              </w:rPr>
              <w:t> </w:t>
            </w:r>
            <w:r>
              <w:rPr>
                <w:sz w:val="18"/>
              </w:rPr>
              <w:t>flying</w:t>
            </w:r>
            <w:r>
              <w:rPr>
                <w:spacing w:val="-2"/>
                <w:sz w:val="18"/>
              </w:rPr>
              <w:t> </w:t>
            </w:r>
            <w:r>
              <w:rPr>
                <w:sz w:val="18"/>
              </w:rPr>
              <w:t>on</w:t>
            </w:r>
            <w:r>
              <w:rPr>
                <w:spacing w:val="-2"/>
                <w:sz w:val="18"/>
              </w:rPr>
              <w:t> </w:t>
            </w:r>
            <w:r>
              <w:rPr>
                <w:sz w:val="18"/>
              </w:rPr>
              <w:t>instruments,</w:t>
            </w:r>
            <w:r>
              <w:rPr>
                <w:spacing w:val="-2"/>
                <w:sz w:val="18"/>
              </w:rPr>
              <w:t> </w:t>
            </w:r>
            <w:r>
              <w:rPr>
                <w:sz w:val="18"/>
              </w:rPr>
              <w:t>at</w:t>
            </w:r>
            <w:r>
              <w:rPr>
                <w:spacing w:val="-5"/>
                <w:sz w:val="18"/>
              </w:rPr>
              <w:t> </w:t>
            </w:r>
            <w:r>
              <w:rPr>
                <w:sz w:val="18"/>
              </w:rPr>
              <w:t>night,</w:t>
            </w:r>
            <w:r>
              <w:rPr>
                <w:spacing w:val="-3"/>
                <w:sz w:val="18"/>
              </w:rPr>
              <w:t> </w:t>
            </w:r>
            <w:r>
              <w:rPr>
                <w:sz w:val="18"/>
              </w:rPr>
              <w:t>where</w:t>
            </w:r>
            <w:r>
              <w:rPr>
                <w:spacing w:val="-2"/>
                <w:sz w:val="18"/>
              </w:rPr>
              <w:t> </w:t>
            </w:r>
            <w:r>
              <w:rPr>
                <w:sz w:val="18"/>
              </w:rPr>
              <w:t>the</w:t>
            </w:r>
            <w:r>
              <w:rPr>
                <w:spacing w:val="-2"/>
                <w:sz w:val="18"/>
              </w:rPr>
              <w:t> </w:t>
            </w:r>
            <w:r>
              <w:rPr>
                <w:sz w:val="18"/>
              </w:rPr>
              <w:t>flight</w:t>
            </w:r>
            <w:r>
              <w:rPr>
                <w:spacing w:val="-4"/>
                <w:sz w:val="18"/>
              </w:rPr>
              <w:t> </w:t>
            </w:r>
            <w:r>
              <w:rPr>
                <w:sz w:val="18"/>
              </w:rPr>
              <w:t>instrument</w:t>
            </w:r>
            <w:r>
              <w:rPr>
                <w:spacing w:val="-3"/>
                <w:sz w:val="18"/>
              </w:rPr>
              <w:t> </w:t>
            </w:r>
            <w:r>
              <w:rPr>
                <w:sz w:val="18"/>
              </w:rPr>
              <w:t>may</w:t>
            </w:r>
            <w:r>
              <w:rPr>
                <w:spacing w:val="-4"/>
                <w:sz w:val="18"/>
              </w:rPr>
              <w:t> </w:t>
            </w:r>
            <w:r>
              <w:rPr>
                <w:sz w:val="18"/>
              </w:rPr>
              <w:t>not</w:t>
            </w:r>
            <w:r>
              <w:rPr>
                <w:spacing w:val="-2"/>
                <w:sz w:val="18"/>
              </w:rPr>
              <w:t> </w:t>
            </w:r>
            <w:r>
              <w:rPr>
                <w:sz w:val="18"/>
              </w:rPr>
              <w:t>be</w:t>
            </w:r>
            <w:r>
              <w:rPr>
                <w:spacing w:val="-2"/>
                <w:sz w:val="18"/>
              </w:rPr>
              <w:t> </w:t>
            </w:r>
            <w:r>
              <w:rPr>
                <w:sz w:val="18"/>
              </w:rPr>
              <w:t>directly</w:t>
            </w:r>
            <w:r>
              <w:rPr>
                <w:spacing w:val="-4"/>
                <w:sz w:val="18"/>
              </w:rPr>
              <w:t> </w:t>
            </w:r>
            <w:r>
              <w:rPr>
                <w:sz w:val="18"/>
              </w:rPr>
              <w:t>in</w:t>
            </w:r>
            <w:r>
              <w:rPr>
                <w:spacing w:val="-2"/>
                <w:sz w:val="18"/>
              </w:rPr>
              <w:t> </w:t>
            </w:r>
            <w:r>
              <w:rPr>
                <w:sz w:val="18"/>
              </w:rPr>
              <w:t>view, particularly in the</w:t>
            </w:r>
            <w:r>
              <w:rPr>
                <w:spacing w:val="-3"/>
                <w:sz w:val="18"/>
              </w:rPr>
              <w:t> </w:t>
            </w:r>
            <w:r>
              <w:rPr>
                <w:sz w:val="18"/>
              </w:rPr>
              <w:t>circuit.</w:t>
            </w:r>
          </w:p>
          <w:p>
            <w:pPr>
              <w:pStyle w:val="TableParagraph"/>
              <w:numPr>
                <w:ilvl w:val="0"/>
                <w:numId w:val="2"/>
              </w:numPr>
              <w:tabs>
                <w:tab w:pos="341" w:val="left" w:leader="none"/>
              </w:tabs>
              <w:spacing w:line="240" w:lineRule="auto" w:before="0" w:after="0"/>
              <w:ind w:left="340" w:right="63" w:hanging="226"/>
              <w:jc w:val="left"/>
              <w:rPr>
                <w:sz w:val="18"/>
              </w:rPr>
            </w:pPr>
            <w:r>
              <w:rPr>
                <w:sz w:val="18"/>
              </w:rPr>
              <w:t>The instructor should ensure that the trainee is at a level of competence that will allow them to commence training for the training endorsement (performance standard 2). This level of competence will permit the trainee to satisfactorily operate the aircraft from the instructor control seat on the first night training flight and practice airborne instruction to the standard required for that lesson (performance standard</w:t>
            </w:r>
            <w:r>
              <w:rPr>
                <w:spacing w:val="-5"/>
                <w:sz w:val="18"/>
              </w:rPr>
              <w:t> </w:t>
            </w:r>
            <w:r>
              <w:rPr>
                <w:sz w:val="18"/>
              </w:rPr>
              <w:t>2).</w:t>
            </w:r>
          </w:p>
          <w:p>
            <w:pPr>
              <w:pStyle w:val="TableParagraph"/>
              <w:numPr>
                <w:ilvl w:val="0"/>
                <w:numId w:val="2"/>
              </w:numPr>
              <w:tabs>
                <w:tab w:pos="341" w:val="left" w:leader="none"/>
              </w:tabs>
              <w:spacing w:line="240" w:lineRule="auto" w:before="0" w:after="0"/>
              <w:ind w:left="340" w:right="473" w:hanging="226"/>
              <w:jc w:val="left"/>
              <w:rPr>
                <w:sz w:val="18"/>
              </w:rPr>
            </w:pPr>
            <w:r>
              <w:rPr>
                <w:sz w:val="18"/>
              </w:rPr>
              <w:t>The instructor must consider an additional instructor control seat familiarisation flight if the trainee cannot meet performance standard</w:t>
            </w:r>
            <w:r>
              <w:rPr>
                <w:spacing w:val="-2"/>
                <w:sz w:val="18"/>
              </w:rPr>
              <w:t> </w:t>
            </w:r>
            <w:r>
              <w:rPr>
                <w:sz w:val="18"/>
              </w:rPr>
              <w:t>2.</w:t>
            </w:r>
          </w:p>
        </w:tc>
      </w:tr>
    </w:tbl>
    <w:p>
      <w:pPr>
        <w:pStyle w:val="BodyText"/>
        <w:spacing w:before="1"/>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582" w:hRule="atLeast"/>
        </w:trPr>
        <w:tc>
          <w:tcPr>
            <w:tcW w:w="1085" w:type="dxa"/>
            <w:shd w:val="clear" w:color="auto" w:fill="C0C0C0"/>
          </w:tcPr>
          <w:p>
            <w:pPr>
              <w:pStyle w:val="TableParagraph"/>
              <w:spacing w:line="207" w:lineRule="exact" w:before="78"/>
              <w:ind w:left="57"/>
              <w:rPr>
                <w:b/>
                <w:sz w:val="18"/>
              </w:rPr>
            </w:pPr>
            <w:r>
              <w:rPr>
                <w:b/>
                <w:sz w:val="18"/>
              </w:rPr>
              <w:t>MOS</w:t>
            </w:r>
          </w:p>
          <w:p>
            <w:pPr>
              <w:pStyle w:val="TableParagraph"/>
              <w:spacing w:line="207" w:lineRule="exact"/>
              <w:ind w:left="57"/>
              <w:rPr>
                <w:b/>
                <w:sz w:val="18"/>
              </w:rPr>
            </w:pPr>
            <w:r>
              <w:rPr>
                <w:b/>
                <w:sz w:val="18"/>
              </w:rPr>
              <w:t>reference</w:t>
            </w:r>
          </w:p>
        </w:tc>
        <w:tc>
          <w:tcPr>
            <w:tcW w:w="9576" w:type="dxa"/>
            <w:shd w:val="clear" w:color="auto" w:fill="C0C0C0"/>
          </w:tcPr>
          <w:p>
            <w:pPr>
              <w:pStyle w:val="TableParagraph"/>
              <w:spacing w:before="138"/>
              <w:ind w:left="3304" w:right="3298"/>
              <w:jc w:val="center"/>
              <w:rPr>
                <w:b/>
                <w:sz w:val="20"/>
              </w:rPr>
            </w:pPr>
            <w:r>
              <w:rPr>
                <w:b/>
                <w:sz w:val="20"/>
              </w:rPr>
              <w:t>UNDERPINNING KNOWLEDGE</w:t>
            </w:r>
          </w:p>
        </w:tc>
      </w:tr>
      <w:tr>
        <w:trPr>
          <w:trHeight w:val="376" w:hRule="atLeast"/>
        </w:trPr>
        <w:tc>
          <w:tcPr>
            <w:tcW w:w="1085" w:type="dxa"/>
          </w:tcPr>
          <w:p>
            <w:pPr>
              <w:pStyle w:val="TableParagraph"/>
              <w:spacing w:before="80"/>
              <w:ind w:left="57"/>
              <w:rPr>
                <w:b/>
                <w:sz w:val="18"/>
              </w:rPr>
            </w:pPr>
            <w:r>
              <w:rPr>
                <w:b/>
                <w:sz w:val="18"/>
              </w:rPr>
              <w:t>FIR-TE9</w:t>
            </w:r>
          </w:p>
        </w:tc>
        <w:tc>
          <w:tcPr>
            <w:tcW w:w="9576" w:type="dxa"/>
          </w:tcPr>
          <w:p>
            <w:pPr>
              <w:pStyle w:val="TableParagraph"/>
              <w:spacing w:before="80"/>
              <w:ind w:left="57"/>
              <w:rPr>
                <w:b/>
                <w:sz w:val="18"/>
              </w:rPr>
            </w:pPr>
            <w:r>
              <w:rPr>
                <w:b/>
                <w:sz w:val="18"/>
              </w:rPr>
              <w:t>Night VFR training endorsement</w:t>
            </w:r>
          </w:p>
        </w:tc>
      </w:tr>
      <w:tr>
        <w:trPr>
          <w:trHeight w:val="585" w:hRule="atLeast"/>
        </w:trPr>
        <w:tc>
          <w:tcPr>
            <w:tcW w:w="1085" w:type="dxa"/>
          </w:tcPr>
          <w:p>
            <w:pPr>
              <w:pStyle w:val="TableParagraph"/>
              <w:rPr>
                <w:rFonts w:ascii="Times New Roman"/>
                <w:sz w:val="18"/>
              </w:rPr>
            </w:pPr>
          </w:p>
        </w:tc>
        <w:tc>
          <w:tcPr>
            <w:tcW w:w="9576" w:type="dxa"/>
          </w:tcPr>
          <w:p>
            <w:pPr>
              <w:pStyle w:val="TableParagraph"/>
              <w:numPr>
                <w:ilvl w:val="0"/>
                <w:numId w:val="3"/>
              </w:numPr>
              <w:tabs>
                <w:tab w:pos="454" w:val="left" w:leader="none"/>
              </w:tabs>
              <w:spacing w:line="207" w:lineRule="exact" w:before="85" w:after="0"/>
              <w:ind w:left="453" w:right="0" w:hanging="397"/>
              <w:jc w:val="left"/>
              <w:rPr>
                <w:sz w:val="18"/>
              </w:rPr>
            </w:pPr>
            <w:r>
              <w:rPr>
                <w:sz w:val="18"/>
              </w:rPr>
              <w:t>relevant sections of Civil Aviation legislation relating to night VFR</w:t>
            </w:r>
            <w:r>
              <w:rPr>
                <w:spacing w:val="-11"/>
                <w:sz w:val="18"/>
              </w:rPr>
              <w:t> </w:t>
            </w:r>
            <w:r>
              <w:rPr>
                <w:sz w:val="18"/>
              </w:rPr>
              <w:t>flight;</w:t>
            </w:r>
          </w:p>
          <w:p>
            <w:pPr>
              <w:pStyle w:val="TableParagraph"/>
              <w:numPr>
                <w:ilvl w:val="0"/>
                <w:numId w:val="3"/>
              </w:numPr>
              <w:tabs>
                <w:tab w:pos="454" w:val="left" w:leader="none"/>
              </w:tabs>
              <w:spacing w:line="207" w:lineRule="exact" w:before="0" w:after="0"/>
              <w:ind w:left="453" w:right="0" w:hanging="397"/>
              <w:jc w:val="left"/>
              <w:rPr>
                <w:sz w:val="18"/>
              </w:rPr>
            </w:pPr>
            <w:r>
              <w:rPr>
                <w:sz w:val="18"/>
              </w:rPr>
              <w:t>common risks that exist when conducting night VFR</w:t>
            </w:r>
            <w:r>
              <w:rPr>
                <w:spacing w:val="-8"/>
                <w:sz w:val="18"/>
              </w:rPr>
              <w:t> </w:t>
            </w:r>
            <w:r>
              <w:rPr>
                <w:sz w:val="18"/>
              </w:rPr>
              <w:t>operations;</w:t>
            </w:r>
          </w:p>
        </w:tc>
      </w:tr>
    </w:tbl>
    <w:p>
      <w:pPr>
        <w:spacing w:after="0" w:line="207" w:lineRule="exact"/>
        <w:jc w:val="left"/>
        <w:rPr>
          <w:sz w:val="18"/>
        </w:rPr>
        <w:sectPr>
          <w:headerReference w:type="default" r:id="rId5"/>
          <w:footerReference w:type="default" r:id="rId6"/>
          <w:type w:val="continuous"/>
          <w:pgSz w:w="11910" w:h="16840"/>
          <w:pgMar w:header="717" w:footer="740" w:top="1420" w:bottom="940" w:left="500" w:right="500"/>
          <w:pgNumType w:start="1"/>
        </w:sectPr>
      </w:pPr>
    </w:p>
    <w:p>
      <w:pPr>
        <w:pStyle w:val="BodyText"/>
        <w:spacing w:before="10"/>
        <w:rPr>
          <w:b/>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8328"/>
        <w:gridCol w:w="624"/>
        <w:gridCol w:w="624"/>
      </w:tblGrid>
      <w:tr>
        <w:trPr>
          <w:trHeight w:val="470" w:hRule="atLeast"/>
        </w:trPr>
        <w:tc>
          <w:tcPr>
            <w:tcW w:w="1085" w:type="dxa"/>
            <w:vMerge w:val="restart"/>
            <w:shd w:val="clear" w:color="auto" w:fill="C0C0C0"/>
          </w:tcPr>
          <w:p>
            <w:pPr>
              <w:pStyle w:val="TableParagraph"/>
              <w:spacing w:line="207" w:lineRule="exact" w:before="8"/>
              <w:ind w:left="57"/>
              <w:rPr>
                <w:b/>
                <w:sz w:val="18"/>
              </w:rPr>
            </w:pPr>
            <w:r>
              <w:rPr>
                <w:b/>
                <w:sz w:val="18"/>
              </w:rPr>
              <w:t>MOS</w:t>
            </w:r>
          </w:p>
          <w:p>
            <w:pPr>
              <w:pStyle w:val="TableParagraph"/>
              <w:spacing w:line="207" w:lineRule="exact"/>
              <w:ind w:left="57"/>
              <w:rPr>
                <w:b/>
                <w:sz w:val="18"/>
              </w:rPr>
            </w:pPr>
            <w:r>
              <w:rPr>
                <w:b/>
                <w:sz w:val="18"/>
              </w:rPr>
              <w:t>reference</w:t>
            </w:r>
          </w:p>
        </w:tc>
        <w:tc>
          <w:tcPr>
            <w:tcW w:w="8328" w:type="dxa"/>
            <w:vMerge w:val="restart"/>
            <w:shd w:val="clear" w:color="auto" w:fill="C0C0C0"/>
          </w:tcPr>
          <w:p>
            <w:pPr>
              <w:pStyle w:val="TableParagraph"/>
              <w:spacing w:before="69"/>
              <w:ind w:left="2347" w:right="2344"/>
              <w:jc w:val="center"/>
              <w:rPr>
                <w:b/>
                <w:sz w:val="20"/>
              </w:rPr>
            </w:pPr>
            <w:r>
              <w:rPr>
                <w:b/>
                <w:sz w:val="20"/>
              </w:rPr>
              <w:t>LESSON CONTENT</w:t>
            </w:r>
          </w:p>
          <w:p>
            <w:pPr>
              <w:pStyle w:val="TableParagraph"/>
              <w:spacing w:before="118"/>
              <w:ind w:left="2351" w:right="2344"/>
              <w:jc w:val="center"/>
              <w:rPr>
                <w:b/>
                <w:sz w:val="22"/>
              </w:rPr>
            </w:pPr>
            <w:r>
              <w:rPr>
                <w:b/>
                <w:sz w:val="22"/>
              </w:rPr>
              <w:t>(Elements &amp; Performance Criteria)</w:t>
            </w:r>
          </w:p>
        </w:tc>
        <w:tc>
          <w:tcPr>
            <w:tcW w:w="1248" w:type="dxa"/>
            <w:gridSpan w:val="2"/>
            <w:shd w:val="clear" w:color="auto" w:fill="C0C0C0"/>
          </w:tcPr>
          <w:p>
            <w:pPr>
              <w:pStyle w:val="TableParagraph"/>
              <w:spacing w:before="8"/>
              <w:ind w:left="57" w:right="60"/>
              <w:rPr>
                <w:b/>
                <w:sz w:val="18"/>
              </w:rPr>
            </w:pPr>
            <w:r>
              <w:rPr>
                <w:b/>
                <w:sz w:val="18"/>
              </w:rPr>
              <w:t>Performance standard</w:t>
            </w:r>
          </w:p>
        </w:tc>
      </w:tr>
      <w:tr>
        <w:trPr>
          <w:trHeight w:val="945" w:hRule="atLeast"/>
        </w:trPr>
        <w:tc>
          <w:tcPr>
            <w:tcW w:w="1085" w:type="dxa"/>
            <w:vMerge/>
            <w:tcBorders>
              <w:top w:val="nil"/>
            </w:tcBorders>
            <w:shd w:val="clear" w:color="auto" w:fill="C0C0C0"/>
          </w:tcPr>
          <w:p>
            <w:pPr>
              <w:rPr>
                <w:sz w:val="2"/>
                <w:szCs w:val="2"/>
              </w:rPr>
            </w:pPr>
          </w:p>
        </w:tc>
        <w:tc>
          <w:tcPr>
            <w:tcW w:w="8328" w:type="dxa"/>
            <w:vMerge/>
            <w:tcBorders>
              <w:top w:val="nil"/>
            </w:tcBorders>
            <w:shd w:val="clear" w:color="auto" w:fill="C0C0C0"/>
          </w:tcPr>
          <w:p>
            <w:pPr>
              <w:rPr>
                <w:sz w:val="2"/>
                <w:szCs w:val="2"/>
              </w:rPr>
            </w:pPr>
          </w:p>
        </w:tc>
        <w:tc>
          <w:tcPr>
            <w:tcW w:w="624" w:type="dxa"/>
            <w:textDirection w:val="btLr"/>
          </w:tcPr>
          <w:p>
            <w:pPr>
              <w:pStyle w:val="TableParagraph"/>
              <w:spacing w:before="56"/>
              <w:ind w:left="28"/>
              <w:rPr>
                <w:sz w:val="18"/>
              </w:rPr>
            </w:pPr>
            <w:r>
              <w:rPr>
                <w:sz w:val="18"/>
              </w:rPr>
              <w:t>Required</w:t>
            </w:r>
          </w:p>
        </w:tc>
        <w:tc>
          <w:tcPr>
            <w:tcW w:w="624" w:type="dxa"/>
            <w:textDirection w:val="btLr"/>
          </w:tcPr>
          <w:p>
            <w:pPr>
              <w:pStyle w:val="TableParagraph"/>
              <w:spacing w:before="56"/>
              <w:ind w:left="28"/>
              <w:rPr>
                <w:sz w:val="18"/>
              </w:rPr>
            </w:pPr>
            <w:r>
              <w:rPr>
                <w:sz w:val="18"/>
              </w:rPr>
              <w:t>Achieved</w:t>
            </w:r>
          </w:p>
        </w:tc>
      </w:tr>
      <w:tr>
        <w:trPr>
          <w:trHeight w:val="263" w:hRule="atLeast"/>
        </w:trPr>
        <w:tc>
          <w:tcPr>
            <w:tcW w:w="1085" w:type="dxa"/>
          </w:tcPr>
          <w:p>
            <w:pPr>
              <w:pStyle w:val="TableParagraph"/>
              <w:spacing w:before="23"/>
              <w:ind w:left="57"/>
              <w:rPr>
                <w:b/>
                <w:sz w:val="18"/>
              </w:rPr>
            </w:pPr>
            <w:r>
              <w:rPr>
                <w:b/>
                <w:sz w:val="18"/>
              </w:rPr>
              <w:t>FIR-TE9.6</w:t>
            </w:r>
          </w:p>
        </w:tc>
        <w:tc>
          <w:tcPr>
            <w:tcW w:w="8328" w:type="dxa"/>
          </w:tcPr>
          <w:p>
            <w:pPr>
              <w:pStyle w:val="TableParagraph"/>
              <w:spacing w:before="23"/>
              <w:ind w:left="57"/>
              <w:rPr>
                <w:b/>
                <w:sz w:val="18"/>
              </w:rPr>
            </w:pPr>
            <w:r>
              <w:rPr>
                <w:b/>
                <w:sz w:val="18"/>
              </w:rPr>
              <w:t>Conduct airborne training</w:t>
            </w:r>
          </w:p>
        </w:tc>
        <w:tc>
          <w:tcPr>
            <w:tcW w:w="624" w:type="dxa"/>
          </w:tcPr>
          <w:p>
            <w:pPr>
              <w:pStyle w:val="TableParagraph"/>
              <w:rPr>
                <w:rFonts w:ascii="Times New Roman"/>
                <w:sz w:val="18"/>
              </w:rPr>
            </w:pPr>
          </w:p>
        </w:tc>
        <w:tc>
          <w:tcPr>
            <w:tcW w:w="624" w:type="dxa"/>
          </w:tcPr>
          <w:p>
            <w:pPr>
              <w:pStyle w:val="TableParagraph"/>
              <w:rPr>
                <w:rFonts w:ascii="Times New Roman"/>
                <w:sz w:val="18"/>
              </w:rPr>
            </w:pPr>
          </w:p>
        </w:tc>
      </w:tr>
      <w:tr>
        <w:trPr>
          <w:trHeight w:val="470" w:hRule="atLeast"/>
        </w:trPr>
        <w:tc>
          <w:tcPr>
            <w:tcW w:w="1085" w:type="dxa"/>
          </w:tcPr>
          <w:p>
            <w:pPr>
              <w:pStyle w:val="TableParagraph"/>
              <w:spacing w:before="25"/>
              <w:ind w:left="57"/>
              <w:rPr>
                <w:sz w:val="18"/>
              </w:rPr>
            </w:pPr>
            <w:r>
              <w:rPr>
                <w:sz w:val="18"/>
              </w:rPr>
              <w:t>(b)</w:t>
            </w:r>
          </w:p>
        </w:tc>
        <w:tc>
          <w:tcPr>
            <w:tcW w:w="8328" w:type="dxa"/>
          </w:tcPr>
          <w:p>
            <w:pPr>
              <w:pStyle w:val="TableParagraph"/>
              <w:spacing w:before="25"/>
              <w:ind w:left="57" w:right="406"/>
              <w:rPr>
                <w:sz w:val="18"/>
              </w:rPr>
            </w:pPr>
            <w:r>
              <w:rPr>
                <w:sz w:val="18"/>
              </w:rPr>
              <w:t>Perform flying techniques and procedures to the competency standards specified for the issue of a night VFR rating whilst occupying the instructor seat</w:t>
            </w:r>
          </w:p>
        </w:tc>
        <w:tc>
          <w:tcPr>
            <w:tcW w:w="624" w:type="dxa"/>
          </w:tcPr>
          <w:p>
            <w:pPr>
              <w:pStyle w:val="TableParagraph"/>
              <w:spacing w:before="25"/>
              <w:ind w:right="250"/>
              <w:jc w:val="right"/>
              <w:rPr>
                <w:sz w:val="18"/>
              </w:rPr>
            </w:pPr>
            <w:r>
              <w:rPr>
                <w:w w:val="99"/>
                <w:sz w:val="18"/>
              </w:rPr>
              <w:t>2</w:t>
            </w:r>
          </w:p>
        </w:tc>
        <w:tc>
          <w:tcPr>
            <w:tcW w:w="624" w:type="dxa"/>
          </w:tcPr>
          <w:p>
            <w:pPr>
              <w:pStyle w:val="TableParagraph"/>
              <w:rPr>
                <w:rFonts w:ascii="Times New Roman"/>
                <w:sz w:val="18"/>
              </w:rPr>
            </w:pPr>
          </w:p>
        </w:tc>
      </w:tr>
      <w:tr>
        <w:trPr>
          <w:trHeight w:val="470" w:hRule="atLeast"/>
        </w:trPr>
        <w:tc>
          <w:tcPr>
            <w:tcW w:w="1085" w:type="dxa"/>
          </w:tcPr>
          <w:p>
            <w:pPr>
              <w:pStyle w:val="TableParagraph"/>
              <w:spacing w:before="25"/>
              <w:ind w:left="57"/>
              <w:rPr>
                <w:sz w:val="18"/>
              </w:rPr>
            </w:pPr>
            <w:r>
              <w:rPr>
                <w:sz w:val="18"/>
              </w:rPr>
              <w:t>(c)</w:t>
            </w:r>
          </w:p>
        </w:tc>
        <w:tc>
          <w:tcPr>
            <w:tcW w:w="8328" w:type="dxa"/>
          </w:tcPr>
          <w:p>
            <w:pPr>
              <w:pStyle w:val="TableParagraph"/>
              <w:spacing w:before="25"/>
              <w:ind w:left="57" w:right="296"/>
              <w:rPr>
                <w:sz w:val="18"/>
              </w:rPr>
            </w:pPr>
            <w:r>
              <w:rPr>
                <w:sz w:val="18"/>
              </w:rPr>
              <w:t>maintain situational awareness during all phases of the flight demonstrating the performance criteria specified in unit NTS1;</w:t>
            </w:r>
          </w:p>
        </w:tc>
        <w:tc>
          <w:tcPr>
            <w:tcW w:w="624" w:type="dxa"/>
          </w:tcPr>
          <w:p>
            <w:pPr>
              <w:pStyle w:val="TableParagraph"/>
              <w:rPr>
                <w:rFonts w:ascii="Times New Roman"/>
                <w:sz w:val="18"/>
              </w:rPr>
            </w:pPr>
          </w:p>
        </w:tc>
        <w:tc>
          <w:tcPr>
            <w:tcW w:w="624"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328" w:type="dxa"/>
          </w:tcPr>
          <w:p>
            <w:pPr>
              <w:pStyle w:val="TableParagraph"/>
              <w:spacing w:before="25"/>
              <w:ind w:left="453"/>
              <w:rPr>
                <w:sz w:val="18"/>
              </w:rPr>
            </w:pPr>
            <w:r>
              <w:rPr>
                <w:sz w:val="18"/>
              </w:rPr>
              <w:t>NTS1.1 Maintain effective lookout</w:t>
            </w:r>
          </w:p>
        </w:tc>
        <w:tc>
          <w:tcPr>
            <w:tcW w:w="624" w:type="dxa"/>
          </w:tcPr>
          <w:p>
            <w:pPr>
              <w:pStyle w:val="TableParagraph"/>
              <w:spacing w:before="25"/>
              <w:ind w:right="250"/>
              <w:jc w:val="right"/>
              <w:rPr>
                <w:sz w:val="18"/>
              </w:rPr>
            </w:pPr>
            <w:r>
              <w:rPr>
                <w:w w:val="99"/>
                <w:sz w:val="18"/>
              </w:rPr>
              <w:t>1</w:t>
            </w:r>
          </w:p>
        </w:tc>
        <w:tc>
          <w:tcPr>
            <w:tcW w:w="624"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328" w:type="dxa"/>
          </w:tcPr>
          <w:p>
            <w:pPr>
              <w:pStyle w:val="TableParagraph"/>
              <w:spacing w:before="27"/>
              <w:ind w:left="453"/>
              <w:rPr>
                <w:sz w:val="18"/>
              </w:rPr>
            </w:pPr>
            <w:r>
              <w:rPr>
                <w:sz w:val="18"/>
              </w:rPr>
              <w:t>NTS1.2 Maintain situational awareness</w:t>
            </w:r>
          </w:p>
        </w:tc>
        <w:tc>
          <w:tcPr>
            <w:tcW w:w="624" w:type="dxa"/>
          </w:tcPr>
          <w:p>
            <w:pPr>
              <w:pStyle w:val="TableParagraph"/>
              <w:spacing w:before="27"/>
              <w:ind w:right="250"/>
              <w:jc w:val="right"/>
              <w:rPr>
                <w:sz w:val="18"/>
              </w:rPr>
            </w:pPr>
            <w:r>
              <w:rPr>
                <w:w w:val="99"/>
                <w:sz w:val="18"/>
              </w:rPr>
              <w:t>1</w:t>
            </w:r>
          </w:p>
        </w:tc>
        <w:tc>
          <w:tcPr>
            <w:tcW w:w="624"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328" w:type="dxa"/>
          </w:tcPr>
          <w:p>
            <w:pPr>
              <w:pStyle w:val="TableParagraph"/>
              <w:spacing w:before="27"/>
              <w:ind w:left="453"/>
              <w:rPr>
                <w:sz w:val="18"/>
              </w:rPr>
            </w:pPr>
            <w:r>
              <w:rPr>
                <w:sz w:val="18"/>
              </w:rPr>
              <w:t>NTS1.3 Assess situations and make decisions</w:t>
            </w:r>
          </w:p>
        </w:tc>
        <w:tc>
          <w:tcPr>
            <w:tcW w:w="624" w:type="dxa"/>
          </w:tcPr>
          <w:p>
            <w:pPr>
              <w:pStyle w:val="TableParagraph"/>
              <w:spacing w:before="27"/>
              <w:ind w:right="250"/>
              <w:jc w:val="right"/>
              <w:rPr>
                <w:sz w:val="18"/>
              </w:rPr>
            </w:pPr>
            <w:r>
              <w:rPr>
                <w:w w:val="99"/>
                <w:sz w:val="18"/>
              </w:rPr>
              <w:t>1</w:t>
            </w:r>
          </w:p>
        </w:tc>
        <w:tc>
          <w:tcPr>
            <w:tcW w:w="624"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328" w:type="dxa"/>
          </w:tcPr>
          <w:p>
            <w:pPr>
              <w:pStyle w:val="TableParagraph"/>
              <w:spacing w:before="27"/>
              <w:ind w:left="453"/>
              <w:rPr>
                <w:sz w:val="18"/>
              </w:rPr>
            </w:pPr>
            <w:r>
              <w:rPr>
                <w:sz w:val="18"/>
              </w:rPr>
              <w:t>NTS1.4 Set priorities and manage tasks</w:t>
            </w:r>
          </w:p>
        </w:tc>
        <w:tc>
          <w:tcPr>
            <w:tcW w:w="624" w:type="dxa"/>
          </w:tcPr>
          <w:p>
            <w:pPr>
              <w:pStyle w:val="TableParagraph"/>
              <w:spacing w:before="27"/>
              <w:ind w:right="250"/>
              <w:jc w:val="right"/>
              <w:rPr>
                <w:sz w:val="18"/>
              </w:rPr>
            </w:pPr>
            <w:r>
              <w:rPr>
                <w:w w:val="99"/>
                <w:sz w:val="18"/>
              </w:rPr>
              <w:t>1</w:t>
            </w:r>
          </w:p>
        </w:tc>
        <w:tc>
          <w:tcPr>
            <w:tcW w:w="624" w:type="dxa"/>
          </w:tcPr>
          <w:p>
            <w:pPr>
              <w:pStyle w:val="TableParagraph"/>
              <w:rPr>
                <w:rFonts w:ascii="Times New Roman"/>
                <w:sz w:val="18"/>
              </w:rPr>
            </w:pPr>
          </w:p>
        </w:tc>
      </w:tr>
      <w:tr>
        <w:trPr>
          <w:trHeight w:val="261" w:hRule="atLeast"/>
        </w:trPr>
        <w:tc>
          <w:tcPr>
            <w:tcW w:w="1085" w:type="dxa"/>
          </w:tcPr>
          <w:p>
            <w:pPr>
              <w:pStyle w:val="TableParagraph"/>
              <w:rPr>
                <w:rFonts w:ascii="Times New Roman"/>
                <w:sz w:val="18"/>
              </w:rPr>
            </w:pPr>
          </w:p>
        </w:tc>
        <w:tc>
          <w:tcPr>
            <w:tcW w:w="8328" w:type="dxa"/>
          </w:tcPr>
          <w:p>
            <w:pPr>
              <w:pStyle w:val="TableParagraph"/>
              <w:spacing w:before="25"/>
              <w:ind w:left="453"/>
              <w:rPr>
                <w:sz w:val="18"/>
              </w:rPr>
            </w:pPr>
            <w:r>
              <w:rPr>
                <w:sz w:val="18"/>
              </w:rPr>
              <w:t>NTS1.5 Maintain effective communications and interpersonal relationships</w:t>
            </w:r>
          </w:p>
        </w:tc>
        <w:tc>
          <w:tcPr>
            <w:tcW w:w="624" w:type="dxa"/>
          </w:tcPr>
          <w:p>
            <w:pPr>
              <w:pStyle w:val="TableParagraph"/>
              <w:spacing w:before="25"/>
              <w:ind w:right="250"/>
              <w:jc w:val="right"/>
              <w:rPr>
                <w:sz w:val="18"/>
              </w:rPr>
            </w:pPr>
            <w:r>
              <w:rPr>
                <w:w w:val="99"/>
                <w:sz w:val="18"/>
              </w:rPr>
              <w:t>1</w:t>
            </w:r>
          </w:p>
        </w:tc>
        <w:tc>
          <w:tcPr>
            <w:tcW w:w="624" w:type="dxa"/>
          </w:tcPr>
          <w:p>
            <w:pPr>
              <w:pStyle w:val="TableParagraph"/>
              <w:rPr>
                <w:rFonts w:ascii="Times New Roman"/>
                <w:sz w:val="18"/>
              </w:rPr>
            </w:pPr>
          </w:p>
        </w:tc>
      </w:tr>
      <w:tr>
        <w:trPr>
          <w:trHeight w:val="470" w:hRule="atLeast"/>
        </w:trPr>
        <w:tc>
          <w:tcPr>
            <w:tcW w:w="1085" w:type="dxa"/>
          </w:tcPr>
          <w:p>
            <w:pPr>
              <w:pStyle w:val="TableParagraph"/>
              <w:spacing w:before="27"/>
              <w:ind w:left="57"/>
              <w:rPr>
                <w:sz w:val="18"/>
              </w:rPr>
            </w:pPr>
            <w:r>
              <w:rPr>
                <w:sz w:val="18"/>
              </w:rPr>
              <w:t>(d)</w:t>
            </w:r>
          </w:p>
        </w:tc>
        <w:tc>
          <w:tcPr>
            <w:tcW w:w="8328" w:type="dxa"/>
          </w:tcPr>
          <w:p>
            <w:pPr>
              <w:pStyle w:val="TableParagraph"/>
              <w:spacing w:before="27"/>
              <w:ind w:left="57" w:right="176"/>
              <w:rPr>
                <w:sz w:val="18"/>
              </w:rPr>
            </w:pPr>
            <w:r>
              <w:rPr>
                <w:sz w:val="18"/>
              </w:rPr>
              <w:t>manage threats and errors during all phases of flight demonstrating the performance criteria specified in unit NTS2.</w:t>
            </w:r>
          </w:p>
        </w:tc>
        <w:tc>
          <w:tcPr>
            <w:tcW w:w="624" w:type="dxa"/>
          </w:tcPr>
          <w:p>
            <w:pPr>
              <w:pStyle w:val="TableParagraph"/>
              <w:rPr>
                <w:rFonts w:ascii="Times New Roman"/>
                <w:sz w:val="18"/>
              </w:rPr>
            </w:pPr>
          </w:p>
        </w:tc>
        <w:tc>
          <w:tcPr>
            <w:tcW w:w="624"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328" w:type="dxa"/>
          </w:tcPr>
          <w:p>
            <w:pPr>
              <w:pStyle w:val="TableParagraph"/>
              <w:spacing w:before="27"/>
              <w:ind w:left="453"/>
              <w:rPr>
                <w:sz w:val="18"/>
              </w:rPr>
            </w:pPr>
            <w:r>
              <w:rPr>
                <w:sz w:val="18"/>
              </w:rPr>
              <w:t>NTS2.1 Recognise and manage threats</w:t>
            </w:r>
          </w:p>
        </w:tc>
        <w:tc>
          <w:tcPr>
            <w:tcW w:w="624" w:type="dxa"/>
          </w:tcPr>
          <w:p>
            <w:pPr>
              <w:pStyle w:val="TableParagraph"/>
              <w:spacing w:before="27"/>
              <w:ind w:right="250"/>
              <w:jc w:val="right"/>
              <w:rPr>
                <w:sz w:val="18"/>
              </w:rPr>
            </w:pPr>
            <w:r>
              <w:rPr>
                <w:w w:val="99"/>
                <w:sz w:val="18"/>
              </w:rPr>
              <w:t>1</w:t>
            </w:r>
          </w:p>
        </w:tc>
        <w:tc>
          <w:tcPr>
            <w:tcW w:w="624"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328" w:type="dxa"/>
          </w:tcPr>
          <w:p>
            <w:pPr>
              <w:pStyle w:val="TableParagraph"/>
              <w:spacing w:before="27"/>
              <w:ind w:left="453"/>
              <w:rPr>
                <w:sz w:val="18"/>
              </w:rPr>
            </w:pPr>
            <w:r>
              <w:rPr>
                <w:sz w:val="18"/>
              </w:rPr>
              <w:t>NTS2.2 Recognise and manage errors</w:t>
            </w:r>
          </w:p>
        </w:tc>
        <w:tc>
          <w:tcPr>
            <w:tcW w:w="624" w:type="dxa"/>
          </w:tcPr>
          <w:p>
            <w:pPr>
              <w:pStyle w:val="TableParagraph"/>
              <w:spacing w:before="27"/>
              <w:ind w:right="250"/>
              <w:jc w:val="right"/>
              <w:rPr>
                <w:sz w:val="18"/>
              </w:rPr>
            </w:pPr>
            <w:r>
              <w:rPr>
                <w:w w:val="99"/>
                <w:sz w:val="18"/>
              </w:rPr>
              <w:t>1</w:t>
            </w:r>
          </w:p>
        </w:tc>
        <w:tc>
          <w:tcPr>
            <w:tcW w:w="624" w:type="dxa"/>
          </w:tcPr>
          <w:p>
            <w:pPr>
              <w:pStyle w:val="TableParagraph"/>
              <w:rPr>
                <w:rFonts w:ascii="Times New Roman"/>
                <w:sz w:val="18"/>
              </w:rPr>
            </w:pPr>
          </w:p>
        </w:tc>
      </w:tr>
      <w:tr>
        <w:trPr>
          <w:trHeight w:val="263" w:hRule="atLeast"/>
        </w:trPr>
        <w:tc>
          <w:tcPr>
            <w:tcW w:w="1085" w:type="dxa"/>
          </w:tcPr>
          <w:p>
            <w:pPr>
              <w:pStyle w:val="TableParagraph"/>
              <w:rPr>
                <w:rFonts w:ascii="Times New Roman"/>
                <w:sz w:val="18"/>
              </w:rPr>
            </w:pPr>
          </w:p>
        </w:tc>
        <w:tc>
          <w:tcPr>
            <w:tcW w:w="8328" w:type="dxa"/>
          </w:tcPr>
          <w:p>
            <w:pPr>
              <w:pStyle w:val="TableParagraph"/>
              <w:spacing w:before="27"/>
              <w:ind w:left="453"/>
              <w:rPr>
                <w:sz w:val="18"/>
              </w:rPr>
            </w:pPr>
            <w:r>
              <w:rPr>
                <w:sz w:val="18"/>
              </w:rPr>
              <w:t>NTS2.3 Recognise and manage undesired aircraft state</w:t>
            </w:r>
          </w:p>
        </w:tc>
        <w:tc>
          <w:tcPr>
            <w:tcW w:w="624" w:type="dxa"/>
          </w:tcPr>
          <w:p>
            <w:pPr>
              <w:pStyle w:val="TableParagraph"/>
              <w:spacing w:before="27"/>
              <w:ind w:right="250"/>
              <w:jc w:val="right"/>
              <w:rPr>
                <w:sz w:val="18"/>
              </w:rPr>
            </w:pPr>
            <w:r>
              <w:rPr>
                <w:w w:val="99"/>
                <w:sz w:val="18"/>
              </w:rPr>
              <w:t>1</w:t>
            </w:r>
          </w:p>
        </w:tc>
        <w:tc>
          <w:tcPr>
            <w:tcW w:w="624" w:type="dxa"/>
          </w:tcPr>
          <w:p>
            <w:pPr>
              <w:pStyle w:val="TableParagraph"/>
              <w:rPr>
                <w:rFonts w:ascii="Times New Roman"/>
                <w:sz w:val="18"/>
              </w:rPr>
            </w:pPr>
          </w:p>
        </w:tc>
      </w:tr>
    </w:tbl>
    <w:p>
      <w:pPr>
        <w:pStyle w:val="BodyText"/>
        <w:rPr>
          <w:b/>
          <w:sz w:val="8"/>
        </w:rPr>
      </w:pPr>
      <w:r>
        <w:rPr/>
        <w:pict>
          <v:group style="position:absolute;margin-left:30.8395pt;margin-top:6.8395pt;width:533.550pt;height:189.25pt;mso-position-horizontal-relative:page;mso-position-vertical-relative:paragraph;z-index:-251657216;mso-wrap-distance-left:0;mso-wrap-distance-right:0" coordorigin="617,137" coordsize="10671,3785">
            <v:rect style="position:absolute;left:628;top:232;width:10649;height:579" filled="true" fillcolor="#c0c0c0" stroked="false">
              <v:fill type="solid"/>
            </v:rect>
            <v:rect style="position:absolute;left:679;top:232;width:10548;height:291" filled="true" fillcolor="#c0c0c0" stroked="false">
              <v:fill type="solid"/>
            </v:rect>
            <v:rect style="position:absolute;left:679;top:523;width:10548;height:288" filled="true" fillcolor="#c0c0c0" stroked="false">
              <v:fill type="solid"/>
            </v:rect>
            <v:rect style="position:absolute;left:626;top:146;width:10652;height:87" filled="true" fillcolor="#c0c0c0" stroked="false">
              <v:fill type="solid"/>
            </v:rect>
            <v:rect style="position:absolute;left:621;top:811;width:10661;height:84" filled="true" fillcolor="#c0c0c0" stroked="false">
              <v:fill type="solid"/>
            </v:rect>
            <v:line style="position:absolute" from="626,902" to="11278,902" stroked="true" strokeweight=".48pt" strokecolor="#000000">
              <v:stroke dashstyle="solid"/>
            </v:line>
            <v:line style="position:absolute" from="622,137" to="622,3922" stroked="true" strokeweight=".48pt" strokecolor="#000000">
              <v:stroke dashstyle="solid"/>
            </v:line>
            <v:line style="position:absolute" from="626,3917" to="11278,3917" stroked="true" strokeweight=".481pt" strokecolor="#000000">
              <v:stroke dashstyle="solid"/>
            </v:line>
            <v:line style="position:absolute" from="11282,137" to="11282,3922" stroked="true" strokeweight=".481pt" strokecolor="#000000">
              <v:stroke dashstyle="solid"/>
            </v:line>
            <v:shape style="position:absolute;left:621;top:141;width:10661;height:761" type="#_x0000_t202" filled="true" fillcolor="#c0c0c0" stroked="true" strokeweight=".481pt" strokecolor="#000000">
              <v:textbox inset="0,0,0,0">
                <w:txbxContent>
                  <w:p>
                    <w:pPr>
                      <w:spacing w:before="141"/>
                      <w:ind w:left="2968" w:right="562" w:hanging="2388"/>
                      <w:jc w:val="left"/>
                      <w:rPr>
                        <w:b/>
                        <w:sz w:val="20"/>
                      </w:rPr>
                    </w:pPr>
                    <w:r>
                      <w:rPr>
                        <w:b/>
                        <w:sz w:val="20"/>
                      </w:rPr>
                      <w:t>COMMENTS AND OUTCOME (INCLUDING ELEMENTS &amp; PERFORMANCE CRITERIA THAT REQUIRE CONSOLIDATION AND/OR REMEDIAL TRAINING)</w:t>
                    </w:r>
                  </w:p>
                </w:txbxContent>
              </v:textbox>
              <v:fill type="solid"/>
              <v:stroke dashstyle="solid"/>
              <w10:wrap type="none"/>
            </v:shape>
            <w10:wrap type="topAndBottom"/>
          </v:group>
        </w:pict>
      </w:r>
    </w:p>
    <w:p>
      <w:pPr>
        <w:pStyle w:val="BodyText"/>
        <w:spacing w:before="1"/>
        <w:rPr>
          <w:b/>
          <w:sz w:val="9"/>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462" w:hRule="atLeast"/>
        </w:trPr>
        <w:tc>
          <w:tcPr>
            <w:tcW w:w="5330" w:type="dxa"/>
            <w:shd w:val="clear" w:color="auto" w:fill="C0C0C0"/>
          </w:tcPr>
          <w:p>
            <w:pPr>
              <w:pStyle w:val="TableParagraph"/>
              <w:spacing w:before="112"/>
              <w:ind w:left="897"/>
              <w:rPr>
                <w:b/>
                <w:sz w:val="20"/>
              </w:rPr>
            </w:pPr>
            <w:r>
              <w:rPr>
                <w:b/>
                <w:sz w:val="20"/>
              </w:rPr>
              <w:t>INSTRUCTOR’S SIGNATURE &amp; DATE</w:t>
            </w:r>
          </w:p>
        </w:tc>
        <w:tc>
          <w:tcPr>
            <w:tcW w:w="5330" w:type="dxa"/>
            <w:shd w:val="clear" w:color="auto" w:fill="C0C0C0"/>
          </w:tcPr>
          <w:p>
            <w:pPr>
              <w:pStyle w:val="TableParagraph"/>
              <w:spacing w:before="112"/>
              <w:ind w:left="1113"/>
              <w:rPr>
                <w:b/>
                <w:sz w:val="20"/>
              </w:rPr>
            </w:pPr>
            <w:r>
              <w:rPr>
                <w:b/>
                <w:sz w:val="20"/>
              </w:rPr>
              <w:t>TRAINEE’S SIGNATURE &amp; DATE</w:t>
            </w:r>
          </w:p>
        </w:tc>
      </w:tr>
      <w:tr>
        <w:trPr>
          <w:trHeight w:val="1250" w:hRule="atLeast"/>
        </w:trPr>
        <w:tc>
          <w:tcPr>
            <w:tcW w:w="5330" w:type="dxa"/>
          </w:tcPr>
          <w:p>
            <w:pPr>
              <w:pStyle w:val="TableParagraph"/>
              <w:rPr>
                <w:rFonts w:ascii="Times New Roman"/>
                <w:sz w:val="18"/>
              </w:rPr>
            </w:pPr>
          </w:p>
        </w:tc>
        <w:tc>
          <w:tcPr>
            <w:tcW w:w="5330" w:type="dxa"/>
          </w:tcPr>
          <w:p>
            <w:pPr>
              <w:pStyle w:val="TableParagraph"/>
              <w:rPr>
                <w:rFonts w:ascii="Times New Roman"/>
                <w:sz w:val="18"/>
              </w:rPr>
            </w:pPr>
          </w:p>
        </w:tc>
      </w:tr>
    </w:tbl>
    <w:sectPr>
      <w:pgSz w:w="11910" w:h="16840"/>
      <w:pgMar w:header="717" w:footer="740" w:top="142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2028928"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027904"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026880"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025856"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74.760010pt;margin-top:34.863461pt;width:287.6pt;height:27.55pt;mso-position-horizontal-relative:page;mso-position-vertical-relative:page;z-index:-252029952"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21"/>
                  <w:jc w:val="right"/>
                </w:pPr>
                <w:r>
                  <w:rPr/>
                  <w:t>AIRCRAFT HANDLING FROM INSTRUCTOR CONTROL</w:t>
                </w:r>
                <w:r>
                  <w:rPr>
                    <w:spacing w:val="-17"/>
                  </w:rPr>
                  <w:t> </w:t>
                </w:r>
                <w:r>
                  <w:rPr/>
                  <w:t>SEAT</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453" w:hanging="396"/>
        <w:jc w:val="left"/>
      </w:pPr>
      <w:rPr>
        <w:rFonts w:hint="default" w:ascii="Arial" w:hAnsi="Arial" w:eastAsia="Arial" w:cs="Arial"/>
        <w:spacing w:val="-25"/>
        <w:w w:val="99"/>
        <w:sz w:val="18"/>
        <w:szCs w:val="18"/>
        <w:lang w:val="en-au" w:eastAsia="en-au" w:bidi="en-au"/>
      </w:rPr>
    </w:lvl>
    <w:lvl w:ilvl="1">
      <w:start w:val="0"/>
      <w:numFmt w:val="bullet"/>
      <w:lvlText w:val="•"/>
      <w:lvlJc w:val="left"/>
      <w:pPr>
        <w:ind w:left="1370" w:hanging="396"/>
      </w:pPr>
      <w:rPr>
        <w:rFonts w:hint="default"/>
        <w:lang w:val="en-au" w:eastAsia="en-au" w:bidi="en-au"/>
      </w:rPr>
    </w:lvl>
    <w:lvl w:ilvl="2">
      <w:start w:val="0"/>
      <w:numFmt w:val="bullet"/>
      <w:lvlText w:val="•"/>
      <w:lvlJc w:val="left"/>
      <w:pPr>
        <w:ind w:left="2281" w:hanging="396"/>
      </w:pPr>
      <w:rPr>
        <w:rFonts w:hint="default"/>
        <w:lang w:val="en-au" w:eastAsia="en-au" w:bidi="en-au"/>
      </w:rPr>
    </w:lvl>
    <w:lvl w:ilvl="3">
      <w:start w:val="0"/>
      <w:numFmt w:val="bullet"/>
      <w:lvlText w:val="•"/>
      <w:lvlJc w:val="left"/>
      <w:pPr>
        <w:ind w:left="3191" w:hanging="396"/>
      </w:pPr>
      <w:rPr>
        <w:rFonts w:hint="default"/>
        <w:lang w:val="en-au" w:eastAsia="en-au" w:bidi="en-au"/>
      </w:rPr>
    </w:lvl>
    <w:lvl w:ilvl="4">
      <w:start w:val="0"/>
      <w:numFmt w:val="bullet"/>
      <w:lvlText w:val="•"/>
      <w:lvlJc w:val="left"/>
      <w:pPr>
        <w:ind w:left="4102" w:hanging="396"/>
      </w:pPr>
      <w:rPr>
        <w:rFonts w:hint="default"/>
        <w:lang w:val="en-au" w:eastAsia="en-au" w:bidi="en-au"/>
      </w:rPr>
    </w:lvl>
    <w:lvl w:ilvl="5">
      <w:start w:val="0"/>
      <w:numFmt w:val="bullet"/>
      <w:lvlText w:val="•"/>
      <w:lvlJc w:val="left"/>
      <w:pPr>
        <w:ind w:left="5013" w:hanging="396"/>
      </w:pPr>
      <w:rPr>
        <w:rFonts w:hint="default"/>
        <w:lang w:val="en-au" w:eastAsia="en-au" w:bidi="en-au"/>
      </w:rPr>
    </w:lvl>
    <w:lvl w:ilvl="6">
      <w:start w:val="0"/>
      <w:numFmt w:val="bullet"/>
      <w:lvlText w:val="•"/>
      <w:lvlJc w:val="left"/>
      <w:pPr>
        <w:ind w:left="5923" w:hanging="396"/>
      </w:pPr>
      <w:rPr>
        <w:rFonts w:hint="default"/>
        <w:lang w:val="en-au" w:eastAsia="en-au" w:bidi="en-au"/>
      </w:rPr>
    </w:lvl>
    <w:lvl w:ilvl="7">
      <w:start w:val="0"/>
      <w:numFmt w:val="bullet"/>
      <w:lvlText w:val="•"/>
      <w:lvlJc w:val="left"/>
      <w:pPr>
        <w:ind w:left="6834" w:hanging="396"/>
      </w:pPr>
      <w:rPr>
        <w:rFonts w:hint="default"/>
        <w:lang w:val="en-au" w:eastAsia="en-au" w:bidi="en-au"/>
      </w:rPr>
    </w:lvl>
    <w:lvl w:ilvl="8">
      <w:start w:val="0"/>
      <w:numFmt w:val="bullet"/>
      <w:lvlText w:val="•"/>
      <w:lvlJc w:val="left"/>
      <w:pPr>
        <w:ind w:left="7744" w:hanging="396"/>
      </w:pPr>
      <w:rPr>
        <w:rFonts w:hint="default"/>
        <w:lang w:val="en-au" w:eastAsia="en-au" w:bidi="en-au"/>
      </w:rPr>
    </w:lvl>
  </w:abstractNum>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Aircraft handling from instructor control seat</dc:title>
  <dcterms:created xsi:type="dcterms:W3CDTF">2021-11-10T01:06:18Z</dcterms:created>
  <dcterms:modified xsi:type="dcterms:W3CDTF">2021-11-10T01:06:18Z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