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TE3-20 &amp; TE3-21: EFFECT OF CONTROLS – LONG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984"/>
        <w:gridCol w:w="299"/>
        <w:gridCol w:w="1684"/>
        <w:gridCol w:w="2126"/>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4110" w:type="dxa"/>
            <w:gridSpan w:val="3"/>
          </w:tcPr>
          <w:p>
            <w:pPr>
              <w:pStyle w:val="TableParagraph"/>
              <w:rPr>
                <w:rFonts w:ascii="Times New Roman"/>
                <w:sz w:val="18"/>
              </w:rPr>
            </w:pPr>
          </w:p>
        </w:tc>
        <w:tc>
          <w:tcPr>
            <w:tcW w:w="1983" w:type="dxa"/>
            <w:gridSpan w:val="2"/>
            <w:shd w:val="clear" w:color="auto" w:fill="F2F2F2"/>
          </w:tcPr>
          <w:p>
            <w:pPr>
              <w:pStyle w:val="TableParagraph"/>
              <w:spacing w:before="86"/>
              <w:ind w:left="56"/>
              <w:rPr>
                <w:b/>
                <w:sz w:val="20"/>
              </w:rPr>
            </w:pPr>
            <w:r>
              <w:rPr>
                <w:b/>
                <w:sz w:val="20"/>
              </w:rPr>
              <w:t>TRAINEE ARN:</w:t>
            </w:r>
          </w:p>
        </w:tc>
        <w:tc>
          <w:tcPr>
            <w:tcW w:w="2126"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984" w:type="dxa"/>
            <w:tcBorders>
              <w:bottom w:val="single" w:sz="8" w:space="0" w:color="000000"/>
            </w:tcBorders>
            <w:shd w:val="clear" w:color="auto" w:fill="F2F2F2"/>
          </w:tcPr>
          <w:p>
            <w:pPr>
              <w:pStyle w:val="TableParagraph"/>
              <w:spacing w:before="52"/>
              <w:ind w:left="55" w:right="388"/>
              <w:rPr>
                <w:b/>
                <w:sz w:val="20"/>
              </w:rPr>
            </w:pPr>
            <w:r>
              <w:rPr>
                <w:b/>
                <w:sz w:val="20"/>
              </w:rPr>
              <w:t>TRAINEE READ BACK DATE(S):</w:t>
            </w:r>
          </w:p>
        </w:tc>
        <w:tc>
          <w:tcPr>
            <w:tcW w:w="1983" w:type="dxa"/>
            <w:gridSpan w:val="2"/>
            <w:tcBorders>
              <w:bottom w:val="single" w:sz="8" w:space="0" w:color="000000"/>
            </w:tcBorders>
          </w:tcPr>
          <w:p>
            <w:pPr>
              <w:pStyle w:val="TableParagraph"/>
              <w:rPr>
                <w:rFonts w:ascii="Times New Roman"/>
                <w:sz w:val="18"/>
              </w:rPr>
            </w:pPr>
          </w:p>
        </w:tc>
        <w:tc>
          <w:tcPr>
            <w:tcW w:w="2126" w:type="dxa"/>
            <w:tcBorders>
              <w:bottom w:val="single" w:sz="8" w:space="0" w:color="000000"/>
            </w:tcBorders>
          </w:tcPr>
          <w:p>
            <w:pPr>
              <w:pStyle w:val="TableParagraph"/>
              <w:rPr>
                <w:rFonts w:ascii="Times New Roman"/>
                <w:sz w:val="18"/>
              </w:rPr>
            </w:pPr>
          </w:p>
        </w:tc>
      </w:tr>
      <w:tr>
        <w:trPr>
          <w:trHeight w:val="284" w:hRule="atLeast"/>
        </w:trPr>
        <w:tc>
          <w:tcPr>
            <w:tcW w:w="10912" w:type="dxa"/>
            <w:gridSpan w:val="7"/>
            <w:tcBorders>
              <w:top w:val="single" w:sz="8" w:space="0" w:color="000000"/>
            </w:tcBorders>
            <w:shd w:val="clear" w:color="auto" w:fill="C0C0C0"/>
          </w:tcPr>
          <w:p>
            <w:pPr>
              <w:pStyle w:val="TableParagraph"/>
              <w:spacing w:before="23"/>
              <w:ind w:left="4360" w:right="4356"/>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7" w:type="dxa"/>
            <w:gridSpan w:val="3"/>
          </w:tcPr>
          <w:p>
            <w:pPr>
              <w:pStyle w:val="TableParagraph"/>
              <w:spacing w:before="23"/>
              <w:ind w:left="9"/>
              <w:jc w:val="center"/>
              <w:rPr>
                <w:b/>
                <w:sz w:val="20"/>
              </w:rPr>
            </w:pPr>
            <w:r>
              <w:rPr>
                <w:b/>
                <w:w w:val="99"/>
                <w:sz w:val="20"/>
              </w:rPr>
              <w:t>2</w:t>
            </w:r>
          </w:p>
        </w:tc>
        <w:tc>
          <w:tcPr>
            <w:tcW w:w="3810" w:type="dxa"/>
            <w:gridSpan w:val="2"/>
          </w:tcPr>
          <w:p>
            <w:pPr>
              <w:pStyle w:val="TableParagraph"/>
              <w:spacing w:before="23"/>
              <w:ind w:left="10"/>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7" w:type="dxa"/>
            <w:gridSpan w:val="3"/>
          </w:tcPr>
          <w:p>
            <w:pPr>
              <w:pStyle w:val="TableParagraph"/>
              <w:spacing w:before="27"/>
              <w:ind w:left="57" w:right="418"/>
              <w:rPr>
                <w:sz w:val="18"/>
              </w:rPr>
            </w:pPr>
            <w:r>
              <w:rPr>
                <w:sz w:val="18"/>
              </w:rPr>
              <w:t>Is able to achieve competency to the standard required for the grant of the authorisation on the majority of occasions.</w:t>
            </w:r>
          </w:p>
        </w:tc>
        <w:tc>
          <w:tcPr>
            <w:tcW w:w="3810" w:type="dxa"/>
            <w:gridSpan w:val="2"/>
          </w:tcPr>
          <w:p>
            <w:pPr>
              <w:pStyle w:val="TableParagraph"/>
              <w:spacing w:before="27"/>
              <w:ind w:left="57" w:right="410"/>
              <w:rPr>
                <w:sz w:val="18"/>
              </w:rPr>
            </w:pPr>
            <w:r>
              <w:rPr>
                <w:sz w:val="18"/>
              </w:rPr>
              <w:t>Achieves competency to the standard required for the grant of the authorisation.</w:t>
            </w:r>
          </w:p>
        </w:tc>
      </w:tr>
      <w:tr>
        <w:trPr>
          <w:trHeight w:val="1182" w:hRule="atLeast"/>
        </w:trPr>
        <w:tc>
          <w:tcPr>
            <w:tcW w:w="10912" w:type="dxa"/>
            <w:gridSpan w:val="7"/>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Effect of</w:t>
            </w:r>
            <w:r>
              <w:rPr>
                <w:b/>
                <w:spacing w:val="-10"/>
                <w:sz w:val="18"/>
              </w:rPr>
              <w:t> </w:t>
            </w:r>
            <w:r>
              <w:rPr>
                <w:b/>
                <w:sz w:val="18"/>
              </w:rPr>
              <w:t>Controls</w:t>
            </w:r>
          </w:p>
          <w:p>
            <w:pPr>
              <w:pStyle w:val="TableParagraph"/>
              <w:numPr>
                <w:ilvl w:val="0"/>
                <w:numId w:val="1"/>
              </w:numPr>
              <w:tabs>
                <w:tab w:pos="774" w:val="left" w:leader="none"/>
                <w:tab w:pos="775" w:val="left" w:leader="none"/>
              </w:tabs>
              <w:spacing w:line="240" w:lineRule="auto" w:before="0" w:after="0"/>
              <w:ind w:left="775" w:right="0" w:hanging="360"/>
              <w:jc w:val="left"/>
              <w:rPr>
                <w:rFonts w:ascii="Symbol" w:hAnsi="Symbol"/>
                <w:b/>
                <w:sz w:val="18"/>
              </w:rPr>
            </w:pPr>
            <w:r>
              <w:rPr>
                <w:sz w:val="18"/>
              </w:rPr>
              <w:t>Read back of long brief for </w:t>
            </w:r>
            <w:r>
              <w:rPr>
                <w:b/>
                <w:sz w:val="18"/>
              </w:rPr>
              <w:t>Effect of</w:t>
            </w:r>
            <w:r>
              <w:rPr>
                <w:b/>
                <w:spacing w:val="-5"/>
                <w:sz w:val="18"/>
              </w:rPr>
              <w:t> </w:t>
            </w:r>
            <w:r>
              <w:rPr>
                <w:b/>
                <w:sz w:val="18"/>
              </w:rPr>
              <w:t>Controls</w:t>
            </w:r>
          </w:p>
          <w:p>
            <w:pPr>
              <w:pStyle w:val="TableParagraph"/>
              <w:numPr>
                <w:ilvl w:val="0"/>
                <w:numId w:val="1"/>
              </w:numPr>
              <w:tabs>
                <w:tab w:pos="774" w:val="left" w:leader="none"/>
                <w:tab w:pos="775" w:val="left" w:leader="none"/>
              </w:tabs>
              <w:spacing w:line="219" w:lineRule="exact" w:before="3" w:after="0"/>
              <w:ind w:left="775" w:right="0" w:hanging="360"/>
              <w:jc w:val="left"/>
              <w:rPr>
                <w:rFonts w:ascii="Symbol" w:hAnsi="Symbol"/>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43"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1955" w:hRule="atLeast"/>
        </w:trPr>
        <w:tc>
          <w:tcPr>
            <w:tcW w:w="10912" w:type="dxa"/>
            <w:gridSpan w:val="7"/>
          </w:tcPr>
          <w:p>
            <w:pPr>
              <w:pStyle w:val="TableParagraph"/>
              <w:spacing w:before="20"/>
              <w:ind w:left="138"/>
              <w:rPr>
                <w:b/>
                <w:sz w:val="18"/>
              </w:rPr>
            </w:pPr>
            <w:r>
              <w:rPr>
                <w:b/>
                <w:sz w:val="18"/>
              </w:rPr>
              <w:t>Training Notes</w:t>
            </w:r>
          </w:p>
          <w:p>
            <w:pPr>
              <w:pStyle w:val="TableParagraph"/>
              <w:spacing w:before="7"/>
              <w:ind w:left="196" w:right="510"/>
              <w:rPr>
                <w:sz w:val="18"/>
              </w:rPr>
            </w:pPr>
            <w:r>
              <w:rPr>
                <w:sz w:val="18"/>
              </w:rPr>
              <w:t>The instructor should clearly demonstrate the requirement for clear and precise language. Remind the trainee instructor that this would be the student pilot’s first lesson.</w:t>
            </w:r>
          </w:p>
          <w:p>
            <w:pPr>
              <w:pStyle w:val="TableParagraph"/>
              <w:spacing w:line="206" w:lineRule="exact"/>
              <w:ind w:left="196"/>
              <w:rPr>
                <w:sz w:val="18"/>
              </w:rPr>
            </w:pPr>
            <w:r>
              <w:rPr>
                <w:sz w:val="18"/>
              </w:rPr>
              <w:t>The long briefing should address</w:t>
            </w:r>
          </w:p>
          <w:p>
            <w:pPr>
              <w:pStyle w:val="TableParagraph"/>
              <w:numPr>
                <w:ilvl w:val="0"/>
                <w:numId w:val="2"/>
              </w:numPr>
              <w:tabs>
                <w:tab w:pos="774" w:val="left" w:leader="none"/>
                <w:tab w:pos="775" w:val="left" w:leader="none"/>
              </w:tabs>
              <w:spacing w:line="207" w:lineRule="exact" w:before="0" w:after="0"/>
              <w:ind w:left="774" w:right="0" w:hanging="361"/>
              <w:jc w:val="left"/>
              <w:rPr>
                <w:sz w:val="18"/>
              </w:rPr>
            </w:pPr>
            <w:r>
              <w:rPr>
                <w:sz w:val="18"/>
              </w:rPr>
              <w:t>Planes of movement: pitch, roll &amp;</w:t>
            </w:r>
            <w:r>
              <w:rPr>
                <w:spacing w:val="-3"/>
                <w:sz w:val="18"/>
              </w:rPr>
              <w:t> </w:t>
            </w:r>
            <w:r>
              <w:rPr>
                <w:sz w:val="18"/>
              </w:rPr>
              <w:t>yaw</w:t>
            </w:r>
          </w:p>
          <w:p>
            <w:pPr>
              <w:pStyle w:val="TableParagraph"/>
              <w:numPr>
                <w:ilvl w:val="0"/>
                <w:numId w:val="2"/>
              </w:numPr>
              <w:tabs>
                <w:tab w:pos="774" w:val="left" w:leader="none"/>
                <w:tab w:pos="775" w:val="left" w:leader="none"/>
              </w:tabs>
              <w:spacing w:line="207" w:lineRule="exact" w:before="2" w:after="0"/>
              <w:ind w:left="775" w:right="0" w:hanging="360"/>
              <w:jc w:val="left"/>
              <w:rPr>
                <w:sz w:val="18"/>
              </w:rPr>
            </w:pPr>
            <w:r>
              <w:rPr>
                <w:sz w:val="18"/>
              </w:rPr>
              <w:t>Primary effect of</w:t>
            </w:r>
            <w:r>
              <w:rPr>
                <w:spacing w:val="-6"/>
                <w:sz w:val="18"/>
              </w:rPr>
              <w:t> </w:t>
            </w:r>
            <w:r>
              <w:rPr>
                <w:sz w:val="18"/>
              </w:rPr>
              <w:t>controls</w:t>
            </w:r>
          </w:p>
          <w:p>
            <w:pPr>
              <w:pStyle w:val="TableParagraph"/>
              <w:numPr>
                <w:ilvl w:val="0"/>
                <w:numId w:val="2"/>
              </w:numPr>
              <w:tabs>
                <w:tab w:pos="774" w:val="left" w:leader="none"/>
                <w:tab w:pos="775" w:val="left" w:leader="none"/>
              </w:tabs>
              <w:spacing w:line="207" w:lineRule="exact" w:before="0" w:after="0"/>
              <w:ind w:left="775" w:right="0" w:hanging="360"/>
              <w:jc w:val="left"/>
              <w:rPr>
                <w:sz w:val="18"/>
              </w:rPr>
            </w:pPr>
            <w:r>
              <w:rPr>
                <w:sz w:val="18"/>
              </w:rPr>
              <w:t>Secondary effect of</w:t>
            </w:r>
            <w:r>
              <w:rPr>
                <w:spacing w:val="-4"/>
                <w:sz w:val="18"/>
              </w:rPr>
              <w:t> </w:t>
            </w:r>
            <w:r>
              <w:rPr>
                <w:sz w:val="18"/>
              </w:rPr>
              <w:t>controls</w:t>
            </w:r>
          </w:p>
          <w:p>
            <w:pPr>
              <w:pStyle w:val="TableParagraph"/>
              <w:numPr>
                <w:ilvl w:val="0"/>
                <w:numId w:val="2"/>
              </w:numPr>
              <w:tabs>
                <w:tab w:pos="775" w:val="left" w:leader="none"/>
              </w:tabs>
              <w:spacing w:line="228" w:lineRule="exact" w:before="0" w:after="0"/>
              <w:ind w:left="775" w:right="0" w:hanging="360"/>
              <w:jc w:val="left"/>
              <w:rPr>
                <w:sz w:val="20"/>
              </w:rPr>
            </w:pPr>
            <w:r>
              <w:rPr>
                <w:sz w:val="18"/>
              </w:rPr>
              <w:t>Operation of ancillary</w:t>
            </w:r>
            <w:r>
              <w:rPr>
                <w:spacing w:val="-3"/>
                <w:sz w:val="18"/>
              </w:rPr>
              <w:t> </w:t>
            </w:r>
            <w:r>
              <w:rPr>
                <w:sz w:val="18"/>
              </w:rPr>
              <w:t>controls</w:t>
            </w:r>
          </w:p>
          <w:p>
            <w:pPr>
              <w:pStyle w:val="TableParagraph"/>
              <w:numPr>
                <w:ilvl w:val="0"/>
                <w:numId w:val="2"/>
              </w:numPr>
              <w:tabs>
                <w:tab w:pos="775" w:val="left" w:leader="none"/>
              </w:tabs>
              <w:spacing w:line="228" w:lineRule="exact" w:before="0" w:after="0"/>
              <w:ind w:left="775" w:right="0" w:hanging="360"/>
              <w:jc w:val="left"/>
              <w:rPr>
                <w:sz w:val="20"/>
              </w:rPr>
            </w:pPr>
            <w:r>
              <w:rPr>
                <w:sz w:val="18"/>
              </w:rPr>
              <w:t>Application in</w:t>
            </w:r>
            <w:r>
              <w:rPr>
                <w:spacing w:val="-2"/>
                <w:sz w:val="18"/>
              </w:rPr>
              <w:t> </w:t>
            </w:r>
            <w:r>
              <w:rPr>
                <w:sz w:val="18"/>
              </w:rPr>
              <w:t>flight</w:t>
            </w: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9"/>
        <w:gridCol w:w="566"/>
        <w:gridCol w:w="566"/>
      </w:tblGrid>
      <w:tr>
        <w:trPr>
          <w:trHeight w:val="409" w:hRule="atLeast"/>
        </w:trPr>
        <w:tc>
          <w:tcPr>
            <w:tcW w:w="1106" w:type="dxa"/>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5"/>
              <w:rPr>
                <w:b/>
                <w:sz w:val="18"/>
              </w:rPr>
            </w:pPr>
            <w:r>
              <w:rPr>
                <w:b/>
                <w:sz w:val="18"/>
              </w:rPr>
              <w:t>MOS Reference</w:t>
            </w:r>
          </w:p>
        </w:tc>
        <w:tc>
          <w:tcPr>
            <w:tcW w:w="8649"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1" w:lineRule="exact" w:before="1"/>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7" w:right="96"/>
              <w:rPr>
                <w:b/>
                <w:sz w:val="16"/>
              </w:rPr>
            </w:pPr>
            <w:r>
              <w:rPr>
                <w:b/>
                <w:sz w:val="16"/>
              </w:rPr>
              <w:t>Performance Standard</w:t>
            </w:r>
          </w:p>
        </w:tc>
      </w:tr>
      <w:tr>
        <w:trPr>
          <w:trHeight w:val="832" w:hRule="atLeast"/>
        </w:trPr>
        <w:tc>
          <w:tcPr>
            <w:tcW w:w="1106" w:type="dxa"/>
            <w:vMerge/>
            <w:tcBorders>
              <w:top w:val="nil"/>
            </w:tcBorders>
            <w:shd w:val="clear" w:color="auto" w:fill="F2F2F2"/>
            <w:textDirection w:val="btLr"/>
          </w:tcPr>
          <w:p>
            <w:pPr>
              <w:rPr>
                <w:sz w:val="2"/>
                <w:szCs w:val="2"/>
              </w:rPr>
            </w:pPr>
          </w:p>
        </w:tc>
        <w:tc>
          <w:tcPr>
            <w:tcW w:w="8649"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5"/>
              <w:ind w:left="102"/>
              <w:rPr>
                <w:b/>
                <w:sz w:val="18"/>
              </w:rPr>
            </w:pPr>
            <w:r>
              <w:rPr>
                <w:b/>
                <w:sz w:val="18"/>
              </w:rPr>
              <w:t>Required</w:t>
            </w:r>
          </w:p>
        </w:tc>
        <w:tc>
          <w:tcPr>
            <w:tcW w:w="566" w:type="dxa"/>
            <w:vMerge w:val="restart"/>
            <w:shd w:val="clear" w:color="auto" w:fill="F2F2F2"/>
            <w:textDirection w:val="btLr"/>
          </w:tcPr>
          <w:p>
            <w:pPr>
              <w:pStyle w:val="TableParagraph"/>
              <w:spacing w:before="77"/>
              <w:ind w:left="93"/>
              <w:rPr>
                <w:b/>
                <w:sz w:val="18"/>
              </w:rPr>
            </w:pPr>
            <w:r>
              <w:rPr>
                <w:b/>
                <w:sz w:val="18"/>
              </w:rPr>
              <w:t>Achieved</w:t>
            </w:r>
          </w:p>
        </w:tc>
      </w:tr>
      <w:tr>
        <w:trPr>
          <w:trHeight w:val="145" w:hRule="atLeast"/>
        </w:trPr>
        <w:tc>
          <w:tcPr>
            <w:tcW w:w="1106" w:type="dxa"/>
            <w:vMerge/>
            <w:tcBorders>
              <w:top w:val="nil"/>
            </w:tcBorders>
            <w:shd w:val="clear" w:color="auto" w:fill="F2F2F2"/>
            <w:textDirection w:val="btLr"/>
          </w:tcPr>
          <w:p>
            <w:pPr>
              <w:rPr>
                <w:sz w:val="2"/>
                <w:szCs w:val="2"/>
              </w:rPr>
            </w:pPr>
          </w:p>
        </w:tc>
        <w:tc>
          <w:tcPr>
            <w:tcW w:w="8649"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6" w:type="dxa"/>
            <w:vMerge/>
            <w:tcBorders>
              <w:top w:val="nil"/>
            </w:tcBorders>
            <w:shd w:val="clear" w:color="auto" w:fill="F2F2F2"/>
            <w:textDirection w:val="btLr"/>
          </w:tcPr>
          <w:p>
            <w:pPr>
              <w:rPr>
                <w:sz w:val="2"/>
                <w:szCs w:val="2"/>
              </w:rPr>
            </w:pPr>
          </w:p>
        </w:tc>
      </w:tr>
      <w:tr>
        <w:trPr>
          <w:trHeight w:val="285" w:hRule="atLeast"/>
        </w:trPr>
        <w:tc>
          <w:tcPr>
            <w:tcW w:w="1106" w:type="dxa"/>
          </w:tcPr>
          <w:p>
            <w:pPr>
              <w:pStyle w:val="TableParagraph"/>
              <w:spacing w:before="23"/>
              <w:ind w:right="124"/>
              <w:jc w:val="right"/>
              <w:rPr>
                <w:b/>
                <w:sz w:val="18"/>
              </w:rPr>
            </w:pPr>
            <w:r>
              <w:rPr>
                <w:b/>
                <w:sz w:val="18"/>
              </w:rPr>
              <w:t>FIR-TE3.2</w:t>
            </w:r>
          </w:p>
        </w:tc>
        <w:tc>
          <w:tcPr>
            <w:tcW w:w="8649" w:type="dxa"/>
          </w:tcPr>
          <w:p>
            <w:pPr>
              <w:pStyle w:val="TableParagraph"/>
              <w:spacing w:before="23"/>
              <w:ind w:left="26"/>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9" w:type="dxa"/>
          </w:tcPr>
          <w:p>
            <w:pPr>
              <w:pStyle w:val="TableParagraph"/>
              <w:spacing w:before="27"/>
              <w:ind w:left="26" w:right="4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31"/>
              <w:ind w:left="6"/>
              <w:jc w:val="center"/>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9" w:type="dxa"/>
          </w:tcPr>
          <w:p>
            <w:pPr>
              <w:pStyle w:val="TableParagraph"/>
              <w:spacing w:before="23"/>
              <w:ind w:left="26"/>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31"/>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9" w:type="dxa"/>
          </w:tcPr>
          <w:p>
            <w:pPr>
              <w:pStyle w:val="TableParagraph"/>
              <w:spacing w:before="27"/>
              <w:ind w:left="26"/>
              <w:rPr>
                <w:sz w:val="18"/>
              </w:rPr>
            </w:pPr>
            <w:r>
              <w:rPr>
                <w:sz w:val="18"/>
              </w:rPr>
              <w:t>perform consistent management of lessons safely, efficiently and confidently;</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9" w:type="dxa"/>
          </w:tcPr>
          <w:p>
            <w:pPr>
              <w:pStyle w:val="TableParagraph"/>
              <w:spacing w:before="23"/>
              <w:ind w:left="26"/>
              <w:rPr>
                <w:b/>
                <w:sz w:val="18"/>
              </w:rPr>
            </w:pPr>
            <w:r>
              <w:rPr>
                <w:b/>
                <w:sz w:val="18"/>
              </w:rPr>
              <w:t>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(e)</w:t>
            </w:r>
          </w:p>
        </w:tc>
        <w:tc>
          <w:tcPr>
            <w:tcW w:w="8649" w:type="dxa"/>
          </w:tcPr>
          <w:p>
            <w:pPr>
              <w:pStyle w:val="TableParagraph"/>
              <w:spacing w:before="27"/>
              <w:ind w:left="26" w:right="48"/>
              <w:rPr>
                <w:sz w:val="18"/>
              </w:rPr>
            </w:pPr>
            <w:r>
              <w:rPr>
                <w:sz w:val="18"/>
              </w:rPr>
              <w:t>conduct aeronautical knowledge training demonstrating relevant performance criteria described in elements FIR4.1 and FIR4.2 of unit FIR4 (conduct aeronautical knowledge training and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23"/>
              <w:ind w:left="26"/>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31"/>
              <w:ind w:left="6"/>
              <w:jc w:val="center"/>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31"/>
              <w:ind w:left="6"/>
              <w:jc w:val="center"/>
              <w:rPr>
                <w:sz w:val="18"/>
              </w:rPr>
            </w:pPr>
            <w:r>
              <w:rPr>
                <w:w w:val="99"/>
                <w:sz w:val="18"/>
              </w:rPr>
              <w:t>3</w:t>
            </w:r>
          </w:p>
        </w:tc>
        <w:tc>
          <w:tcPr>
            <w:tcW w:w="566"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31"/>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0"/>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(e) apply threat and error management into each ground lesson;</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31"/>
              <w:ind w:left="6"/>
              <w:jc w:val="center"/>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23"/>
              <w:ind w:left="26"/>
              <w:rPr>
                <w:b/>
                <w:sz w:val="18"/>
              </w:rPr>
            </w:pPr>
            <w:r>
              <w:rPr>
                <w:b/>
                <w:sz w:val="18"/>
              </w:rPr>
              <w:t>FIR4.2 Conduct aeronautical knowledge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0"/>
              <w:rPr>
                <w:sz w:val="18"/>
              </w:rPr>
            </w:pPr>
            <w:r>
              <w:rPr>
                <w:sz w:val="18"/>
              </w:rPr>
              <w:t>(a) establish a learning environment and motivation that suits the trainee's needs</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(b) clearly state the training objectives</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FIR-TE3-20 &amp; TE3-21: EFFECT OF CONTROLS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9"/>
        <w:gridCol w:w="566"/>
        <w:gridCol w:w="566"/>
      </w:tblGrid>
      <w:tr>
        <w:trPr>
          <w:trHeight w:val="410" w:hRule="atLeast"/>
        </w:trPr>
        <w:tc>
          <w:tcPr>
            <w:tcW w:w="1106" w:type="dxa"/>
            <w:vMerge w:val="restart"/>
            <w:shd w:val="clear" w:color="auto" w:fill="F2F2F2"/>
            <w:textDirection w:val="btLr"/>
          </w:tcPr>
          <w:p>
            <w:pPr>
              <w:pStyle w:val="TableParagraph"/>
              <w:rPr>
                <w:rFonts w:ascii="Times New Roman"/>
                <w:sz w:val="20"/>
              </w:rPr>
            </w:pPr>
          </w:p>
          <w:p>
            <w:pPr>
              <w:pStyle w:val="TableParagraph"/>
              <w:spacing w:before="6"/>
              <w:rPr>
                <w:rFonts w:ascii="Times New Roman"/>
                <w:sz w:val="18"/>
              </w:rPr>
            </w:pPr>
          </w:p>
          <w:p>
            <w:pPr>
              <w:pStyle w:val="TableParagraph"/>
              <w:ind w:left="42"/>
              <w:rPr>
                <w:b/>
                <w:sz w:val="18"/>
              </w:rPr>
            </w:pPr>
            <w:r>
              <w:rPr>
                <w:b/>
                <w:sz w:val="18"/>
              </w:rPr>
              <w:t>MOS Reference</w:t>
            </w:r>
          </w:p>
        </w:tc>
        <w:tc>
          <w:tcPr>
            <w:tcW w:w="8649" w:type="dxa"/>
            <w:vMerge w:val="restart"/>
            <w:tcBorders>
              <w:bottom w:val="nil"/>
            </w:tcBorders>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1" w:lineRule="exact"/>
              <w:ind w:left="26"/>
              <w:rPr>
                <w:i/>
                <w:sz w:val="20"/>
              </w:rPr>
            </w:pPr>
            <w:r>
              <w:rPr>
                <w:b/>
                <w:sz w:val="18"/>
              </w:rPr>
              <w:t>Lesson Content </w:t>
            </w:r>
            <w:r>
              <w:rPr>
                <w:i/>
                <w:sz w:val="20"/>
              </w:rPr>
              <w:t>(Elements &amp; Performance Criteria)</w:t>
            </w:r>
          </w:p>
        </w:tc>
        <w:tc>
          <w:tcPr>
            <w:tcW w:w="1132" w:type="dxa"/>
            <w:gridSpan w:val="2"/>
            <w:shd w:val="clear" w:color="auto" w:fill="F2F2F2"/>
          </w:tcPr>
          <w:p>
            <w:pPr>
              <w:pStyle w:val="TableParagraph"/>
              <w:spacing w:before="8"/>
              <w:ind w:left="27" w:right="96"/>
              <w:rPr>
                <w:b/>
                <w:sz w:val="16"/>
              </w:rPr>
            </w:pPr>
            <w:r>
              <w:rPr>
                <w:b/>
                <w:sz w:val="16"/>
              </w:rPr>
              <w:t>Performance Standard</w:t>
            </w:r>
          </w:p>
        </w:tc>
      </w:tr>
      <w:tr>
        <w:trPr>
          <w:trHeight w:val="830" w:hRule="atLeast"/>
        </w:trPr>
        <w:tc>
          <w:tcPr>
            <w:tcW w:w="1106" w:type="dxa"/>
            <w:vMerge/>
            <w:tcBorders>
              <w:top w:val="nil"/>
            </w:tcBorders>
            <w:shd w:val="clear" w:color="auto" w:fill="F2F2F2"/>
            <w:textDirection w:val="btLr"/>
          </w:tcPr>
          <w:p>
            <w:pPr>
              <w:rPr>
                <w:sz w:val="2"/>
                <w:szCs w:val="2"/>
              </w:rPr>
            </w:pPr>
          </w:p>
        </w:tc>
        <w:tc>
          <w:tcPr>
            <w:tcW w:w="8649" w:type="dxa"/>
            <w:vMerge/>
            <w:tcBorders>
              <w:top w:val="nil"/>
              <w:bottom w:val="nil"/>
            </w:tcBorders>
            <w:shd w:val="clear" w:color="auto" w:fill="F2F2F2"/>
          </w:tcPr>
          <w:p>
            <w:pPr>
              <w:rPr>
                <w:sz w:val="2"/>
                <w:szCs w:val="2"/>
              </w:rPr>
            </w:pPr>
          </w:p>
        </w:tc>
        <w:tc>
          <w:tcPr>
            <w:tcW w:w="566" w:type="dxa"/>
            <w:vMerge w:val="restart"/>
            <w:shd w:val="clear" w:color="auto" w:fill="F2F2F2"/>
            <w:textDirection w:val="btLr"/>
          </w:tcPr>
          <w:p>
            <w:pPr>
              <w:pStyle w:val="TableParagraph"/>
              <w:spacing w:before="175"/>
              <w:ind w:left="100"/>
              <w:rPr>
                <w:b/>
                <w:sz w:val="18"/>
              </w:rPr>
            </w:pPr>
            <w:r>
              <w:rPr>
                <w:b/>
                <w:sz w:val="18"/>
              </w:rPr>
              <w:t>Required</w:t>
            </w:r>
          </w:p>
        </w:tc>
        <w:tc>
          <w:tcPr>
            <w:tcW w:w="566" w:type="dxa"/>
            <w:vMerge w:val="restart"/>
            <w:shd w:val="clear" w:color="auto" w:fill="F2F2F2"/>
            <w:textDirection w:val="btLr"/>
          </w:tcPr>
          <w:p>
            <w:pPr>
              <w:pStyle w:val="TableParagraph"/>
              <w:spacing w:before="77"/>
              <w:ind w:left="90"/>
              <w:rPr>
                <w:b/>
                <w:sz w:val="18"/>
              </w:rPr>
            </w:pPr>
            <w:r>
              <w:rPr>
                <w:b/>
                <w:sz w:val="18"/>
              </w:rPr>
              <w:t>Achieved</w:t>
            </w:r>
          </w:p>
        </w:tc>
      </w:tr>
      <w:tr>
        <w:trPr>
          <w:trHeight w:val="145" w:hRule="atLeast"/>
        </w:trPr>
        <w:tc>
          <w:tcPr>
            <w:tcW w:w="1106" w:type="dxa"/>
            <w:vMerge/>
            <w:tcBorders>
              <w:top w:val="nil"/>
            </w:tcBorders>
            <w:shd w:val="clear" w:color="auto" w:fill="F2F2F2"/>
            <w:textDirection w:val="btLr"/>
          </w:tcPr>
          <w:p>
            <w:pPr>
              <w:rPr>
                <w:sz w:val="2"/>
                <w:szCs w:val="2"/>
              </w:rPr>
            </w:pPr>
          </w:p>
        </w:tc>
        <w:tc>
          <w:tcPr>
            <w:tcW w:w="8649" w:type="dxa"/>
            <w:tcBorders>
              <w:top w:val="nil"/>
            </w:tcBorders>
            <w:shd w:val="clear" w:color="auto" w:fill="F2F2F2"/>
          </w:tcPr>
          <w:p>
            <w:pPr>
              <w:pStyle w:val="TableParagraph"/>
              <w:rPr>
                <w:rFonts w:ascii="Times New Roman"/>
                <w:sz w:val="8"/>
              </w:rPr>
            </w:pPr>
          </w:p>
        </w:tc>
        <w:tc>
          <w:tcPr>
            <w:tcW w:w="566" w:type="dxa"/>
            <w:vMerge/>
            <w:tcBorders>
              <w:top w:val="nil"/>
            </w:tcBorders>
            <w:shd w:val="clear" w:color="auto" w:fill="F2F2F2"/>
            <w:textDirection w:val="btLr"/>
          </w:tcPr>
          <w:p>
            <w:pPr>
              <w:rPr>
                <w:sz w:val="2"/>
                <w:szCs w:val="2"/>
              </w:rPr>
            </w:pPr>
          </w:p>
        </w:tc>
        <w:tc>
          <w:tcPr>
            <w:tcW w:w="566" w:type="dxa"/>
            <w:vMerge/>
            <w:tcBorders>
              <w:top w:val="nil"/>
            </w:tcBorders>
            <w:shd w:val="clear" w:color="auto" w:fill="F2F2F2"/>
            <w:textDirection w:val="btLr"/>
          </w:tcPr>
          <w:p>
            <w:pPr>
              <w:rPr>
                <w:sz w:val="2"/>
                <w:szCs w:val="2"/>
              </w:rPr>
            </w:pPr>
          </w:p>
        </w:tc>
      </w:tr>
      <w:tr>
        <w:trPr>
          <w:trHeight w:val="470" w:hRule="atLeast"/>
        </w:trPr>
        <w:tc>
          <w:tcPr>
            <w:tcW w:w="1106" w:type="dxa"/>
          </w:tcPr>
          <w:p>
            <w:pPr>
              <w:pStyle w:val="TableParagraph"/>
              <w:rPr>
                <w:rFonts w:ascii="Times New Roman"/>
                <w:sz w:val="18"/>
              </w:rPr>
            </w:pPr>
          </w:p>
        </w:tc>
        <w:tc>
          <w:tcPr>
            <w:tcW w:w="8649"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6" w:type="dxa"/>
            <w:shd w:val="clear" w:color="auto" w:fill="F2F2F2"/>
          </w:tcPr>
          <w:p>
            <w:pPr>
              <w:pStyle w:val="TableParagraph"/>
              <w:spacing w:before="131"/>
              <w:ind w:left="6"/>
              <w:jc w:val="center"/>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(d) present and link new knowledge to previous knowledge;</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0"/>
              <w:rPr>
                <w:sz w:val="18"/>
              </w:rPr>
            </w:pPr>
            <w:r>
              <w:rPr>
                <w:sz w:val="18"/>
              </w:rPr>
              <w:t>(e) use selected training aids to illustrate and enhance explanations</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(f) apply appropriate instructional techniques; instruction is to the point using clear and deliberate speech;</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(g) deliver technical knowledge accurately and clearly to the required standard;</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0"/>
              <w:rPr>
                <w:sz w:val="18"/>
              </w:rPr>
            </w:pPr>
            <w:r>
              <w:rPr>
                <w:sz w:val="18"/>
              </w:rPr>
              <w:t>(h) provide opportunities for trainee participation and practice;</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(i) discuss threat and error management issues and ensure application understood by the trainee;</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(j) confirm training objectives has been achieved by questioning, review and other suitable methods</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0"/>
              <w:rPr>
                <w:sz w:val="18"/>
              </w:rPr>
            </w:pPr>
            <w:r>
              <w:rPr>
                <w:sz w:val="18"/>
              </w:rPr>
              <w:t>(k) provide feedback on trainee performance;</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(l) develop trainee self-assessment skills;</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39"/>
              <w:ind w:left="40"/>
              <w:rPr>
                <w:sz w:val="18"/>
              </w:rPr>
            </w:pPr>
            <w:r>
              <w:rPr>
                <w:sz w:val="18"/>
              </w:rPr>
              <w:t>(m) complete training objectives in the time available;</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37"/>
              <w:ind w:left="40"/>
              <w:rPr>
                <w:sz w:val="18"/>
              </w:rPr>
            </w:pPr>
            <w:r>
              <w:rPr>
                <w:sz w:val="18"/>
              </w:rPr>
              <w:t>(n) ensure training is conducted effectively.</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spacing w:before="23"/>
              <w:ind w:right="124"/>
              <w:jc w:val="right"/>
              <w:rPr>
                <w:b/>
                <w:sz w:val="18"/>
              </w:rPr>
            </w:pPr>
            <w:r>
              <w:rPr>
                <w:b/>
                <w:sz w:val="18"/>
              </w:rPr>
              <w:t>FIR-TE3.5</w:t>
            </w:r>
          </w:p>
        </w:tc>
        <w:tc>
          <w:tcPr>
            <w:tcW w:w="8649" w:type="dxa"/>
          </w:tcPr>
          <w:p>
            <w:pPr>
              <w:pStyle w:val="TableParagraph"/>
              <w:spacing w:before="23"/>
              <w:ind w:left="26"/>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678" w:hRule="atLeast"/>
        </w:trPr>
        <w:tc>
          <w:tcPr>
            <w:tcW w:w="1106" w:type="dxa"/>
          </w:tcPr>
          <w:p>
            <w:pPr>
              <w:pStyle w:val="TableParagraph"/>
              <w:spacing w:before="27"/>
              <w:ind w:right="187"/>
              <w:jc w:val="right"/>
              <w:rPr>
                <w:sz w:val="18"/>
              </w:rPr>
            </w:pPr>
            <w:r>
              <w:rPr>
                <w:sz w:val="18"/>
              </w:rPr>
              <w:t>(f)</w:t>
            </w:r>
          </w:p>
        </w:tc>
        <w:tc>
          <w:tcPr>
            <w:tcW w:w="8649" w:type="dxa"/>
          </w:tcPr>
          <w:p>
            <w:pPr>
              <w:pStyle w:val="TableParagraph"/>
              <w:spacing w:before="27"/>
              <w:ind w:left="26" w:right="60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5"/>
              <w:ind w:left="26"/>
              <w:rPr>
                <w:sz w:val="18"/>
              </w:rPr>
            </w:pPr>
            <w:r>
              <w:rPr>
                <w:sz w:val="18"/>
              </w:rPr>
              <w:t>for aeroplanes</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7"/>
              <w:ind w:left="26"/>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9" w:type="dxa"/>
          </w:tcPr>
          <w:p>
            <w:pPr>
              <w:pStyle w:val="TableParagraph"/>
              <w:spacing w:before="26"/>
              <w:ind w:left="422"/>
              <w:rPr>
                <w:sz w:val="20"/>
              </w:rPr>
            </w:pPr>
            <w:r>
              <w:rPr>
                <w:sz w:val="20"/>
              </w:rPr>
              <w:t>(ii) C1 through C5</w:t>
            </w:r>
          </w:p>
        </w:tc>
        <w:tc>
          <w:tcPr>
            <w:tcW w:w="566" w:type="dxa"/>
            <w:shd w:val="clear" w:color="auto" w:fill="F2F2F2"/>
          </w:tcPr>
          <w:p>
            <w:pPr>
              <w:pStyle w:val="TableParagraph"/>
              <w:spacing w:before="39"/>
              <w:ind w:left="6"/>
              <w:jc w:val="center"/>
              <w:rPr>
                <w:sz w:val="18"/>
              </w:rPr>
            </w:pPr>
            <w:r>
              <w:rPr>
                <w:w w:val="99"/>
                <w:sz w:val="18"/>
              </w:rPr>
              <w:t>3</w:t>
            </w: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5"/>
              <w:ind w:left="26"/>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66"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9" w:type="dxa"/>
          </w:tcPr>
          <w:p>
            <w:pPr>
              <w:pStyle w:val="TableParagraph"/>
              <w:spacing w:before="27"/>
              <w:ind w:left="26"/>
              <w:rPr>
                <w:sz w:val="18"/>
              </w:rPr>
            </w:pPr>
            <w:r>
              <w:rPr>
                <w:sz w:val="18"/>
              </w:rPr>
              <w:t>(vii) H5 underpinning knowledge – primary and further effect of helicopter controls</w:t>
            </w:r>
          </w:p>
        </w:tc>
        <w:tc>
          <w:tcPr>
            <w:tcW w:w="566" w:type="dxa"/>
            <w:shd w:val="clear" w:color="auto" w:fill="F2F2F2"/>
          </w:tcPr>
          <w:p>
            <w:pPr>
              <w:pStyle w:val="TableParagraph"/>
              <w:spacing w:before="37"/>
              <w:ind w:left="6"/>
              <w:jc w:val="center"/>
              <w:rPr>
                <w:sz w:val="18"/>
              </w:rPr>
            </w:pPr>
            <w:r>
              <w:rPr>
                <w:w w:val="99"/>
                <w:sz w:val="18"/>
              </w:rPr>
              <w:t>3</w:t>
            </w:r>
          </w:p>
        </w:tc>
        <w:tc>
          <w:tcPr>
            <w:tcW w:w="566" w:type="dxa"/>
          </w:tcPr>
          <w:p>
            <w:pPr>
              <w:pStyle w:val="TableParagraph"/>
              <w:rPr>
                <w:rFonts w:ascii="Times New Roman"/>
                <w:sz w:val="18"/>
              </w:rPr>
            </w:pPr>
          </w:p>
        </w:tc>
      </w:tr>
      <w:tr>
        <w:trPr>
          <w:trHeight w:val="345" w:hRule="atLeast"/>
        </w:trPr>
        <w:tc>
          <w:tcPr>
            <w:tcW w:w="1106" w:type="dxa"/>
            <w:shd w:val="clear" w:color="auto" w:fill="F2F2F2"/>
          </w:tcPr>
          <w:p>
            <w:pPr>
              <w:pStyle w:val="TableParagraph"/>
              <w:spacing w:before="52"/>
              <w:ind w:right="207"/>
              <w:jc w:val="right"/>
              <w:rPr>
                <w:b/>
                <w:sz w:val="20"/>
              </w:rPr>
            </w:pPr>
            <w:r>
              <w:rPr>
                <w:b/>
                <w:sz w:val="20"/>
              </w:rPr>
              <w:t>MOS Ref</w:t>
            </w:r>
          </w:p>
        </w:tc>
        <w:tc>
          <w:tcPr>
            <w:tcW w:w="9781" w:type="dxa"/>
            <w:gridSpan w:val="3"/>
            <w:shd w:val="clear" w:color="auto" w:fill="F2F2F2"/>
          </w:tcPr>
          <w:p>
            <w:pPr>
              <w:pStyle w:val="TableParagraph"/>
              <w:spacing w:before="52"/>
              <w:ind w:left="84"/>
              <w:rPr>
                <w:b/>
                <w:sz w:val="20"/>
              </w:rPr>
            </w:pPr>
            <w:r>
              <w:rPr>
                <w:b/>
                <w:sz w:val="20"/>
              </w:rPr>
              <w:t>Underpinning knowledge</w:t>
            </w:r>
          </w:p>
        </w:tc>
      </w:tr>
      <w:tr>
        <w:trPr>
          <w:trHeight w:val="321" w:hRule="atLeast"/>
        </w:trPr>
        <w:tc>
          <w:tcPr>
            <w:tcW w:w="1106" w:type="dxa"/>
          </w:tcPr>
          <w:p>
            <w:pPr>
              <w:pStyle w:val="TableParagraph"/>
              <w:spacing w:before="51"/>
              <w:ind w:right="146"/>
              <w:jc w:val="right"/>
              <w:rPr>
                <w:b/>
                <w:sz w:val="18"/>
              </w:rPr>
            </w:pPr>
            <w:r>
              <w:rPr>
                <w:b/>
                <w:sz w:val="18"/>
              </w:rPr>
              <w:t>FIR-TE3</w:t>
            </w:r>
          </w:p>
        </w:tc>
        <w:tc>
          <w:tcPr>
            <w:tcW w:w="9781" w:type="dxa"/>
            <w:gridSpan w:val="3"/>
          </w:tcPr>
          <w:p>
            <w:pPr>
              <w:pStyle w:val="TableParagraph"/>
              <w:spacing w:before="51"/>
              <w:ind w:left="168"/>
              <w:rPr>
                <w:b/>
                <w:sz w:val="18"/>
              </w:rPr>
            </w:pPr>
            <w:r>
              <w:rPr>
                <w:b/>
                <w:sz w:val="18"/>
              </w:rPr>
              <w:t>Grade 3 training endorsement</w:t>
            </w:r>
          </w:p>
        </w:tc>
      </w:tr>
      <w:tr>
        <w:trPr>
          <w:trHeight w:val="753" w:hRule="atLeast"/>
        </w:trPr>
        <w:tc>
          <w:tcPr>
            <w:tcW w:w="1106" w:type="dxa"/>
          </w:tcPr>
          <w:p>
            <w:pPr>
              <w:pStyle w:val="TableParagraph"/>
              <w:rPr>
                <w:rFonts w:ascii="Times New Roman"/>
                <w:sz w:val="18"/>
              </w:rPr>
            </w:pPr>
          </w:p>
        </w:tc>
        <w:tc>
          <w:tcPr>
            <w:tcW w:w="9781" w:type="dxa"/>
            <w:gridSpan w:val="3"/>
          </w:tcPr>
          <w:p>
            <w:pPr>
              <w:pStyle w:val="TableParagraph"/>
              <w:numPr>
                <w:ilvl w:val="0"/>
                <w:numId w:val="3"/>
              </w:numPr>
              <w:tabs>
                <w:tab w:pos="596" w:val="left" w:leader="none"/>
              </w:tabs>
              <w:spacing w:line="240" w:lineRule="auto" w:before="56" w:after="0"/>
              <w:ind w:left="595"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96" w:val="left" w:leader="none"/>
              </w:tabs>
              <w:spacing w:line="235" w:lineRule="auto" w:before="4" w:after="0"/>
              <w:ind w:left="595" w:right="5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563" w:hRule="atLeast"/>
        </w:trPr>
        <w:tc>
          <w:tcPr>
            <w:tcW w:w="10915" w:type="dxa"/>
            <w:gridSpan w:val="2"/>
            <w:tcBorders>
              <w:bottom w:val="single" w:sz="8" w:space="0" w:color="000000"/>
            </w:tcBorders>
          </w:tcPr>
          <w:p>
            <w:pPr>
              <w:pStyle w:val="TableParagraph"/>
              <w:rPr>
                <w:rFonts w:ascii="Times New Roman"/>
                <w:sz w:val="18"/>
              </w:rPr>
            </w:pPr>
          </w:p>
        </w:tc>
      </w:tr>
      <w:tr>
        <w:trPr>
          <w:trHeight w:val="285"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503"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40576"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439552" type="#_x0000_t202" filled="false" stroked="false">
          <v:textbox inset="0,0,0,0">
            <w:txbxContent>
              <w:p>
                <w:pPr>
                  <w:spacing w:before="14"/>
                  <w:ind w:left="20" w:right="0" w:firstLine="0"/>
                  <w:jc w:val="left"/>
                  <w:rPr>
                    <w:sz w:val="18"/>
                  </w:rPr>
                </w:pPr>
                <w:r>
                  <w:rPr>
                    <w:sz w:val="18"/>
                  </w:rPr>
                  <w:t>FIR-TE3-20 &amp; TE3-21</w:t>
                </w:r>
              </w:p>
            </w:txbxContent>
          </v:textbox>
          <w10:wrap type="none"/>
        </v:shape>
      </w:pict>
    </w:r>
    <w:r>
      <w:rPr/>
      <w:pict>
        <v:shape style="position:absolute;margin-left:272.95401pt;margin-top:802.052551pt;width:49.65pt;height:12.1pt;mso-position-horizontal-relative:page;mso-position-vertical-relative:page;z-index:-25243852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43750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95" w:hanging="360"/>
        <w:jc w:val="left"/>
      </w:pPr>
      <w:rPr>
        <w:rFonts w:hint="default"/>
        <w:spacing w:val="-11"/>
        <w:w w:val="99"/>
        <w:lang w:val="en-au" w:eastAsia="en-au" w:bidi="en-au"/>
      </w:rPr>
    </w:lvl>
    <w:lvl w:ilvl="1">
      <w:start w:val="0"/>
      <w:numFmt w:val="bullet"/>
      <w:lvlText w:val="•"/>
      <w:lvlJc w:val="left"/>
      <w:pPr>
        <w:ind w:left="1517" w:hanging="360"/>
      </w:pPr>
      <w:rPr>
        <w:rFonts w:hint="default"/>
        <w:lang w:val="en-au" w:eastAsia="en-au" w:bidi="en-au"/>
      </w:rPr>
    </w:lvl>
    <w:lvl w:ilvl="2">
      <w:start w:val="0"/>
      <w:numFmt w:val="bullet"/>
      <w:lvlText w:val="•"/>
      <w:lvlJc w:val="left"/>
      <w:pPr>
        <w:ind w:left="2434" w:hanging="360"/>
      </w:pPr>
      <w:rPr>
        <w:rFonts w:hint="default"/>
        <w:lang w:val="en-au" w:eastAsia="en-au" w:bidi="en-au"/>
      </w:rPr>
    </w:lvl>
    <w:lvl w:ilvl="3">
      <w:start w:val="0"/>
      <w:numFmt w:val="bullet"/>
      <w:lvlText w:val="•"/>
      <w:lvlJc w:val="left"/>
      <w:pPr>
        <w:ind w:left="3351" w:hanging="360"/>
      </w:pPr>
      <w:rPr>
        <w:rFonts w:hint="default"/>
        <w:lang w:val="en-au" w:eastAsia="en-au" w:bidi="en-au"/>
      </w:rPr>
    </w:lvl>
    <w:lvl w:ilvl="4">
      <w:start w:val="0"/>
      <w:numFmt w:val="bullet"/>
      <w:lvlText w:val="•"/>
      <w:lvlJc w:val="left"/>
      <w:pPr>
        <w:ind w:left="4268" w:hanging="360"/>
      </w:pPr>
      <w:rPr>
        <w:rFonts w:hint="default"/>
        <w:lang w:val="en-au" w:eastAsia="en-au" w:bidi="en-au"/>
      </w:rPr>
    </w:lvl>
    <w:lvl w:ilvl="5">
      <w:start w:val="0"/>
      <w:numFmt w:val="bullet"/>
      <w:lvlText w:val="•"/>
      <w:lvlJc w:val="left"/>
      <w:pPr>
        <w:ind w:left="5185" w:hanging="360"/>
      </w:pPr>
      <w:rPr>
        <w:rFonts w:hint="default"/>
        <w:lang w:val="en-au" w:eastAsia="en-au" w:bidi="en-au"/>
      </w:rPr>
    </w:lvl>
    <w:lvl w:ilvl="6">
      <w:start w:val="0"/>
      <w:numFmt w:val="bullet"/>
      <w:lvlText w:val="•"/>
      <w:lvlJc w:val="left"/>
      <w:pPr>
        <w:ind w:left="6102" w:hanging="360"/>
      </w:pPr>
      <w:rPr>
        <w:rFonts w:hint="default"/>
        <w:lang w:val="en-au" w:eastAsia="en-au" w:bidi="en-au"/>
      </w:rPr>
    </w:lvl>
    <w:lvl w:ilvl="7">
      <w:start w:val="0"/>
      <w:numFmt w:val="bullet"/>
      <w:lvlText w:val="•"/>
      <w:lvlJc w:val="left"/>
      <w:pPr>
        <w:ind w:left="7019" w:hanging="360"/>
      </w:pPr>
      <w:rPr>
        <w:rFonts w:hint="default"/>
        <w:lang w:val="en-au" w:eastAsia="en-au" w:bidi="en-au"/>
      </w:rPr>
    </w:lvl>
    <w:lvl w:ilvl="8">
      <w:start w:val="0"/>
      <w:numFmt w:val="bullet"/>
      <w:lvlText w:val="•"/>
      <w:lvlJc w:val="left"/>
      <w:pPr>
        <w:ind w:left="7936" w:hanging="360"/>
      </w:pPr>
      <w:rPr>
        <w:rFonts w:hint="default"/>
        <w:lang w:val="en-au" w:eastAsia="en-au" w:bidi="en-au"/>
      </w:rPr>
    </w:lvl>
  </w:abstractNum>
  <w:abstractNum w:abstractNumId="1">
    <w:multiLevelType w:val="hybridMultilevel"/>
    <w:lvl w:ilvl="0">
      <w:start w:val="3"/>
      <w:numFmt w:val="decimal"/>
      <w:lvlText w:val="%1."/>
      <w:lvlJc w:val="left"/>
      <w:pPr>
        <w:ind w:left="774" w:hanging="360"/>
        <w:jc w:val="left"/>
      </w:pPr>
      <w:rPr>
        <w:rFonts w:hint="default"/>
        <w:spacing w:val="-3"/>
        <w:w w:val="99"/>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4" w:hanging="360"/>
      </w:pPr>
      <w:rPr>
        <w:rFonts w:hint="default"/>
        <w:lang w:val="en-au" w:eastAsia="en-au" w:bidi="en-au"/>
      </w:rPr>
    </w:lvl>
    <w:lvl w:ilvl="3">
      <w:start w:val="0"/>
      <w:numFmt w:val="bullet"/>
      <w:lvlText w:val="•"/>
      <w:lvlJc w:val="left"/>
      <w:pPr>
        <w:ind w:left="3816" w:hanging="360"/>
      </w:pPr>
      <w:rPr>
        <w:rFonts w:hint="default"/>
        <w:lang w:val="en-au" w:eastAsia="en-au" w:bidi="en-au"/>
      </w:rPr>
    </w:lvl>
    <w:lvl w:ilvl="4">
      <w:start w:val="0"/>
      <w:numFmt w:val="bullet"/>
      <w:lvlText w:val="•"/>
      <w:lvlJc w:val="left"/>
      <w:pPr>
        <w:ind w:left="4828" w:hanging="360"/>
      </w:pPr>
      <w:rPr>
        <w:rFonts w:hint="default"/>
        <w:lang w:val="en-au" w:eastAsia="en-au" w:bidi="en-au"/>
      </w:rPr>
    </w:lvl>
    <w:lvl w:ilvl="5">
      <w:start w:val="0"/>
      <w:numFmt w:val="bullet"/>
      <w:lvlText w:val="•"/>
      <w:lvlJc w:val="left"/>
      <w:pPr>
        <w:ind w:left="5841" w:hanging="360"/>
      </w:pPr>
      <w:rPr>
        <w:rFonts w:hint="default"/>
        <w:lang w:val="en-au" w:eastAsia="en-au" w:bidi="en-au"/>
      </w:rPr>
    </w:lvl>
    <w:lvl w:ilvl="6">
      <w:start w:val="0"/>
      <w:numFmt w:val="bullet"/>
      <w:lvlText w:val="•"/>
      <w:lvlJc w:val="left"/>
      <w:pPr>
        <w:ind w:left="6853" w:hanging="360"/>
      </w:pPr>
      <w:rPr>
        <w:rFonts w:hint="default"/>
        <w:lang w:val="en-au" w:eastAsia="en-au" w:bidi="en-au"/>
      </w:rPr>
    </w:lvl>
    <w:lvl w:ilvl="7">
      <w:start w:val="0"/>
      <w:numFmt w:val="bullet"/>
      <w:lvlText w:val="•"/>
      <w:lvlJc w:val="left"/>
      <w:pPr>
        <w:ind w:left="7865" w:hanging="360"/>
      </w:pPr>
      <w:rPr>
        <w:rFonts w:hint="default"/>
        <w:lang w:val="en-au" w:eastAsia="en-au" w:bidi="en-au"/>
      </w:rPr>
    </w:lvl>
    <w:lvl w:ilvl="8">
      <w:start w:val="0"/>
      <w:numFmt w:val="bullet"/>
      <w:lvlText w:val="•"/>
      <w:lvlJc w:val="left"/>
      <w:pPr>
        <w:ind w:left="8877"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4" w:hanging="360"/>
      </w:pPr>
      <w:rPr>
        <w:rFonts w:hint="default"/>
        <w:lang w:val="en-au" w:eastAsia="en-au" w:bidi="en-au"/>
      </w:rPr>
    </w:lvl>
    <w:lvl w:ilvl="3">
      <w:start w:val="0"/>
      <w:numFmt w:val="bullet"/>
      <w:lvlText w:val="•"/>
      <w:lvlJc w:val="left"/>
      <w:pPr>
        <w:ind w:left="3816" w:hanging="360"/>
      </w:pPr>
      <w:rPr>
        <w:rFonts w:hint="default"/>
        <w:lang w:val="en-au" w:eastAsia="en-au" w:bidi="en-au"/>
      </w:rPr>
    </w:lvl>
    <w:lvl w:ilvl="4">
      <w:start w:val="0"/>
      <w:numFmt w:val="bullet"/>
      <w:lvlText w:val="•"/>
      <w:lvlJc w:val="left"/>
      <w:pPr>
        <w:ind w:left="4828" w:hanging="360"/>
      </w:pPr>
      <w:rPr>
        <w:rFonts w:hint="default"/>
        <w:lang w:val="en-au" w:eastAsia="en-au" w:bidi="en-au"/>
      </w:rPr>
    </w:lvl>
    <w:lvl w:ilvl="5">
      <w:start w:val="0"/>
      <w:numFmt w:val="bullet"/>
      <w:lvlText w:val="•"/>
      <w:lvlJc w:val="left"/>
      <w:pPr>
        <w:ind w:left="5841" w:hanging="360"/>
      </w:pPr>
      <w:rPr>
        <w:rFonts w:hint="default"/>
        <w:lang w:val="en-au" w:eastAsia="en-au" w:bidi="en-au"/>
      </w:rPr>
    </w:lvl>
    <w:lvl w:ilvl="6">
      <w:start w:val="0"/>
      <w:numFmt w:val="bullet"/>
      <w:lvlText w:val="•"/>
      <w:lvlJc w:val="left"/>
      <w:pPr>
        <w:ind w:left="6853" w:hanging="360"/>
      </w:pPr>
      <w:rPr>
        <w:rFonts w:hint="default"/>
        <w:lang w:val="en-au" w:eastAsia="en-au" w:bidi="en-au"/>
      </w:rPr>
    </w:lvl>
    <w:lvl w:ilvl="7">
      <w:start w:val="0"/>
      <w:numFmt w:val="bullet"/>
      <w:lvlText w:val="•"/>
      <w:lvlJc w:val="left"/>
      <w:pPr>
        <w:ind w:left="7865" w:hanging="360"/>
      </w:pPr>
      <w:rPr>
        <w:rFonts w:hint="default"/>
        <w:lang w:val="en-au" w:eastAsia="en-au" w:bidi="en-au"/>
      </w:rPr>
    </w:lvl>
    <w:lvl w:ilvl="8">
      <w:start w:val="0"/>
      <w:numFmt w:val="bullet"/>
      <w:lvlText w:val="•"/>
      <w:lvlJc w:val="left"/>
      <w:pPr>
        <w:ind w:left="887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TE3-20 &amp; TE3-21 - Effect of Controls - long brief lesson plan &amp; training record</dc:title>
  <dcterms:created xsi:type="dcterms:W3CDTF">2021-11-10T00:47:18Z</dcterms:created>
  <dcterms:modified xsi:type="dcterms:W3CDTF">2021-11-10T00:47:18Z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