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10"/>
        </w:rPr>
      </w:pPr>
    </w:p>
    <w:p>
      <w:pPr>
        <w:spacing w:before="92"/>
        <w:ind w:left="179" w:right="0" w:firstLine="0"/>
        <w:jc w:val="left"/>
        <w:rPr>
          <w:b/>
          <w:sz w:val="24"/>
        </w:rPr>
      </w:pPr>
      <w:bookmarkStart w:name="Lesson TE9-14 – Night circuits – pre-fli" w:id="1"/>
      <w:bookmarkEnd w:id="1"/>
      <w:r>
        <w:rPr/>
      </w:r>
      <w:r>
        <w:rPr>
          <w:b/>
          <w:color w:val="1F497D"/>
          <w:sz w:val="24"/>
        </w:rPr>
        <w:t>Lesson TE9-14 – Night circuits – pre-flight brief and flight training</w:t>
      </w:r>
    </w:p>
    <w:p>
      <w:pPr>
        <w:pStyle w:val="BodyText"/>
        <w:spacing w:before="7"/>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6"/>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7"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5"/>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5"/>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5"/>
              <w:ind w:left="57" w:right="181"/>
              <w:rPr>
                <w:sz w:val="18"/>
              </w:rPr>
            </w:pPr>
            <w:r>
              <w:rPr>
                <w:sz w:val="18"/>
              </w:rPr>
              <w:t>Achieves competency to the standard required for the grant of the authorisation.</w:t>
            </w:r>
          </w:p>
        </w:tc>
      </w:tr>
      <w:tr>
        <w:trPr>
          <w:trHeight w:val="1761"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40" w:lineRule="auto" w:before="163" w:after="0"/>
              <w:ind w:left="340" w:right="0" w:hanging="226"/>
              <w:jc w:val="left"/>
              <w:rPr>
                <w:sz w:val="18"/>
              </w:rPr>
            </w:pPr>
            <w:r>
              <w:rPr>
                <w:sz w:val="18"/>
              </w:rPr>
              <w:t>Demonstration of pre-flight brief for night</w:t>
            </w:r>
            <w:r>
              <w:rPr>
                <w:spacing w:val="-7"/>
                <w:sz w:val="18"/>
              </w:rPr>
              <w:t> </w:t>
            </w:r>
            <w:r>
              <w:rPr>
                <w:sz w:val="18"/>
              </w:rPr>
              <w:t>circuits</w:t>
            </w:r>
          </w:p>
          <w:p>
            <w:pPr>
              <w:pStyle w:val="TableParagraph"/>
              <w:numPr>
                <w:ilvl w:val="0"/>
                <w:numId w:val="1"/>
              </w:numPr>
              <w:tabs>
                <w:tab w:pos="341" w:val="left" w:leader="none"/>
              </w:tabs>
              <w:spacing w:line="219" w:lineRule="exact" w:before="1" w:after="0"/>
              <w:ind w:left="340" w:right="0" w:hanging="227"/>
              <w:jc w:val="left"/>
              <w:rPr>
                <w:sz w:val="18"/>
              </w:rPr>
            </w:pPr>
            <w:r>
              <w:rPr>
                <w:sz w:val="18"/>
              </w:rPr>
              <w:t>Demonstration of in-flight lesson for night</w:t>
            </w:r>
            <w:r>
              <w:rPr>
                <w:spacing w:val="-6"/>
                <w:sz w:val="18"/>
              </w:rPr>
              <w:t> </w:t>
            </w:r>
            <w:r>
              <w:rPr>
                <w:sz w:val="18"/>
              </w:rPr>
              <w:t>circuits</w:t>
            </w:r>
          </w:p>
          <w:p>
            <w:pPr>
              <w:pStyle w:val="TableParagraph"/>
              <w:numPr>
                <w:ilvl w:val="0"/>
                <w:numId w:val="1"/>
              </w:numPr>
              <w:tabs>
                <w:tab w:pos="341" w:val="left" w:leader="none"/>
              </w:tabs>
              <w:spacing w:line="218" w:lineRule="exact" w:before="0" w:after="0"/>
              <w:ind w:left="340" w:right="0" w:hanging="227"/>
              <w:jc w:val="left"/>
              <w:rPr>
                <w:sz w:val="18"/>
              </w:rPr>
            </w:pPr>
            <w:r>
              <w:rPr>
                <w:sz w:val="18"/>
              </w:rPr>
              <w:t>Read back of pre-flight brief for night</w:t>
            </w:r>
            <w:r>
              <w:rPr>
                <w:spacing w:val="-3"/>
                <w:sz w:val="18"/>
              </w:rPr>
              <w:t> </w:t>
            </w:r>
            <w:r>
              <w:rPr>
                <w:sz w:val="18"/>
              </w:rPr>
              <w:t>circuits</w:t>
            </w:r>
          </w:p>
          <w:p>
            <w:pPr>
              <w:pStyle w:val="TableParagraph"/>
              <w:numPr>
                <w:ilvl w:val="0"/>
                <w:numId w:val="1"/>
              </w:numPr>
              <w:tabs>
                <w:tab w:pos="341" w:val="left" w:leader="none"/>
              </w:tabs>
              <w:spacing w:line="219" w:lineRule="exact" w:before="0" w:after="0"/>
              <w:ind w:left="340" w:right="0" w:hanging="227"/>
              <w:jc w:val="left"/>
              <w:rPr>
                <w:sz w:val="18"/>
              </w:rPr>
            </w:pPr>
            <w:r>
              <w:rPr>
                <w:sz w:val="18"/>
              </w:rPr>
              <w:t>Read back of in-flight lesson for night</w:t>
            </w:r>
            <w:r>
              <w:rPr>
                <w:spacing w:val="-4"/>
                <w:sz w:val="18"/>
              </w:rPr>
              <w:t> </w:t>
            </w:r>
            <w:r>
              <w:rPr>
                <w:sz w:val="18"/>
              </w:rPr>
              <w:t>circuits</w:t>
            </w:r>
          </w:p>
          <w:p>
            <w:pPr>
              <w:pStyle w:val="TableParagraph"/>
              <w:numPr>
                <w:ilvl w:val="0"/>
                <w:numId w:val="1"/>
              </w:numPr>
              <w:tabs>
                <w:tab w:pos="341" w:val="left" w:leader="none"/>
              </w:tabs>
              <w:spacing w:line="219" w:lineRule="exact" w:before="0" w:after="0"/>
              <w:ind w:left="340" w:right="0" w:hanging="227"/>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19" w:lineRule="exact" w:before="0" w:after="0"/>
              <w:ind w:left="340" w:right="0" w:hanging="226"/>
              <w:jc w:val="left"/>
              <w:rPr>
                <w:sz w:val="18"/>
              </w:rPr>
            </w:pPr>
            <w:r>
              <w:rPr>
                <w:sz w:val="18"/>
              </w:rPr>
              <w:t>Lesson objectives and underpinning knowledge to be demonstrated as applicable during</w:t>
            </w:r>
            <w:r>
              <w:rPr>
                <w:spacing w:val="-6"/>
                <w:sz w:val="18"/>
              </w:rPr>
              <w:t> </w:t>
            </w:r>
            <w:r>
              <w:rPr>
                <w:sz w:val="18"/>
              </w:rPr>
              <w:t>readback</w:t>
            </w:r>
          </w:p>
        </w:tc>
      </w:tr>
      <w:tr>
        <w:trPr>
          <w:trHeight w:val="4475" w:hRule="atLeast"/>
        </w:trPr>
        <w:tc>
          <w:tcPr>
            <w:tcW w:w="10661" w:type="dxa"/>
            <w:gridSpan w:val="3"/>
          </w:tcPr>
          <w:p>
            <w:pPr>
              <w:pStyle w:val="TableParagraph"/>
              <w:spacing w:before="23"/>
              <w:ind w:left="57"/>
              <w:rPr>
                <w:b/>
                <w:sz w:val="20"/>
              </w:rPr>
            </w:pPr>
            <w:r>
              <w:rPr>
                <w:b/>
                <w:sz w:val="20"/>
              </w:rPr>
              <w:t>TRAINING NOTES</w:t>
            </w:r>
          </w:p>
          <w:p>
            <w:pPr>
              <w:pStyle w:val="TableParagraph"/>
              <w:numPr>
                <w:ilvl w:val="0"/>
                <w:numId w:val="2"/>
              </w:numPr>
              <w:tabs>
                <w:tab w:pos="341" w:val="left" w:leader="none"/>
              </w:tabs>
              <w:spacing w:line="240" w:lineRule="auto" w:before="163" w:after="0"/>
              <w:ind w:left="340" w:right="370" w:hanging="226"/>
              <w:jc w:val="left"/>
              <w:rPr>
                <w:sz w:val="18"/>
              </w:rPr>
            </w:pPr>
            <w:r>
              <w:rPr>
                <w:sz w:val="18"/>
              </w:rPr>
              <w:t>Before demonstrating the pre-flight brief, the instructor should take time to explain the objectives of this pre-flight brief to the trainee instructor including the actual content of the pre-flight brief and any training aids that will be used. The pre-flight brief must include the performance criteria for NVR1. The PFB should not include circuit emergencies which are covered in lesson TE9-16. Encourage the trainee instructor to take notes and participate as the student pilot would</w:t>
            </w:r>
            <w:r>
              <w:rPr>
                <w:spacing w:val="-11"/>
                <w:sz w:val="18"/>
              </w:rPr>
              <w:t> </w:t>
            </w:r>
            <w:r>
              <w:rPr>
                <w:sz w:val="18"/>
              </w:rPr>
              <w:t>do.</w:t>
            </w:r>
          </w:p>
          <w:p>
            <w:pPr>
              <w:pStyle w:val="TableParagraph"/>
              <w:numPr>
                <w:ilvl w:val="0"/>
                <w:numId w:val="2"/>
              </w:numPr>
              <w:tabs>
                <w:tab w:pos="341" w:val="left" w:leader="none"/>
              </w:tabs>
              <w:spacing w:line="218" w:lineRule="exact" w:before="0" w:after="0"/>
              <w:ind w:left="340" w:right="0" w:hanging="226"/>
              <w:jc w:val="left"/>
              <w:rPr>
                <w:sz w:val="18"/>
              </w:rPr>
            </w:pPr>
            <w:r>
              <w:rPr>
                <w:sz w:val="18"/>
              </w:rPr>
              <w:t>On completion of the demonstration, summarise the structure and delivery method of the pre-flight</w:t>
            </w:r>
            <w:r>
              <w:rPr>
                <w:spacing w:val="-12"/>
                <w:sz w:val="18"/>
              </w:rPr>
              <w:t> </w:t>
            </w:r>
            <w:r>
              <w:rPr>
                <w:sz w:val="18"/>
              </w:rPr>
              <w:t>brief.</w:t>
            </w:r>
          </w:p>
          <w:p>
            <w:pPr>
              <w:pStyle w:val="TableParagraph"/>
              <w:numPr>
                <w:ilvl w:val="0"/>
                <w:numId w:val="2"/>
              </w:numPr>
              <w:tabs>
                <w:tab w:pos="341" w:val="left" w:leader="none"/>
              </w:tabs>
              <w:spacing w:line="240" w:lineRule="auto" w:before="0" w:after="0"/>
              <w:ind w:left="340" w:right="310" w:hanging="226"/>
              <w:jc w:val="left"/>
              <w:rPr>
                <w:sz w:val="18"/>
              </w:rPr>
            </w:pPr>
            <w:r>
              <w:rPr>
                <w:sz w:val="18"/>
              </w:rPr>
              <w:t>The trainee read back should be conducted after they have had the opportunity to prepare. The instructor should role play a student pilot during the read back. The read back should be followed by a de-brief from the instructor against the performance criteria.</w:t>
            </w:r>
          </w:p>
          <w:p>
            <w:pPr>
              <w:pStyle w:val="TableParagraph"/>
              <w:numPr>
                <w:ilvl w:val="0"/>
                <w:numId w:val="2"/>
              </w:numPr>
              <w:tabs>
                <w:tab w:pos="341" w:val="left" w:leader="none"/>
              </w:tabs>
              <w:spacing w:line="240" w:lineRule="auto" w:before="0" w:after="0"/>
              <w:ind w:left="340" w:right="127" w:hanging="226"/>
              <w:jc w:val="left"/>
              <w:rPr>
                <w:sz w:val="18"/>
              </w:rPr>
            </w:pPr>
            <w:r>
              <w:rPr>
                <w:sz w:val="18"/>
              </w:rPr>
              <w:t>Before demonstrating the in-flight lesson, the instructor should explain the sequence of the training elements and provide insight into appropriate delivery</w:t>
            </w:r>
            <w:r>
              <w:rPr>
                <w:spacing w:val="-3"/>
                <w:sz w:val="18"/>
              </w:rPr>
              <w:t> </w:t>
            </w:r>
            <w:r>
              <w:rPr>
                <w:sz w:val="18"/>
              </w:rPr>
              <w:t>techniques.</w:t>
            </w:r>
          </w:p>
          <w:p>
            <w:pPr>
              <w:pStyle w:val="TableParagraph"/>
              <w:numPr>
                <w:ilvl w:val="0"/>
                <w:numId w:val="2"/>
              </w:numPr>
              <w:tabs>
                <w:tab w:pos="341" w:val="left" w:leader="none"/>
              </w:tabs>
              <w:spacing w:line="240" w:lineRule="auto" w:before="0" w:after="0"/>
              <w:ind w:left="340" w:right="360" w:hanging="226"/>
              <w:jc w:val="left"/>
              <w:rPr>
                <w:sz w:val="18"/>
              </w:rPr>
            </w:pPr>
            <w:r>
              <w:rPr>
                <w:sz w:val="18"/>
              </w:rPr>
              <w:t>On completion of the in-flight lesson, the instructor should debrief the trainee instructor against the performance criteria being cognisant that this is the first time the trainee has delivered a lesson on in night</w:t>
            </w:r>
            <w:r>
              <w:rPr>
                <w:spacing w:val="-13"/>
                <w:sz w:val="18"/>
              </w:rPr>
              <w:t> </w:t>
            </w:r>
            <w:r>
              <w:rPr>
                <w:sz w:val="18"/>
              </w:rPr>
              <w:t>circuits.</w:t>
            </w:r>
          </w:p>
          <w:p>
            <w:pPr>
              <w:pStyle w:val="TableParagraph"/>
              <w:numPr>
                <w:ilvl w:val="0"/>
                <w:numId w:val="2"/>
              </w:numPr>
              <w:tabs>
                <w:tab w:pos="341" w:val="left" w:leader="none"/>
              </w:tabs>
              <w:spacing w:line="240" w:lineRule="auto" w:before="0" w:after="0"/>
              <w:ind w:left="340" w:right="502" w:hanging="226"/>
              <w:jc w:val="left"/>
              <w:rPr>
                <w:sz w:val="18"/>
              </w:rPr>
            </w:pPr>
            <w:r>
              <w:rPr>
                <w:sz w:val="18"/>
              </w:rPr>
              <w:t>The instructor should provide adequate opportunity for the trainees to fly the aircraft from the instructor seat in the circuit for practice and revision</w:t>
            </w:r>
            <w:r>
              <w:rPr>
                <w:spacing w:val="-7"/>
                <w:sz w:val="18"/>
              </w:rPr>
              <w:t> </w:t>
            </w:r>
            <w:r>
              <w:rPr>
                <w:sz w:val="18"/>
              </w:rPr>
              <w:t>purposes.</w:t>
            </w:r>
          </w:p>
          <w:p>
            <w:pPr>
              <w:pStyle w:val="TableParagraph"/>
              <w:numPr>
                <w:ilvl w:val="0"/>
                <w:numId w:val="2"/>
              </w:numPr>
              <w:tabs>
                <w:tab w:pos="341" w:val="left" w:leader="none"/>
              </w:tabs>
              <w:spacing w:line="240" w:lineRule="auto" w:before="0" w:after="0"/>
              <w:ind w:left="340" w:right="314"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6"/>
                <w:sz w:val="18"/>
              </w:rPr>
              <w:t> </w:t>
            </w:r>
            <w:r>
              <w:rPr>
                <w:sz w:val="18"/>
              </w:rPr>
              <w:t>duration</w:t>
            </w:r>
            <w:r>
              <w:rPr>
                <w:spacing w:val="-2"/>
                <w:sz w:val="18"/>
              </w:rPr>
              <w:t> </w:t>
            </w:r>
            <w:r>
              <w:rPr>
                <w:sz w:val="18"/>
              </w:rPr>
              <w:t>refers</w:t>
            </w:r>
            <w:r>
              <w:rPr>
                <w:spacing w:val="-3"/>
                <w:sz w:val="18"/>
              </w:rPr>
              <w:t> </w:t>
            </w:r>
            <w:r>
              <w:rPr>
                <w:sz w:val="18"/>
              </w:rPr>
              <w:t>only</w:t>
            </w:r>
            <w:r>
              <w:rPr>
                <w:spacing w:val="-4"/>
                <w:sz w:val="18"/>
              </w:rPr>
              <w:t> </w:t>
            </w:r>
            <w:r>
              <w:rPr>
                <w:sz w:val="18"/>
              </w:rPr>
              <w:t>to</w:t>
            </w:r>
            <w:r>
              <w:rPr>
                <w:spacing w:val="-1"/>
                <w:sz w:val="18"/>
              </w:rPr>
              <w:t> </w:t>
            </w:r>
            <w:r>
              <w:rPr>
                <w:sz w:val="18"/>
              </w:rPr>
              <w:t>the</w:t>
            </w:r>
            <w:r>
              <w:rPr>
                <w:spacing w:val="-5"/>
                <w:sz w:val="18"/>
              </w:rPr>
              <w:t> </w:t>
            </w:r>
            <w:r>
              <w:rPr>
                <w:sz w:val="18"/>
              </w:rPr>
              <w:t>actual</w:t>
            </w:r>
            <w:r>
              <w:rPr>
                <w:spacing w:val="-1"/>
                <w:sz w:val="18"/>
              </w:rPr>
              <w:t> </w:t>
            </w:r>
            <w:r>
              <w:rPr>
                <w:sz w:val="18"/>
              </w:rPr>
              <w:t>pre-flight</w:t>
            </w:r>
            <w:r>
              <w:rPr>
                <w:spacing w:val="-3"/>
                <w:sz w:val="18"/>
              </w:rPr>
              <w:t> </w:t>
            </w:r>
            <w:r>
              <w:rPr>
                <w:sz w:val="18"/>
              </w:rPr>
              <w:t>brief</w:t>
            </w:r>
            <w:r>
              <w:rPr>
                <w:spacing w:val="-4"/>
                <w:sz w:val="18"/>
              </w:rPr>
              <w:t> </w:t>
            </w:r>
            <w:r>
              <w:rPr>
                <w:sz w:val="18"/>
              </w:rPr>
              <w:t>duration.</w:t>
            </w:r>
            <w:r>
              <w:rPr>
                <w:spacing w:val="-5"/>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5" w:hRule="atLeast"/>
        </w:trPr>
        <w:tc>
          <w:tcPr>
            <w:tcW w:w="1085" w:type="dxa"/>
            <w:shd w:val="clear" w:color="auto" w:fill="C0C0C0"/>
          </w:tcPr>
          <w:p>
            <w:pPr>
              <w:pStyle w:val="TableParagraph"/>
              <w:spacing w:line="207" w:lineRule="exact" w:before="80"/>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141"/>
              <w:ind w:left="3304" w:right="3298"/>
              <w:jc w:val="center"/>
              <w:rPr>
                <w:b/>
                <w:sz w:val="20"/>
              </w:rPr>
            </w:pPr>
            <w:r>
              <w:rPr>
                <w:b/>
                <w:sz w:val="20"/>
              </w:rPr>
              <w:t>UNDERPINNING KNOWLEDGE</w:t>
            </w:r>
          </w:p>
        </w:tc>
      </w:tr>
      <w:tr>
        <w:trPr>
          <w:trHeight w:val="376" w:hRule="atLeast"/>
        </w:trPr>
        <w:tc>
          <w:tcPr>
            <w:tcW w:w="1085" w:type="dxa"/>
          </w:tcPr>
          <w:p>
            <w:pPr>
              <w:pStyle w:val="TableParagraph"/>
              <w:spacing w:before="80"/>
              <w:ind w:left="57"/>
              <w:rPr>
                <w:b/>
                <w:sz w:val="18"/>
              </w:rPr>
            </w:pPr>
            <w:r>
              <w:rPr>
                <w:b/>
                <w:sz w:val="18"/>
              </w:rPr>
              <w:t>FIR-TE9</w:t>
            </w:r>
          </w:p>
        </w:tc>
        <w:tc>
          <w:tcPr>
            <w:tcW w:w="9576" w:type="dxa"/>
          </w:tcPr>
          <w:p>
            <w:pPr>
              <w:pStyle w:val="TableParagraph"/>
              <w:spacing w:before="80"/>
              <w:ind w:left="57"/>
              <w:rPr>
                <w:b/>
                <w:sz w:val="18"/>
              </w:rPr>
            </w:pPr>
            <w:r>
              <w:rPr>
                <w:b/>
                <w:sz w:val="18"/>
              </w:rPr>
              <w:t>Night VFR training endorsement</w:t>
            </w:r>
          </w:p>
        </w:tc>
      </w:tr>
      <w:tr>
        <w:trPr>
          <w:trHeight w:val="2447"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85"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6"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7" w:lineRule="exact" w:before="2"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571" w:footer="740" w:top="1320" w:bottom="940" w:left="500" w:right="500"/>
          <w:pgNumType w:start="1"/>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689" w:type="dxa"/>
          </w:tcPr>
          <w:p>
            <w:pPr>
              <w:pStyle w:val="TableParagraph"/>
              <w:spacing w:before="27"/>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(a)</w:t>
            </w:r>
          </w:p>
        </w:tc>
        <w:tc>
          <w:tcPr>
            <w:tcW w:w="8201" w:type="dxa"/>
          </w:tcPr>
          <w:p>
            <w:pPr>
              <w:pStyle w:val="TableParagraph"/>
              <w:spacing w:before="25"/>
              <w:ind w:left="57" w:right="39"/>
              <w:rPr>
                <w:sz w:val="18"/>
              </w:rPr>
            </w:pPr>
            <w:r>
              <w:rPr>
                <w:sz w:val="18"/>
              </w:rPr>
              <w:t>apply knowledge and application of element 3, principles and methods of instruction, described in unit FIRC (instructor rating common) in schedule 3 of Part 61 MOS</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FIR-TE9.4</w:t>
            </w:r>
          </w:p>
        </w:tc>
        <w:tc>
          <w:tcPr>
            <w:tcW w:w="8201" w:type="dxa"/>
          </w:tcPr>
          <w:p>
            <w:pPr>
              <w:pStyle w:val="TableParagraph"/>
              <w:spacing w:before="20"/>
              <w:ind w:left="57"/>
              <w:rPr>
                <w:b/>
                <w:sz w:val="18"/>
              </w:rPr>
            </w:pPr>
            <w:r>
              <w:rPr>
                <w:b/>
                <w:sz w:val="18"/>
              </w:rPr>
              <w:t>Plan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678"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elements in units NTS1 and NTS2 to be addressed in relevant briefings and flight exercises as applicable; and</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5"/>
              <w:ind w:left="453"/>
              <w:rPr>
                <w:sz w:val="18"/>
              </w:rPr>
            </w:pPr>
            <w:r>
              <w:rPr>
                <w:sz w:val="18"/>
              </w:rPr>
              <w:t>(i)</w:t>
              <w:tab/>
              <w:t>basic instrument flight</w:t>
            </w:r>
          </w:p>
        </w:tc>
        <w:tc>
          <w:tcPr>
            <w:tcW w:w="689" w:type="dxa"/>
          </w:tcPr>
          <w:p>
            <w:pPr>
              <w:pStyle w:val="TableParagraph"/>
              <w:spacing w:before="25"/>
              <w:ind w:right="282"/>
              <w:jc w:val="right"/>
              <w:rPr>
                <w:sz w:val="18"/>
              </w:rPr>
            </w:pPr>
            <w:r>
              <w:rPr>
                <w:w w:val="99"/>
                <w:sz w:val="18"/>
              </w:rPr>
              <w:t>1</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conduct of traffic pattern at night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882"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139"/>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FIR4.1 Plan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identify training objectives based on performance criteria in the manual of standards and operator’s training plans;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 apply threat and error management into each ground lesson;</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5"/>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FIR4.3 Conduct pre-flight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(a) confirm the trainee is mentally and physically prepared for flight training;</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brief the trainee on the training outcomes, the associated performance criteria and the actions required of the trainee during the flight;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link previous training to the current exercise;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brief the trainee on how the flight will be conducted to meet the training outcomes;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discuss the environmental conditions and their suitability for the training</w:t>
            </w:r>
            <w:r>
              <w:rPr>
                <w:spacing w:val="-12"/>
                <w:sz w:val="18"/>
              </w:rPr>
              <w:t> </w:t>
            </w:r>
            <w:r>
              <w:rPr>
                <w:sz w:val="18"/>
              </w:rPr>
              <w:t>exercise;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FIR-TE9.6</w:t>
            </w:r>
          </w:p>
        </w:tc>
        <w:tc>
          <w:tcPr>
            <w:tcW w:w="8201" w:type="dxa"/>
          </w:tcPr>
          <w:p>
            <w:pPr>
              <w:pStyle w:val="TableParagraph"/>
              <w:spacing w:before="20"/>
              <w:ind w:left="57"/>
              <w:rPr>
                <w:b/>
                <w:sz w:val="18"/>
              </w:rPr>
            </w:pPr>
            <w:r>
              <w:rPr>
                <w:b/>
                <w:sz w:val="18"/>
              </w:rPr>
              <w:t>Conduct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manage responsibilities as pilot in command for the safe operation of the aircraft;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spacing w:after="0"/>
        <w:rPr>
          <w:rFonts w:ascii="Times New Roman"/>
          <w:sz w:val="18"/>
        </w:rPr>
        <w:sectPr>
          <w:pgSz w:w="11910" w:h="16840"/>
          <w:pgMar w:header="571" w:footer="740" w:top="1320" w:bottom="940" w:left="500" w:right="500"/>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apply flying techniques and procedures to the competency standards specified for the qualification being trained for whilst occupying the instructor seat;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(iii) coordinate demonstration with explanation of manoeuvre;</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make coordinated control inputs without abrupt manoeuvring, using accepted techniques;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 demonstrate the manoeuvre to the competency standards specified in this manual for a commercial pilot.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direct the task:</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(i)</w:t>
              <w:tab/>
              <w:t>implement handover and takeover procedures for control of</w:t>
            </w:r>
            <w:r>
              <w:rPr>
                <w:spacing w:val="-6"/>
                <w:sz w:val="18"/>
              </w:rPr>
              <w:t> </w:t>
            </w:r>
            <w:r>
              <w:rPr>
                <w:sz w:val="18"/>
              </w:rPr>
              <w:t>aircraft;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(ii) provide direction appropriate to trainee’s progress;</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provide sufficient practice for the trainee to achieve the task;</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intervene only to the extent necessary to assist the trainee’s progress or to maintain safety.</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(e) monitor the task (unassisted practice):</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and vary additional instruction and demonstration as necessary to assist trainee;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ensure remedial training is effective such that errors are corrected;</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encourage the trainee to develop self-assessment skills;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note training events for debriefing and assessment.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the trainee does not manage an undesired aircraft</w:t>
            </w:r>
            <w:r>
              <w:rPr>
                <w:spacing w:val="-18"/>
                <w:sz w:val="18"/>
              </w:rPr>
              <w:t> </w:t>
            </w:r>
            <w:r>
              <w:rPr>
                <w:sz w:val="18"/>
              </w:rPr>
              <w:t>state;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99"/>
              <w:rPr>
                <w:sz w:val="18"/>
              </w:rPr>
            </w:pPr>
            <w:r>
              <w:rPr>
                <w:sz w:val="18"/>
              </w:rPr>
              <w:t>perform flying techniques and procedures to the competency standards specified for the issue of a night VFR rating whilst occupying the instructor seat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NTS1.1 Maintain effective lookout</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NTS1.2 Maintain situational awareness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NTS1.5 Maintain effective communications and interpersonal relationships</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NTS2.2 Recognise and manage errors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NTS2.3 Recognise and manage undesired aircraft state</w:t>
            </w:r>
          </w:p>
        </w:tc>
        <w:tc>
          <w:tcPr>
            <w:tcW w:w="689" w:type="dxa"/>
          </w:tcPr>
          <w:p>
            <w:pPr>
              <w:pStyle w:val="TableParagraph"/>
              <w:spacing w:before="25"/>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99"/>
              <w:rPr>
                <w:sz w:val="18"/>
              </w:rPr>
            </w:pPr>
            <w:r>
              <w:rPr>
                <w:sz w:val="18"/>
              </w:rPr>
              <w:t>conduct post-flight briefing demonstrating all performance criteria described in element FIR4.5 of unit FIR4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FIR4.5 Conduct post-flight briefing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encourage the trainee to self-assess performance against the performance criteria;</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113"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spacing w:after="0"/>
        <w:rPr>
          <w:rFonts w:ascii="Times New Roman"/>
          <w:sz w:val="18"/>
        </w:rPr>
        <w:sectPr>
          <w:pgSz w:w="11910" w:h="16840"/>
          <w:pgMar w:header="571" w:footer="740" w:top="1320" w:bottom="940" w:left="500" w:right="500"/>
        </w:sect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689"/>
        <w:gridCol w:w="687"/>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6" w:type="dxa"/>
            <w:gridSpan w:val="2"/>
            <w:shd w:val="clear" w:color="auto" w:fill="C0C0C0"/>
          </w:tcPr>
          <w:p>
            <w:pPr>
              <w:pStyle w:val="TableParagraph"/>
              <w:spacing w:before="23"/>
              <w:ind w:left="59" w:right="186"/>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689" w:type="dxa"/>
            <w:shd w:val="clear" w:color="auto" w:fill="C0C0C0"/>
            <w:textDirection w:val="btLr"/>
          </w:tcPr>
          <w:p>
            <w:pPr>
              <w:pStyle w:val="TableParagraph"/>
              <w:spacing w:before="58"/>
              <w:ind w:left="26"/>
              <w:rPr>
                <w:b/>
                <w:sz w:val="18"/>
              </w:rPr>
            </w:pPr>
            <w:r>
              <w:rPr>
                <w:b/>
                <w:sz w:val="18"/>
              </w:rPr>
              <w:t>Required</w:t>
            </w:r>
          </w:p>
        </w:tc>
        <w:tc>
          <w:tcPr>
            <w:tcW w:w="687"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FIR-TE9.8</w:t>
            </w:r>
          </w:p>
        </w:tc>
        <w:tc>
          <w:tcPr>
            <w:tcW w:w="8201" w:type="dxa"/>
          </w:tcPr>
          <w:p>
            <w:pPr>
              <w:pStyle w:val="TableParagraph"/>
              <w:spacing w:before="20"/>
              <w:ind w:left="57"/>
              <w:rPr>
                <w:b/>
                <w:sz w:val="18"/>
              </w:rPr>
            </w:pPr>
            <w:r>
              <w:rPr>
                <w:b/>
                <w:sz w:val="18"/>
              </w:rPr>
              <w:t>Conduct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689" w:type="dxa"/>
          </w:tcPr>
          <w:p>
            <w:pPr>
              <w:pStyle w:val="TableParagraph"/>
              <w:rPr>
                <w:rFonts w:ascii="Times New Roman"/>
                <w:sz w:val="18"/>
              </w:rPr>
            </w:pP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complete administration procedures required for issue of an endorsement or military equivalent where applicable.</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inform relevant staff of the trainee’s performance and results where required;</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(d) review effectiveness of training and identify any adjustments to delivery, presentation and content for improvement, and discuss with stakeholders</w:t>
            </w:r>
          </w:p>
        </w:tc>
        <w:tc>
          <w:tcPr>
            <w:tcW w:w="689" w:type="dxa"/>
          </w:tcPr>
          <w:p>
            <w:pPr>
              <w:pStyle w:val="TableParagraph"/>
              <w:spacing w:before="27"/>
              <w:ind w:right="282"/>
              <w:jc w:val="right"/>
              <w:rPr>
                <w:sz w:val="18"/>
              </w:rPr>
            </w:pPr>
            <w:r>
              <w:rPr>
                <w:w w:val="99"/>
                <w:sz w:val="18"/>
              </w:rPr>
              <w:t>2</w:t>
            </w:r>
          </w:p>
        </w:tc>
        <w:tc>
          <w:tcPr>
            <w:tcW w:w="687" w:type="dxa"/>
          </w:tcPr>
          <w:p>
            <w:pPr>
              <w:pStyle w:val="TableParagraph"/>
              <w:rPr>
                <w:rFonts w:ascii="Times New Roman"/>
                <w:sz w:val="18"/>
              </w:rPr>
            </w:pPr>
          </w:p>
        </w:tc>
      </w:tr>
    </w:tbl>
    <w:p>
      <w:pPr>
        <w:pStyle w:val="BodyText"/>
        <w:spacing w:before="10"/>
        <w:rPr>
          <w:b/>
          <w:sz w:val="8"/>
        </w:rPr>
      </w:pPr>
      <w:r>
        <w:rPr/>
        <w:pict>
          <v:group style="position:absolute;margin-left:30.8395pt;margin-top:7.3395pt;width:533.550pt;height:189.4pt;mso-position-horizontal-relative:page;mso-position-vertical-relative:paragraph;z-index:-251657216;mso-wrap-distance-left:0;mso-wrap-distance-right:0" coordorigin="617,147" coordsize="10671,3788">
            <v:rect style="position:absolute;left:628;top:242;width:10649;height:579" filled="true" fillcolor="#c0c0c0" stroked="false">
              <v:fill type="solid"/>
            </v:rect>
            <v:rect style="position:absolute;left:679;top:242;width:10548;height:291" filled="true" fillcolor="#c0c0c0" stroked="false">
              <v:fill type="solid"/>
            </v:rect>
            <v:rect style="position:absolute;left:679;top:533;width:10548;height:291" filled="true" fillcolor="#c0c0c0" stroked="false">
              <v:fill type="solid"/>
            </v:rect>
            <v:rect style="position:absolute;left:626;top:156;width:10652;height:87" filled="true" fillcolor="#c0c0c0" stroked="false">
              <v:fill type="solid"/>
            </v:rect>
            <v:rect style="position:absolute;left:628;top:905;width:10649;height:3" filled="true" fillcolor="#c0c0c0" stroked="false">
              <v:fill type="solid"/>
            </v:rect>
            <v:rect style="position:absolute;left:621;top:821;width:10661;height:84" filled="true" fillcolor="#c0c0c0" stroked="false">
              <v:fill type="solid"/>
            </v:rect>
            <v:line style="position:absolute" from="626,912" to="11278,912" stroked="true" strokeweight=".481pt" strokecolor="#000000">
              <v:stroke dashstyle="solid"/>
            </v:line>
            <v:line style="position:absolute" from="622,147" to="622,3934" stroked="true" strokeweight=".48pt" strokecolor="#000000">
              <v:stroke dashstyle="solid"/>
            </v:line>
            <v:line style="position:absolute" from="626,3929" to="11278,3929" stroked="true" strokeweight=".481pt" strokecolor="#000000">
              <v:stroke dashstyle="solid"/>
            </v:line>
            <v:line style="position:absolute" from="11282,147" to="11282,3934" stroked="true" strokeweight=".481pt" strokecolor="#000000">
              <v:stroke dashstyle="solid"/>
            </v:line>
            <v:shape style="position:absolute;left:621;top:151;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p>
      <w:pPr>
        <w:pStyle w:val="BodyText"/>
        <w:spacing w:before="10" w:after="1"/>
        <w:rPr>
          <w:b/>
          <w:sz w:val="8"/>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5"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47"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571" w:footer="740" w:top="132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947456"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946432"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945408"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944384"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63.600006pt;margin-top:27.543459pt;width:298.75pt;height:28.85pt;mso-position-horizontal-relative:page;mso-position-vertical-relative:page;z-index:-252948480" type="#_x0000_t202" filled="false" stroked="false">
          <v:textbox inset="0,0,0,0">
            <w:txbxContent>
              <w:p>
                <w:pPr>
                  <w:pStyle w:val="BodyText"/>
                  <w:spacing w:before="12"/>
                  <w:ind w:right="21"/>
                  <w:jc w:val="right"/>
                </w:pPr>
                <w:r>
                  <w:rPr/>
                  <w:t>NIGHT VFR TRAINING</w:t>
                </w:r>
                <w:r>
                  <w:rPr>
                    <w:spacing w:val="-13"/>
                  </w:rPr>
                  <w:t> </w:t>
                </w:r>
                <w:r>
                  <w:rPr/>
                  <w:t>ENDORSEMENT</w:t>
                </w:r>
              </w:p>
              <w:p>
                <w:pPr>
                  <w:pStyle w:val="BodyText"/>
                  <w:spacing w:before="85"/>
                  <w:ind w:right="18"/>
                  <w:jc w:val="right"/>
                </w:pPr>
                <w:r>
                  <w:rPr/>
                  <w:t>NIGHT CIRCUITS – PRE-FLIGHT BRIEF AND FLIGHT</w:t>
                </w:r>
                <w:r>
                  <w:rPr>
                    <w:spacing w:val="-18"/>
                  </w:rPr>
                  <w:t> </w:t>
                </w:r>
                <w:r>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Night circuits – pre-flight brief and flight training</dc:title>
  <dcterms:created xsi:type="dcterms:W3CDTF">2021-11-10T01:07:16Z</dcterms:created>
  <dcterms:modified xsi:type="dcterms:W3CDTF">2021-11-10T01:07:16Z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