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TE3-36: CIRCUITS INLCUIDNG CROSS-WIND HOVERING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821"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w:t>
            </w:r>
            <w:r>
              <w:rPr>
                <w:b/>
                <w:sz w:val="18"/>
              </w:rPr>
              <w:t>- Conduct AIT for an impromptu flying sequence – Cross-wind</w:t>
            </w:r>
            <w:r>
              <w:rPr>
                <w:b/>
                <w:spacing w:val="-12"/>
                <w:sz w:val="18"/>
              </w:rPr>
              <w:t> </w:t>
            </w:r>
            <w:r>
              <w:rPr>
                <w:b/>
                <w:sz w:val="18"/>
              </w:rPr>
              <w:t>hovering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w:t>
            </w:r>
            <w:r>
              <w:rPr>
                <w:spacing w:val="-3"/>
                <w:sz w:val="18"/>
              </w:rPr>
              <w:t> </w:t>
            </w:r>
            <w:r>
              <w:rPr>
                <w:b/>
                <w:sz w:val="18"/>
              </w:rPr>
              <w:t>Circuits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w:t>
            </w:r>
            <w:r>
              <w:rPr>
                <w:spacing w:val="-4"/>
                <w:sz w:val="18"/>
              </w:rPr>
              <w:t> </w:t>
            </w:r>
            <w:r>
              <w:rPr>
                <w:b/>
                <w:sz w:val="18"/>
              </w:rPr>
              <w:t>Circuits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w:t>
            </w:r>
            <w:r>
              <w:rPr>
                <w:b/>
                <w:sz w:val="18"/>
              </w:rPr>
              <w:t>Cross-wind</w:t>
            </w:r>
            <w:r>
              <w:rPr>
                <w:b/>
                <w:spacing w:val="-1"/>
                <w:sz w:val="18"/>
              </w:rPr>
              <w:t> </w:t>
            </w:r>
            <w:r>
              <w:rPr>
                <w:b/>
                <w:sz w:val="18"/>
              </w:rPr>
              <w:t>hovering</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 blueprint for the pre-flight brief and in-flight lesson is the operator’s approved lesson from their PPL/CPL</w:t>
            </w:r>
            <w:r>
              <w:rPr>
                <w:spacing w:val="-34"/>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5589"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10"/>
              <w:rPr>
                <w:rFonts w:ascii="Times New Roman"/>
                <w:sz w:val="17"/>
              </w:rPr>
            </w:pPr>
          </w:p>
          <w:p>
            <w:pPr>
              <w:pStyle w:val="TableParagraph"/>
              <w:spacing w:line="242" w:lineRule="auto"/>
              <w:ind w:left="57" w:right="51"/>
              <w:rPr>
                <w:sz w:val="18"/>
              </w:rPr>
            </w:pPr>
            <w:r>
              <w:rPr>
                <w:b/>
                <w:sz w:val="18"/>
              </w:rPr>
              <w:t>Conduct AIT for an impromptu flying sequence. *</w:t>
            </w:r>
            <w:r>
              <w:rPr>
                <w:sz w:val="18"/>
              </w:rPr>
              <w:t>In preparation for the FIR flight test and to allow for completion of all elements listed in FIR-TE3.5 The trainee FI is to be exposed to conducting impromptu instruction on an unplanned flying sequence. Once the FIR instructor is satisfied the lesson objectives for the primary sequence (in this case circuits) have been achieved, they should introduce the impromptu sequence.</w:t>
            </w:r>
          </w:p>
          <w:p>
            <w:pPr>
              <w:pStyle w:val="TableParagraph"/>
              <w:spacing w:before="5"/>
              <w:rPr>
                <w:rFonts w:ascii="Times New Roman"/>
                <w:sz w:val="17"/>
              </w:rPr>
            </w:pPr>
          </w:p>
          <w:p>
            <w:pPr>
              <w:pStyle w:val="TableParagraph"/>
              <w:numPr>
                <w:ilvl w:val="0"/>
                <w:numId w:val="2"/>
              </w:numPr>
              <w:tabs>
                <w:tab w:pos="623" w:val="left" w:leader="none"/>
                <w:tab w:pos="624" w:val="left" w:leader="none"/>
              </w:tabs>
              <w:spacing w:line="240" w:lineRule="auto" w:before="0" w:after="0"/>
              <w:ind w:left="623" w:right="0" w:hanging="356"/>
              <w:jc w:val="left"/>
              <w:rPr>
                <w:sz w:val="18"/>
              </w:rPr>
            </w:pPr>
            <w:r>
              <w:rPr>
                <w:sz w:val="18"/>
              </w:rPr>
              <w:t>The trainee to read back the pre-flight brief on Circuits if not already completed during lesson</w:t>
            </w:r>
            <w:r>
              <w:rPr>
                <w:spacing w:val="-16"/>
                <w:sz w:val="18"/>
              </w:rPr>
              <w:t> </w:t>
            </w:r>
            <w:r>
              <w:rPr>
                <w:sz w:val="18"/>
              </w:rPr>
              <w:t>TE3-35.</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5" w:after="0"/>
              <w:ind w:left="623" w:right="-29" w:hanging="356"/>
              <w:jc w:val="left"/>
              <w:rPr>
                <w:sz w:val="18"/>
              </w:rPr>
            </w:pPr>
            <w:r>
              <w:rPr>
                <w:sz w:val="18"/>
              </w:rPr>
              <w:t>The trainee should demonstrate the integration of HF/NTS items introduced in the pre-flight brief with emphasis on the application of situational awareness to identify potential threats to flight</w:t>
            </w:r>
            <w:r>
              <w:rPr>
                <w:spacing w:val="-5"/>
                <w:sz w:val="18"/>
              </w:rPr>
              <w:t> </w:t>
            </w:r>
            <w:r>
              <w:rPr>
                <w:sz w:val="18"/>
              </w:rPr>
              <w:t>safety</w:t>
            </w:r>
          </w:p>
          <w:p>
            <w:pPr>
              <w:pStyle w:val="TableParagraph"/>
              <w:numPr>
                <w:ilvl w:val="0"/>
                <w:numId w:val="2"/>
              </w:numPr>
              <w:tabs>
                <w:tab w:pos="623" w:val="left" w:leader="none"/>
                <w:tab w:pos="624" w:val="left" w:leader="none"/>
              </w:tabs>
              <w:spacing w:line="240" w:lineRule="auto" w:before="42" w:after="0"/>
              <w:ind w:left="623" w:right="-15" w:hanging="356"/>
              <w:jc w:val="left"/>
              <w:rPr>
                <w:sz w:val="18"/>
              </w:rPr>
            </w:pPr>
            <w:r>
              <w:rPr>
                <w:sz w:val="18"/>
              </w:rPr>
              <w:t>In this lesson, the FIR instructor demonstrates how to demonstrate the first circuit lesson so not to overload the student pilot including radio calls and traffic management. The importance of demonstrating a good approach from a properly flown circuit should be emphasised. It is important that the trainee understands the importance of frequent demonstration of correct circuit and approach to assist the student in developing judgement of position and</w:t>
            </w:r>
            <w:r>
              <w:rPr>
                <w:spacing w:val="-9"/>
                <w:sz w:val="18"/>
              </w:rPr>
              <w:t> </w:t>
            </w:r>
            <w:r>
              <w:rPr>
                <w:sz w:val="18"/>
              </w:rPr>
              <w:t>distance</w:t>
            </w:r>
          </w:p>
          <w:p>
            <w:pPr>
              <w:pStyle w:val="TableParagraph"/>
              <w:numPr>
                <w:ilvl w:val="0"/>
                <w:numId w:val="2"/>
              </w:numPr>
              <w:tabs>
                <w:tab w:pos="623" w:val="left" w:leader="none"/>
                <w:tab w:pos="624" w:val="left" w:leader="none"/>
              </w:tabs>
              <w:spacing w:line="240" w:lineRule="auto" w:before="41" w:after="0"/>
              <w:ind w:left="623" w:right="6" w:hanging="356"/>
              <w:jc w:val="left"/>
              <w:rPr>
                <w:sz w:val="18"/>
              </w:rPr>
            </w:pPr>
            <w:r>
              <w:rPr>
                <w:sz w:val="18"/>
              </w:rPr>
              <w:t>The lesson should include discussion on when circuits should be flown to a hover or a full landing from the hover, identifying that full landing allows the student time to think about the circuit they have done and a debrief before the next circuit, reducing explanations in the air. The trainee should understand that doing many circuits with hover and depart may not be beneficial to the student in the early circuit lessons if they are not given the opportunity to think about what they have just</w:t>
            </w:r>
            <w:r>
              <w:rPr>
                <w:spacing w:val="-19"/>
                <w:sz w:val="18"/>
              </w:rPr>
              <w:t> </w:t>
            </w:r>
            <w:r>
              <w:rPr>
                <w:sz w:val="18"/>
              </w:rPr>
              <w:t>done.</w:t>
            </w:r>
          </w:p>
          <w:p>
            <w:pPr>
              <w:pStyle w:val="TableParagraph"/>
              <w:numPr>
                <w:ilvl w:val="0"/>
                <w:numId w:val="2"/>
              </w:numPr>
              <w:tabs>
                <w:tab w:pos="624" w:val="left" w:leader="none"/>
              </w:tabs>
              <w:spacing w:line="237" w:lineRule="auto" w:before="42" w:after="0"/>
              <w:ind w:left="623" w:right="76" w:hanging="356"/>
              <w:jc w:val="both"/>
              <w:rPr>
                <w:sz w:val="18"/>
              </w:rPr>
            </w:pPr>
            <w:r>
              <w:rPr>
                <w:sz w:val="18"/>
              </w:rPr>
              <w:t>*On completion of the circuit lesson demonstration, the impromptu flight sequence should be introduced. In this case cross-wind hovering. The FIR instructor must demonstrate how to cope with this type of instruction. In future lessons, impromptu sequences will be a Read back</w:t>
            </w:r>
            <w:r>
              <w:rPr>
                <w:spacing w:val="4"/>
                <w:sz w:val="18"/>
              </w:rPr>
              <w:t> </w:t>
            </w:r>
            <w:r>
              <w:rPr>
                <w:sz w:val="18"/>
              </w:rPr>
              <w:t>only.</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w:t>
            </w:r>
            <w:r>
              <w:rPr>
                <w:spacing w:val="-2"/>
                <w:sz w:val="18"/>
              </w:rPr>
              <w:t> </w:t>
            </w:r>
            <w:r>
              <w:rPr>
                <w:sz w:val="18"/>
              </w:rPr>
              <w:t>Flight</w:t>
            </w:r>
            <w:r>
              <w:rPr>
                <w:spacing w:val="-2"/>
                <w:sz w:val="18"/>
              </w:rPr>
              <w:t> </w:t>
            </w:r>
            <w:r>
              <w:rPr>
                <w:sz w:val="18"/>
              </w:rPr>
              <w:t>Instructor</w:t>
            </w:r>
            <w:r>
              <w:rPr>
                <w:spacing w:val="-5"/>
                <w:sz w:val="18"/>
              </w:rPr>
              <w:t> </w:t>
            </w:r>
            <w:r>
              <w:rPr>
                <w:sz w:val="18"/>
              </w:rPr>
              <w:t>manual</w:t>
            </w:r>
            <w:r>
              <w:rPr>
                <w:spacing w:val="-4"/>
                <w:sz w:val="18"/>
              </w:rPr>
              <w:t> </w:t>
            </w:r>
            <w:r>
              <w:rPr>
                <w:sz w:val="18"/>
              </w:rPr>
              <w:t>provides</w:t>
            </w:r>
            <w:r>
              <w:rPr>
                <w:spacing w:val="-3"/>
                <w:sz w:val="18"/>
              </w:rPr>
              <w:t> </w:t>
            </w:r>
            <w:r>
              <w:rPr>
                <w:sz w:val="18"/>
              </w:rPr>
              <w:t>useful</w:t>
            </w:r>
            <w:r>
              <w:rPr>
                <w:spacing w:val="-1"/>
                <w:sz w:val="18"/>
              </w:rPr>
              <w:t> </w:t>
            </w:r>
            <w:r>
              <w:rPr>
                <w:sz w:val="18"/>
              </w:rPr>
              <w:t>references</w:t>
            </w:r>
            <w:r>
              <w:rPr>
                <w:spacing w:val="-2"/>
                <w:sz w:val="18"/>
              </w:rPr>
              <w:t> </w:t>
            </w:r>
            <w:r>
              <w:rPr>
                <w:sz w:val="18"/>
              </w:rPr>
              <w:t>for</w:t>
            </w:r>
            <w:r>
              <w:rPr>
                <w:spacing w:val="-2"/>
                <w:sz w:val="18"/>
              </w:rPr>
              <w:t> </w:t>
            </w:r>
            <w:r>
              <w:rPr>
                <w:sz w:val="18"/>
              </w:rPr>
              <w:t>some</w:t>
            </w:r>
            <w:r>
              <w:rPr>
                <w:spacing w:val="-2"/>
                <w:sz w:val="18"/>
              </w:rPr>
              <w:t> </w:t>
            </w:r>
            <w:r>
              <w:rPr>
                <w:sz w:val="18"/>
              </w:rPr>
              <w:t>of</w:t>
            </w:r>
            <w:r>
              <w:rPr>
                <w:spacing w:val="-4"/>
                <w:sz w:val="18"/>
              </w:rPr>
              <w:t> </w:t>
            </w:r>
            <w:r>
              <w:rPr>
                <w:sz w:val="18"/>
              </w:rPr>
              <w:t>the</w:t>
            </w:r>
            <w:r>
              <w:rPr>
                <w:spacing w:val="-4"/>
                <w:sz w:val="18"/>
              </w:rPr>
              <w:t> </w:t>
            </w:r>
            <w:r>
              <w:rPr>
                <w:sz w:val="18"/>
              </w:rPr>
              <w:t>subject</w:t>
            </w:r>
            <w:r>
              <w:rPr>
                <w:spacing w:val="-3"/>
                <w:sz w:val="18"/>
              </w:rPr>
              <w:t> </w:t>
            </w:r>
            <w:r>
              <w:rPr>
                <w:sz w:val="18"/>
              </w:rPr>
              <w:t>matter</w:t>
            </w:r>
            <w:r>
              <w:rPr>
                <w:spacing w:val="-4"/>
                <w:sz w:val="18"/>
              </w:rPr>
              <w:t> </w:t>
            </w:r>
            <w:r>
              <w:rPr>
                <w:sz w:val="18"/>
              </w:rPr>
              <w:t>that</w:t>
            </w:r>
            <w:r>
              <w:rPr>
                <w:spacing w:val="-4"/>
                <w:sz w:val="18"/>
              </w:rPr>
              <w:t> </w:t>
            </w:r>
            <w:r>
              <w:rPr>
                <w:sz w:val="18"/>
              </w:rPr>
              <w:t>should</w:t>
            </w:r>
            <w:r>
              <w:rPr>
                <w:spacing w:val="-4"/>
                <w:sz w:val="18"/>
              </w:rPr>
              <w:t> </w:t>
            </w:r>
            <w:r>
              <w:rPr>
                <w:sz w:val="18"/>
              </w:rPr>
              <w:t>be</w:t>
            </w:r>
            <w:r>
              <w:rPr>
                <w:spacing w:val="-5"/>
                <w:sz w:val="18"/>
              </w:rPr>
              <w:t> </w:t>
            </w:r>
            <w:r>
              <w:rPr>
                <w:sz w:val="18"/>
              </w:rPr>
              <w:t>included</w:t>
            </w:r>
            <w:r>
              <w:rPr>
                <w:spacing w:val="-1"/>
                <w:sz w:val="18"/>
              </w:rPr>
              <w:t> </w:t>
            </w:r>
            <w:r>
              <w:rPr>
                <w:sz w:val="18"/>
              </w:rPr>
              <w:t>in</w:t>
            </w:r>
            <w:r>
              <w:rPr>
                <w:spacing w:val="-1"/>
                <w:sz w:val="18"/>
              </w:rPr>
              <w:t> </w:t>
            </w:r>
            <w:r>
              <w:rPr>
                <w:sz w:val="18"/>
              </w:rPr>
              <w:t>this</w:t>
            </w:r>
            <w:r>
              <w:rPr>
                <w:spacing w:val="-4"/>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2"/>
                <w:sz w:val="18"/>
              </w:rPr>
              <w:t> </w:t>
            </w:r>
            <w:r>
              <w:rPr>
                <w:sz w:val="18"/>
              </w:rPr>
              <w:t>instructor</w:t>
            </w:r>
            <w:r>
              <w:rPr>
                <w:spacing w:val="-5"/>
                <w:sz w:val="18"/>
              </w:rPr>
              <w:t> </w:t>
            </w:r>
            <w:r>
              <w:rPr>
                <w:sz w:val="18"/>
              </w:rPr>
              <w:t>should</w:t>
            </w:r>
            <w:r>
              <w:rPr>
                <w:spacing w:val="-2"/>
                <w:sz w:val="18"/>
              </w:rPr>
              <w:t> </w:t>
            </w:r>
            <w:r>
              <w:rPr>
                <w:sz w:val="18"/>
              </w:rPr>
              <w:t>discuss</w:t>
            </w:r>
            <w:r>
              <w:rPr>
                <w:spacing w:val="-4"/>
                <w:sz w:val="18"/>
              </w:rPr>
              <w:t> </w:t>
            </w:r>
            <w:r>
              <w:rPr>
                <w:sz w:val="18"/>
              </w:rPr>
              <w:t>and</w:t>
            </w:r>
            <w:r>
              <w:rPr>
                <w:spacing w:val="-2"/>
                <w:sz w:val="18"/>
              </w:rPr>
              <w:t> </w:t>
            </w:r>
            <w:r>
              <w:rPr>
                <w:sz w:val="18"/>
              </w:rPr>
              <w:t>demonstrate</w:t>
            </w:r>
            <w:r>
              <w:rPr>
                <w:spacing w:val="-2"/>
                <w:sz w:val="18"/>
              </w:rPr>
              <w:t> </w:t>
            </w:r>
            <w:r>
              <w:rPr>
                <w:sz w:val="18"/>
              </w:rPr>
              <w:t>the</w:t>
            </w:r>
            <w:r>
              <w:rPr>
                <w:spacing w:val="-2"/>
                <w:sz w:val="18"/>
              </w:rPr>
              <w:t> </w:t>
            </w:r>
            <w:r>
              <w:rPr>
                <w:sz w:val="18"/>
              </w:rPr>
              <w:t>intervention</w:t>
            </w:r>
            <w:r>
              <w:rPr>
                <w:spacing w:val="-2"/>
                <w:sz w:val="18"/>
              </w:rPr>
              <w:t> </w:t>
            </w:r>
            <w:r>
              <w:rPr>
                <w:sz w:val="18"/>
              </w:rPr>
              <w:t>and</w:t>
            </w:r>
            <w:r>
              <w:rPr>
                <w:spacing w:val="-2"/>
                <w:sz w:val="18"/>
              </w:rPr>
              <w:t> </w:t>
            </w:r>
            <w:r>
              <w:rPr>
                <w:sz w:val="18"/>
              </w:rPr>
              <w:t>recovery</w:t>
            </w:r>
            <w:r>
              <w:rPr>
                <w:spacing w:val="-4"/>
                <w:sz w:val="18"/>
              </w:rPr>
              <w:t> </w:t>
            </w:r>
            <w:r>
              <w:rPr>
                <w:sz w:val="18"/>
              </w:rPr>
              <w:t>techniques</w:t>
            </w:r>
            <w:r>
              <w:rPr>
                <w:spacing w:val="-2"/>
                <w:sz w:val="18"/>
              </w:rPr>
              <w:t> </w:t>
            </w:r>
            <w:r>
              <w:rPr>
                <w:sz w:val="18"/>
              </w:rPr>
              <w:t>from</w:t>
            </w:r>
            <w:r>
              <w:rPr>
                <w:spacing w:val="-2"/>
                <w:sz w:val="18"/>
              </w:rPr>
              <w:t> </w:t>
            </w:r>
            <w:r>
              <w:rPr>
                <w:sz w:val="18"/>
              </w:rPr>
              <w:t>tutorial</w:t>
            </w:r>
            <w:r>
              <w:rPr>
                <w:spacing w:val="-2"/>
                <w:sz w:val="18"/>
              </w:rPr>
              <w:t> </w:t>
            </w:r>
            <w:r>
              <w:rPr>
                <w:sz w:val="18"/>
              </w:rPr>
              <w:t>7</w:t>
            </w:r>
            <w:r>
              <w:rPr>
                <w:spacing w:val="-4"/>
                <w:sz w:val="18"/>
              </w:rPr>
              <w:t> </w:t>
            </w:r>
            <w:r>
              <w:rPr>
                <w:sz w:val="18"/>
              </w:rPr>
              <w:t>as</w:t>
            </w:r>
            <w:r>
              <w:rPr>
                <w:spacing w:val="-4"/>
                <w:sz w:val="18"/>
              </w:rPr>
              <w:t> </w:t>
            </w:r>
            <w:r>
              <w:rPr>
                <w:sz w:val="18"/>
              </w:rPr>
              <w:t>they</w:t>
            </w:r>
            <w:r>
              <w:rPr>
                <w:spacing w:val="-4"/>
                <w:sz w:val="18"/>
              </w:rPr>
              <w:t> </w:t>
            </w:r>
            <w:r>
              <w:rPr>
                <w:sz w:val="18"/>
              </w:rPr>
              <w:t>apply</w:t>
            </w:r>
            <w:r>
              <w:rPr>
                <w:spacing w:val="-4"/>
                <w:sz w:val="18"/>
              </w:rPr>
              <w:t> </w:t>
            </w:r>
            <w:r>
              <w:rPr>
                <w:sz w:val="18"/>
              </w:rPr>
              <w:t>to</w:t>
            </w:r>
            <w:r>
              <w:rPr>
                <w:spacing w:val="-5"/>
                <w:sz w:val="18"/>
              </w:rPr>
              <w:t> </w:t>
            </w:r>
            <w:r>
              <w:rPr>
                <w:sz w:val="18"/>
              </w:rPr>
              <w:t>circuits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11"/>
              <w:rPr>
                <w:b/>
                <w:sz w:val="18"/>
              </w:rPr>
            </w:pPr>
            <w:r>
              <w:rPr>
                <w:b/>
                <w:sz w:val="18"/>
              </w:rPr>
              <w:t>Required</w:t>
            </w:r>
          </w:p>
        </w:tc>
        <w:tc>
          <w:tcPr>
            <w:tcW w:w="564" w:type="dxa"/>
            <w:shd w:val="clear" w:color="auto" w:fill="F2F2F2"/>
            <w:textDirection w:val="btLr"/>
          </w:tcPr>
          <w:p>
            <w:pPr>
              <w:pStyle w:val="TableParagraph"/>
              <w:spacing w:before="86"/>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1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675"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 H5.6 and H4.4 – Perform circuits and perform go-round</w:t>
            </w:r>
          </w:p>
        </w:tc>
        <w:tc>
          <w:tcPr>
            <w:tcW w:w="562" w:type="dxa"/>
            <w:shd w:val="clear" w:color="auto" w:fill="F2F2F2"/>
          </w:tcPr>
          <w:p>
            <w:pPr>
              <w:pStyle w:val="TableParagraph"/>
              <w:spacing w:before="49"/>
              <w:ind w:left="3"/>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0"/>
              <w:ind w:left="26"/>
              <w:rPr>
                <w:b/>
                <w:sz w:val="18"/>
              </w:rPr>
            </w:pPr>
            <w:r>
              <w:rPr>
                <w:b/>
                <w:sz w:val="18"/>
              </w:rPr>
              <w:t>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2" w:type="dxa"/>
            <w:shd w:val="clear" w:color="auto" w:fill="F2F2F2"/>
          </w:tcPr>
          <w:p>
            <w:pPr>
              <w:pStyle w:val="TableParagraph"/>
              <w:spacing w:before="119"/>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2" w:type="dxa"/>
            <w:shd w:val="clear" w:color="auto" w:fill="F2F2F2"/>
          </w:tcPr>
          <w:p>
            <w:pPr>
              <w:pStyle w:val="TableParagraph"/>
              <w:spacing w:before="119"/>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conducts flight training in accordance with the training plan all demonstrating skills and behaviours described in element FIR4.4 of unit FIR4 (Conduct of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1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demonstrate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directs the task:</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the trainee's progress;</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2" w:type="dxa"/>
            <w:shd w:val="clear" w:color="auto" w:fill="F2F2F2"/>
          </w:tcPr>
          <w:p>
            <w:pPr>
              <w:pStyle w:val="TableParagraph"/>
              <w:spacing w:before="23"/>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2" w:type="dxa"/>
            <w:shd w:val="clear" w:color="auto" w:fill="F2F2F2"/>
          </w:tcPr>
          <w:p>
            <w:pPr>
              <w:pStyle w:val="TableParagraph"/>
              <w:spacing w:before="117"/>
              <w:ind w:left="4"/>
              <w:jc w:val="center"/>
              <w:rPr>
                <w:sz w:val="20"/>
              </w:rPr>
            </w:pPr>
            <w:r>
              <w:rPr>
                <w:w w:val="99"/>
                <w:sz w:val="20"/>
              </w:rPr>
              <w:t>2</w:t>
            </w:r>
          </w:p>
        </w:tc>
        <w:tc>
          <w:tcPr>
            <w:tcW w:w="564"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2" w:type="dxa"/>
            <w:shd w:val="clear" w:color="auto" w:fill="F2F2F2"/>
          </w:tcPr>
          <w:p>
            <w:pPr>
              <w:pStyle w:val="TableParagraph"/>
              <w:spacing w:before="1"/>
              <w:rPr>
                <w:rFonts w:ascii="Times New Roman"/>
                <w:sz w:val="19"/>
              </w:rPr>
            </w:pPr>
          </w:p>
          <w:p>
            <w:pPr>
              <w:pStyle w:val="TableParagraph"/>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2" w:type="dxa"/>
            <w:shd w:val="clear" w:color="auto" w:fill="F2F2F2"/>
          </w:tcPr>
          <w:p>
            <w:pPr>
              <w:pStyle w:val="TableParagraph"/>
              <w:spacing w:before="26"/>
              <w:ind w:left="4"/>
              <w:jc w:val="center"/>
              <w:rPr>
                <w:sz w:val="20"/>
              </w:rPr>
            </w:pPr>
            <w:r>
              <w:rPr>
                <w:w w:val="99"/>
                <w:sz w:val="20"/>
              </w:rPr>
              <w:t>2</w:t>
            </w:r>
          </w:p>
        </w:tc>
        <w:tc>
          <w:tcPr>
            <w:tcW w:w="564"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1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2"/>
        <w:gridCol w:w="564"/>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2" w:type="dxa"/>
            <w:shd w:val="clear" w:color="auto" w:fill="F2F2F2"/>
            <w:textDirection w:val="btLr"/>
          </w:tcPr>
          <w:p>
            <w:pPr>
              <w:pStyle w:val="TableParagraph"/>
              <w:spacing w:before="171"/>
              <w:ind w:left="8"/>
              <w:rPr>
                <w:b/>
                <w:sz w:val="18"/>
              </w:rPr>
            </w:pPr>
            <w:r>
              <w:rPr>
                <w:b/>
                <w:sz w:val="18"/>
              </w:rPr>
              <w:t>Required</w:t>
            </w:r>
          </w:p>
        </w:tc>
        <w:tc>
          <w:tcPr>
            <w:tcW w:w="564" w:type="dxa"/>
            <w:shd w:val="clear" w:color="auto" w:fill="F2F2F2"/>
            <w:textDirection w:val="btLr"/>
          </w:tcPr>
          <w:p>
            <w:pPr>
              <w:pStyle w:val="TableParagraph"/>
              <w:spacing w:before="86"/>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(e) brief the trainee on the details of the next training exercise;</w:t>
            </w:r>
          </w:p>
        </w:tc>
        <w:tc>
          <w:tcPr>
            <w:tcW w:w="562" w:type="dxa"/>
            <w:shd w:val="clear" w:color="auto" w:fill="F2F2F2"/>
          </w:tcPr>
          <w:p>
            <w:pPr>
              <w:pStyle w:val="TableParagraph"/>
              <w:spacing w:before="22"/>
              <w:ind w:left="4"/>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2"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2" w:type="dxa"/>
            <w:shd w:val="clear" w:color="auto" w:fill="F2F2F2"/>
          </w:tcPr>
          <w:p>
            <w:pPr>
              <w:pStyle w:val="TableParagraph"/>
              <w:spacing w:before="26"/>
              <w:ind w:left="4"/>
              <w:jc w:val="center"/>
              <w:rPr>
                <w:sz w:val="20"/>
              </w:rPr>
            </w:pPr>
            <w:r>
              <w:rPr>
                <w:w w:val="99"/>
                <w:sz w:val="20"/>
              </w:rPr>
              <w:t>3</w:t>
            </w:r>
          </w:p>
        </w:tc>
        <w:tc>
          <w:tcPr>
            <w:tcW w:w="564"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2" w:type="dxa"/>
            <w:shd w:val="clear" w:color="auto" w:fill="F2F2F2"/>
          </w:tcPr>
          <w:p>
            <w:pPr>
              <w:pStyle w:val="TableParagraph"/>
              <w:spacing w:before="117"/>
              <w:ind w:left="4"/>
              <w:jc w:val="center"/>
              <w:rPr>
                <w:sz w:val="20"/>
              </w:rPr>
            </w:pPr>
            <w:r>
              <w:rPr>
                <w:w w:val="99"/>
                <w:sz w:val="20"/>
              </w:rPr>
              <w:t>3</w:t>
            </w:r>
          </w:p>
        </w:tc>
        <w:tc>
          <w:tcPr>
            <w:tcW w:w="564"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1"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5"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11"/>
        <w:rPr>
          <w:rFonts w:ascii="Times New Roman"/>
          <w:b w:val="0"/>
          <w:sz w:val="1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3565"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63520"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62496" type="#_x0000_t202" filled="false" stroked="false">
          <v:textbox inset="0,0,0,0">
            <w:txbxContent>
              <w:p>
                <w:pPr>
                  <w:spacing w:line="203" w:lineRule="exact" w:before="0"/>
                  <w:ind w:left="20" w:right="0" w:firstLine="0"/>
                  <w:jc w:val="left"/>
                  <w:rPr>
                    <w:rFonts w:ascii="Calibri"/>
                    <w:sz w:val="18"/>
                  </w:rPr>
                </w:pPr>
                <w:r>
                  <w:rPr>
                    <w:rFonts w:ascii="Calibri"/>
                    <w:sz w:val="18"/>
                  </w:rPr>
                  <w:t>FIR-TE3-36</w:t>
                </w:r>
              </w:p>
            </w:txbxContent>
          </v:textbox>
          <w10:wrap type="none"/>
        </v:shape>
      </w:pict>
    </w:r>
    <w:r>
      <w:rPr/>
      <w:pict>
        <v:shape style="position:absolute;margin-left:274.763pt;margin-top:801.289978pt;width:45.95pt;height:11pt;mso-position-horizontal-relative:page;mso-position-vertical-relative:page;z-index:-25316147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6044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7376"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FIR-TE3-36</w:t>
                </w:r>
              </w:p>
            </w:txbxContent>
          </v:textbox>
          <w10:wrap type="none"/>
        </v:shape>
      </w:pict>
    </w:r>
    <w:r>
      <w:rPr/>
      <w:pict>
        <v:shape style="position:absolute;margin-left:274.763pt;margin-top:801.289978pt;width:45.95pt;height:11pt;mso-position-horizontal-relative:page;mso-position-vertical-relative:page;z-index:-25315532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430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59424"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529.25pt;height:13.15pt;mso-position-horizontal-relative:page;mso-position-vertical-relative:page;z-index:-253158400" type="#_x0000_t202" filled="false" stroked="false">
          <v:textbox inset="0,0,0,0">
            <w:txbxContent>
              <w:p>
                <w:pPr>
                  <w:pStyle w:val="BodyText"/>
                  <w:spacing w:before="12"/>
                  <w:ind w:left="20"/>
                </w:pPr>
                <w:r>
                  <w:rPr/>
                  <w:t>LESSON TE3-36: CIRCUITS INLCUIDNG CROSS-WIND HOVERING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4" w:hanging="360"/>
      </w:pPr>
      <w:rPr>
        <w:rFonts w:hint="default"/>
        <w:lang w:val="en-au" w:eastAsia="en-au" w:bidi="en-au"/>
      </w:rPr>
    </w:lvl>
    <w:lvl w:ilvl="3">
      <w:start w:val="0"/>
      <w:numFmt w:val="bullet"/>
      <w:lvlText w:val="•"/>
      <w:lvlJc w:val="left"/>
      <w:pPr>
        <w:ind w:left="3816" w:hanging="360"/>
      </w:pPr>
      <w:rPr>
        <w:rFonts w:hint="default"/>
        <w:lang w:val="en-au" w:eastAsia="en-au" w:bidi="en-au"/>
      </w:rPr>
    </w:lvl>
    <w:lvl w:ilvl="4">
      <w:start w:val="0"/>
      <w:numFmt w:val="bullet"/>
      <w:lvlText w:val="•"/>
      <w:lvlJc w:val="left"/>
      <w:pPr>
        <w:ind w:left="4828" w:hanging="360"/>
      </w:pPr>
      <w:rPr>
        <w:rFonts w:hint="default"/>
        <w:lang w:val="en-au" w:eastAsia="en-au" w:bidi="en-au"/>
      </w:rPr>
    </w:lvl>
    <w:lvl w:ilvl="5">
      <w:start w:val="0"/>
      <w:numFmt w:val="bullet"/>
      <w:lvlText w:val="•"/>
      <w:lvlJc w:val="left"/>
      <w:pPr>
        <w:ind w:left="5841" w:hanging="360"/>
      </w:pPr>
      <w:rPr>
        <w:rFonts w:hint="default"/>
        <w:lang w:val="en-au" w:eastAsia="en-au" w:bidi="en-au"/>
      </w:rPr>
    </w:lvl>
    <w:lvl w:ilvl="6">
      <w:start w:val="0"/>
      <w:numFmt w:val="bullet"/>
      <w:lvlText w:val="•"/>
      <w:lvlJc w:val="left"/>
      <w:pPr>
        <w:ind w:left="6853" w:hanging="360"/>
      </w:pPr>
      <w:rPr>
        <w:rFonts w:hint="default"/>
        <w:lang w:val="en-au" w:eastAsia="en-au" w:bidi="en-au"/>
      </w:rPr>
    </w:lvl>
    <w:lvl w:ilvl="7">
      <w:start w:val="0"/>
      <w:numFmt w:val="bullet"/>
      <w:lvlText w:val="•"/>
      <w:lvlJc w:val="left"/>
      <w:pPr>
        <w:ind w:left="7865" w:hanging="360"/>
      </w:pPr>
      <w:rPr>
        <w:rFonts w:hint="default"/>
        <w:lang w:val="en-au" w:eastAsia="en-au" w:bidi="en-au"/>
      </w:rPr>
    </w:lvl>
    <w:lvl w:ilvl="8">
      <w:start w:val="0"/>
      <w:numFmt w:val="bullet"/>
      <w:lvlText w:val="•"/>
      <w:lvlJc w:val="left"/>
      <w:pPr>
        <w:ind w:left="887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TE3-36 Circuits Pre-flight &amp; in-flight Lesson plan &amp; Trng record</dc:title>
  <dcterms:created xsi:type="dcterms:W3CDTF">2021-11-10T00:54:20Z</dcterms:created>
  <dcterms:modified xsi:type="dcterms:W3CDTF">2021-11-10T00:54:20Z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