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53,5" to="10838,5" stroked="true" strokeweight=".48pt" strokecolor="#000000">
              <v:stroke dashstyle="solid"/>
            </v:line>
            <v:line style="position:absolute" from="53,674" to="10838,674" stroked="true" strokeweight=".48pt" strokecolor="#000000">
              <v:stroke dashstyle="solid"/>
            </v:line>
            <v:line style="position:absolute" from="48,0" to="48,679" stroked="true" strokeweight=".481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679" to="5,1051" stroked="true" strokeweight=".481pt" strokecolor="#000000">
              <v:stroke dashstyle="solid"/>
            </v:line>
            <v:line style="position:absolute" from="10843,0" to="10843,1051" stroked="true" strokeweight=".48pt" strokecolor="#000000">
              <v:stroke dashstyle="solid"/>
            </v:line>
            <v:shape style="position:absolute;left:52;top:688;width:10786;height:353" type="#_x0000_t202" filled="true" fillcolor="#f2f2f2" stroked="false">
              <v:textbox inset="0,0,0,0">
                <w:txbxContent>
                  <w:p>
                    <w:pPr>
                      <w:spacing w:before="57"/>
                      <w:ind w:left="-15" w:right="0" w:firstLine="0"/>
                      <w:jc w:val="left"/>
                      <w:rPr>
                        <w:b/>
                        <w:sz w:val="20"/>
                      </w:rPr>
                    </w:pPr>
                    <w:r>
                      <w:rPr>
                        <w:b/>
                        <w:sz w:val="20"/>
                      </w:rPr>
                      <w:t>LESSON TE3-23: HOO CHECK (BASIC PHASE) – PRE-FLIGHT BRIEF and FLIGHT TRAINING</w:t>
                    </w:r>
                  </w:p>
                </w:txbxContent>
              </v:textbox>
              <v:fill type="solid"/>
              <w10:wrap type="none"/>
            </v:shape>
            <v:shape style="position:absolute;left:52;top:9;width:10786;height:660" type="#_x0000_t202" filled="true" fillcolor="#dadada" stroked="false">
              <v:textbox inset="0,0,0,0">
                <w:txbxContent>
                  <w:p>
                    <w:pPr>
                      <w:spacing w:line="276" w:lineRule="auto" w:before="57"/>
                      <w:ind w:left="331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38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Trainee delivers pre-flight brief on Basic Phase</w:t>
            </w:r>
            <w:r>
              <w:rPr>
                <w:spacing w:val="-3"/>
                <w:sz w:val="18"/>
              </w:rPr>
              <w:t> </w:t>
            </w:r>
            <w:r>
              <w:rPr>
                <w:sz w:val="18"/>
              </w:rPr>
              <w:t>element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Trainee delivers in-flight lesson associated with pre-flight brief</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Trainee delivers short demonstrations of other selected basic-phase in-flight</w:t>
            </w:r>
            <w:r>
              <w:rPr>
                <w:spacing w:val="-4"/>
                <w:sz w:val="18"/>
              </w:rPr>
              <w:t> </w:t>
            </w:r>
            <w:r>
              <w:rPr>
                <w:sz w:val="18"/>
              </w:rPr>
              <w:t>lessons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Demonstration by trainee of circuit flying from instructor</w:t>
            </w:r>
            <w:r>
              <w:rPr>
                <w:spacing w:val="-11"/>
                <w:sz w:val="18"/>
              </w:rPr>
              <w:t> </w:t>
            </w:r>
            <w:r>
              <w:rPr>
                <w:sz w:val="18"/>
              </w:rPr>
              <w:t>seat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w:t>
            </w:r>
            <w:r>
              <w:rPr>
                <w:spacing w:val="-4"/>
                <w:sz w:val="18"/>
              </w:rPr>
              <w:t> </w:t>
            </w:r>
            <w:r>
              <w:rPr>
                <w:sz w:val="18"/>
              </w:rPr>
              <w:t>applicable</w:t>
            </w:r>
          </w:p>
        </w:tc>
      </w:tr>
      <w:tr>
        <w:trPr>
          <w:trHeight w:val="290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w:t>
            </w:r>
            <w:r>
              <w:rPr>
                <w:spacing w:val="-2"/>
                <w:sz w:val="18"/>
              </w:rPr>
              <w:t> </w:t>
            </w:r>
            <w:r>
              <w:rPr>
                <w:sz w:val="18"/>
              </w:rPr>
              <w:t>HOO</w:t>
            </w:r>
            <w:r>
              <w:rPr>
                <w:spacing w:val="-2"/>
                <w:sz w:val="18"/>
              </w:rPr>
              <w:t> </w:t>
            </w:r>
            <w:r>
              <w:rPr>
                <w:sz w:val="18"/>
              </w:rPr>
              <w:t>check</w:t>
            </w:r>
            <w:r>
              <w:rPr>
                <w:spacing w:val="-1"/>
                <w:sz w:val="18"/>
              </w:rPr>
              <w:t> </w:t>
            </w:r>
            <w:r>
              <w:rPr>
                <w:sz w:val="18"/>
              </w:rPr>
              <w:t>will</w:t>
            </w:r>
            <w:r>
              <w:rPr>
                <w:spacing w:val="-4"/>
                <w:sz w:val="18"/>
              </w:rPr>
              <w:t> </w:t>
            </w:r>
            <w:r>
              <w:rPr>
                <w:sz w:val="18"/>
              </w:rPr>
              <w:t>confirm</w:t>
            </w:r>
            <w:r>
              <w:rPr>
                <w:spacing w:val="-1"/>
                <w:sz w:val="18"/>
              </w:rPr>
              <w:t> </w:t>
            </w:r>
            <w:r>
              <w:rPr>
                <w:sz w:val="18"/>
              </w:rPr>
              <w:t>the</w:t>
            </w:r>
            <w:r>
              <w:rPr>
                <w:spacing w:val="-1"/>
                <w:sz w:val="18"/>
              </w:rPr>
              <w:t> </w:t>
            </w:r>
            <w:r>
              <w:rPr>
                <w:sz w:val="18"/>
              </w:rPr>
              <w:t>trainee</w:t>
            </w:r>
            <w:r>
              <w:rPr>
                <w:spacing w:val="-4"/>
                <w:sz w:val="18"/>
              </w:rPr>
              <w:t> </w:t>
            </w:r>
            <w:r>
              <w:rPr>
                <w:sz w:val="18"/>
              </w:rPr>
              <w:t>is</w:t>
            </w:r>
            <w:r>
              <w:rPr>
                <w:spacing w:val="-3"/>
                <w:sz w:val="18"/>
              </w:rPr>
              <w:t> </w:t>
            </w:r>
            <w:r>
              <w:rPr>
                <w:sz w:val="18"/>
              </w:rPr>
              <w:t>progressing</w:t>
            </w:r>
            <w:r>
              <w:rPr>
                <w:spacing w:val="-4"/>
                <w:sz w:val="18"/>
              </w:rPr>
              <w:t> </w:t>
            </w:r>
            <w:r>
              <w:rPr>
                <w:sz w:val="18"/>
              </w:rPr>
              <w:t>satisfactorily</w:t>
            </w:r>
            <w:r>
              <w:rPr>
                <w:spacing w:val="-3"/>
                <w:sz w:val="18"/>
              </w:rPr>
              <w:t> </w:t>
            </w:r>
            <w:r>
              <w:rPr>
                <w:sz w:val="18"/>
              </w:rPr>
              <w:t>and</w:t>
            </w:r>
            <w:r>
              <w:rPr>
                <w:spacing w:val="-4"/>
                <w:sz w:val="18"/>
              </w:rPr>
              <w:t> </w:t>
            </w:r>
            <w:r>
              <w:rPr>
                <w:sz w:val="18"/>
              </w:rPr>
              <w:t>is</w:t>
            </w:r>
            <w:r>
              <w:rPr>
                <w:spacing w:val="-1"/>
                <w:sz w:val="18"/>
              </w:rPr>
              <w:t> </w:t>
            </w:r>
            <w:r>
              <w:rPr>
                <w:sz w:val="18"/>
              </w:rPr>
              <w:t>ready</w:t>
            </w:r>
            <w:r>
              <w:rPr>
                <w:spacing w:val="-3"/>
                <w:sz w:val="18"/>
              </w:rPr>
              <w:t> </w:t>
            </w:r>
            <w:r>
              <w:rPr>
                <w:sz w:val="18"/>
              </w:rPr>
              <w:t>to</w:t>
            </w:r>
            <w:r>
              <w:rPr>
                <w:spacing w:val="-4"/>
                <w:sz w:val="18"/>
              </w:rPr>
              <w:t> </w:t>
            </w:r>
            <w:r>
              <w:rPr>
                <w:sz w:val="18"/>
              </w:rPr>
              <w:t>commence</w:t>
            </w:r>
            <w:r>
              <w:rPr>
                <w:spacing w:val="-1"/>
                <w:sz w:val="18"/>
              </w:rPr>
              <w:t> </w:t>
            </w:r>
            <w:r>
              <w:rPr>
                <w:sz w:val="18"/>
              </w:rPr>
              <w:t>the</w:t>
            </w:r>
            <w:r>
              <w:rPr>
                <w:spacing w:val="-1"/>
                <w:sz w:val="18"/>
              </w:rPr>
              <w:t> </w:t>
            </w:r>
            <w:r>
              <w:rPr>
                <w:sz w:val="18"/>
              </w:rPr>
              <w:t>Advanced</w:t>
            </w:r>
            <w:r>
              <w:rPr>
                <w:spacing w:val="-4"/>
                <w:sz w:val="18"/>
              </w:rPr>
              <w:t> </w:t>
            </w:r>
            <w:r>
              <w:rPr>
                <w:sz w:val="18"/>
              </w:rPr>
              <w:t>phase</w:t>
            </w:r>
            <w:r>
              <w:rPr>
                <w:spacing w:val="-1"/>
                <w:sz w:val="18"/>
              </w:rPr>
              <w:t> </w:t>
            </w:r>
            <w:r>
              <w:rPr>
                <w:sz w:val="18"/>
              </w:rPr>
              <w:t>of</w:t>
            </w:r>
            <w:r>
              <w:rPr>
                <w:spacing w:val="-2"/>
                <w:sz w:val="18"/>
              </w:rPr>
              <w:t> </w:t>
            </w:r>
            <w:r>
              <w:rPr>
                <w:sz w:val="18"/>
              </w:rPr>
              <w:t>training</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HOO should conduct the check as a formal assessment to expose the trainee to the check</w:t>
            </w:r>
            <w:r>
              <w:rPr>
                <w:spacing w:val="-22"/>
                <w:sz w:val="18"/>
              </w:rPr>
              <w:t> </w:t>
            </w:r>
            <w:r>
              <w:rPr>
                <w:sz w:val="18"/>
              </w:rPr>
              <w:t>environment</w:t>
            </w:r>
          </w:p>
          <w:p>
            <w:pPr>
              <w:pStyle w:val="TableParagraph"/>
              <w:numPr>
                <w:ilvl w:val="0"/>
                <w:numId w:val="2"/>
              </w:numPr>
              <w:tabs>
                <w:tab w:pos="623" w:val="left" w:leader="none"/>
                <w:tab w:pos="624" w:val="left" w:leader="none"/>
              </w:tabs>
              <w:spacing w:line="237" w:lineRule="auto" w:before="44" w:after="0"/>
              <w:ind w:left="623" w:right="-15" w:hanging="356"/>
              <w:jc w:val="left"/>
              <w:rPr>
                <w:sz w:val="18"/>
              </w:rPr>
            </w:pPr>
            <w:r>
              <w:rPr>
                <w:sz w:val="18"/>
              </w:rPr>
              <w:t>The pre-flight brief is to be selected from one of the basic phase elements and should be provided to the trainee a few days prio to the</w:t>
            </w:r>
            <w:r>
              <w:rPr>
                <w:spacing w:val="-2"/>
                <w:sz w:val="18"/>
              </w:rPr>
              <w:t> </w:t>
            </w:r>
            <w:r>
              <w:rPr>
                <w:sz w:val="18"/>
              </w:rPr>
              <w:t>check</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pre-flight brief should be allowed to proceed without</w:t>
            </w:r>
            <w:r>
              <w:rPr>
                <w:spacing w:val="-7"/>
                <w:sz w:val="18"/>
              </w:rPr>
              <w:t> </w:t>
            </w:r>
            <w:r>
              <w:rPr>
                <w:sz w:val="18"/>
              </w:rPr>
              <w:t>interruption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in-flight exercise should reflect the pre-flight brief and be allowed to progress without</w:t>
            </w:r>
            <w:r>
              <w:rPr>
                <w:spacing w:val="-19"/>
                <w:sz w:val="18"/>
              </w:rPr>
              <w:t> </w:t>
            </w:r>
            <w:r>
              <w:rPr>
                <w:sz w:val="18"/>
              </w:rPr>
              <w:t>interruption.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At</w:t>
            </w:r>
            <w:r>
              <w:rPr>
                <w:spacing w:val="-2"/>
                <w:sz w:val="18"/>
              </w:rPr>
              <w:t> </w:t>
            </w:r>
            <w:r>
              <w:rPr>
                <w:sz w:val="18"/>
              </w:rPr>
              <w:t>the</w:t>
            </w:r>
            <w:r>
              <w:rPr>
                <w:spacing w:val="-3"/>
                <w:sz w:val="18"/>
              </w:rPr>
              <w:t> </w:t>
            </w:r>
            <w:r>
              <w:rPr>
                <w:sz w:val="18"/>
              </w:rPr>
              <w:t>conclusion</w:t>
            </w:r>
            <w:r>
              <w:rPr>
                <w:spacing w:val="-1"/>
                <w:sz w:val="18"/>
              </w:rPr>
              <w:t> </w:t>
            </w:r>
            <w:r>
              <w:rPr>
                <w:sz w:val="18"/>
              </w:rPr>
              <w:t>of</w:t>
            </w:r>
            <w:r>
              <w:rPr>
                <w:spacing w:val="-3"/>
                <w:sz w:val="18"/>
              </w:rPr>
              <w:t> </w:t>
            </w:r>
            <w:r>
              <w:rPr>
                <w:sz w:val="18"/>
              </w:rPr>
              <w:t>the</w:t>
            </w:r>
            <w:r>
              <w:rPr>
                <w:spacing w:val="-4"/>
                <w:sz w:val="18"/>
              </w:rPr>
              <w:t> </w:t>
            </w:r>
            <w:r>
              <w:rPr>
                <w:sz w:val="18"/>
              </w:rPr>
              <w:t>planned in-flight</w:t>
            </w:r>
            <w:r>
              <w:rPr>
                <w:spacing w:val="-2"/>
                <w:sz w:val="18"/>
              </w:rPr>
              <w:t> </w:t>
            </w:r>
            <w:r>
              <w:rPr>
                <w:sz w:val="18"/>
              </w:rPr>
              <w:t>lesson,</w:t>
            </w:r>
            <w:r>
              <w:rPr>
                <w:spacing w:val="-3"/>
                <w:sz w:val="18"/>
              </w:rPr>
              <w:t> </w:t>
            </w:r>
            <w:r>
              <w:rPr>
                <w:sz w:val="18"/>
              </w:rPr>
              <w:t>the</w:t>
            </w:r>
            <w:r>
              <w:rPr>
                <w:spacing w:val="-3"/>
                <w:sz w:val="18"/>
              </w:rPr>
              <w:t> </w:t>
            </w:r>
            <w:r>
              <w:rPr>
                <w:sz w:val="18"/>
              </w:rPr>
              <w:t>HOO</w:t>
            </w:r>
            <w:r>
              <w:rPr>
                <w:spacing w:val="-3"/>
                <w:sz w:val="18"/>
              </w:rPr>
              <w:t> </w:t>
            </w:r>
            <w:r>
              <w:rPr>
                <w:sz w:val="18"/>
              </w:rPr>
              <w:t>may</w:t>
            </w:r>
            <w:r>
              <w:rPr>
                <w:spacing w:val="-2"/>
                <w:sz w:val="18"/>
              </w:rPr>
              <w:t> </w:t>
            </w:r>
            <w:r>
              <w:rPr>
                <w:sz w:val="18"/>
              </w:rPr>
              <w:t>request</w:t>
            </w:r>
            <w:r>
              <w:rPr>
                <w:spacing w:val="-2"/>
                <w:sz w:val="18"/>
              </w:rPr>
              <w:t> </w:t>
            </w:r>
            <w:r>
              <w:rPr>
                <w:sz w:val="18"/>
              </w:rPr>
              <w:t>short</w:t>
            </w:r>
            <w:r>
              <w:rPr>
                <w:spacing w:val="-3"/>
                <w:sz w:val="18"/>
              </w:rPr>
              <w:t> </w:t>
            </w:r>
            <w:r>
              <w:rPr>
                <w:sz w:val="18"/>
              </w:rPr>
              <w:t>demonstrations of</w:t>
            </w:r>
            <w:r>
              <w:rPr>
                <w:spacing w:val="-4"/>
                <w:sz w:val="18"/>
              </w:rPr>
              <w:t> </w:t>
            </w:r>
            <w:r>
              <w:rPr>
                <w:sz w:val="18"/>
              </w:rPr>
              <w:t>other</w:t>
            </w:r>
            <w:r>
              <w:rPr>
                <w:spacing w:val="-1"/>
                <w:sz w:val="18"/>
              </w:rPr>
              <w:t> </w:t>
            </w:r>
            <w:r>
              <w:rPr>
                <w:sz w:val="18"/>
              </w:rPr>
              <w:t>basic</w:t>
            </w:r>
            <w:r>
              <w:rPr>
                <w:spacing w:val="-1"/>
                <w:sz w:val="18"/>
              </w:rPr>
              <w:t> </w:t>
            </w:r>
            <w:r>
              <w:rPr>
                <w:sz w:val="18"/>
              </w:rPr>
              <w:t>phase</w:t>
            </w:r>
            <w:r>
              <w:rPr>
                <w:spacing w:val="-3"/>
                <w:sz w:val="18"/>
              </w:rPr>
              <w:t> </w:t>
            </w:r>
            <w:r>
              <w:rPr>
                <w:sz w:val="18"/>
              </w:rPr>
              <w:t>lessons.</w:t>
            </w:r>
          </w:p>
          <w:p>
            <w:pPr>
              <w:pStyle w:val="TableParagraph"/>
              <w:numPr>
                <w:ilvl w:val="0"/>
                <w:numId w:val="2"/>
              </w:numPr>
              <w:tabs>
                <w:tab w:pos="623" w:val="left" w:leader="none"/>
                <w:tab w:pos="624" w:val="left" w:leader="none"/>
              </w:tabs>
              <w:spacing w:line="237" w:lineRule="auto" w:before="44" w:after="0"/>
              <w:ind w:left="623" w:right="83" w:hanging="356"/>
              <w:jc w:val="left"/>
              <w:rPr>
                <w:sz w:val="18"/>
              </w:rPr>
            </w:pPr>
            <w:r>
              <w:rPr>
                <w:sz w:val="18"/>
              </w:rPr>
              <w:t>On return the trainee should demonstrate a selection of circuits from the instructor seat as a pure flying exercise in preparation for the advanced</w:t>
            </w:r>
            <w:r>
              <w:rPr>
                <w:spacing w:val="-5"/>
                <w:sz w:val="18"/>
              </w:rPr>
              <w:t> </w:t>
            </w:r>
            <w:r>
              <w:rPr>
                <w:sz w:val="18"/>
              </w:rPr>
              <w:t>phase.</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HOO where they played the role of a</w:t>
            </w:r>
            <w:r>
              <w:rPr>
                <w:spacing w:val="-5"/>
                <w:sz w:val="18"/>
              </w:rPr>
              <w:t> </w:t>
            </w:r>
            <w:r>
              <w:rPr>
                <w:sz w:val="18"/>
              </w:rPr>
              <w:t>student.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2"/>
                <w:sz w:val="18"/>
              </w:rPr>
              <w:t> </w:t>
            </w:r>
            <w:r>
              <w:rPr>
                <w:sz w:val="18"/>
              </w:rPr>
              <w:t>HOO</w:t>
            </w:r>
            <w:r>
              <w:rPr>
                <w:spacing w:val="-2"/>
                <w:sz w:val="18"/>
              </w:rPr>
              <w:t> </w:t>
            </w:r>
            <w:r>
              <w:rPr>
                <w:sz w:val="18"/>
              </w:rPr>
              <w:t>must</w:t>
            </w:r>
            <w:r>
              <w:rPr>
                <w:spacing w:val="-2"/>
                <w:sz w:val="18"/>
              </w:rPr>
              <w:t> </w:t>
            </w:r>
            <w:r>
              <w:rPr>
                <w:sz w:val="18"/>
              </w:rPr>
              <w:t>debrief</w:t>
            </w:r>
            <w:r>
              <w:rPr>
                <w:spacing w:val="-2"/>
                <w:sz w:val="18"/>
              </w:rPr>
              <w:t> </w:t>
            </w:r>
            <w:r>
              <w:rPr>
                <w:sz w:val="18"/>
              </w:rPr>
              <w:t>the</w:t>
            </w:r>
            <w:r>
              <w:rPr>
                <w:spacing w:val="-4"/>
                <w:sz w:val="18"/>
              </w:rPr>
              <w:t> </w:t>
            </w:r>
            <w:r>
              <w:rPr>
                <w:sz w:val="18"/>
              </w:rPr>
              <w:t>trainee</w:t>
            </w:r>
            <w:r>
              <w:rPr>
                <w:spacing w:val="-1"/>
                <w:sz w:val="18"/>
              </w:rPr>
              <w:t> </w:t>
            </w:r>
            <w:r>
              <w:rPr>
                <w:sz w:val="18"/>
              </w:rPr>
              <w:t>on</w:t>
            </w:r>
            <w:r>
              <w:rPr>
                <w:spacing w:val="-1"/>
                <w:sz w:val="18"/>
              </w:rPr>
              <w:t> </w:t>
            </w:r>
            <w:r>
              <w:rPr>
                <w:sz w:val="18"/>
              </w:rPr>
              <w:t>all</w:t>
            </w:r>
            <w:r>
              <w:rPr>
                <w:spacing w:val="-2"/>
                <w:sz w:val="18"/>
              </w:rPr>
              <w:t> </w:t>
            </w:r>
            <w:r>
              <w:rPr>
                <w:sz w:val="18"/>
              </w:rPr>
              <w:t>aspects</w:t>
            </w:r>
            <w:r>
              <w:rPr>
                <w:spacing w:val="-2"/>
                <w:sz w:val="18"/>
              </w:rPr>
              <w:t> </w:t>
            </w:r>
            <w:r>
              <w:rPr>
                <w:sz w:val="18"/>
              </w:rPr>
              <w:t>of</w:t>
            </w:r>
            <w:r>
              <w:rPr>
                <w:spacing w:val="-2"/>
                <w:sz w:val="18"/>
              </w:rPr>
              <w:t> </w:t>
            </w:r>
            <w:r>
              <w:rPr>
                <w:sz w:val="18"/>
              </w:rPr>
              <w:t>the</w:t>
            </w:r>
            <w:r>
              <w:rPr>
                <w:spacing w:val="-4"/>
                <w:sz w:val="18"/>
              </w:rPr>
              <w:t> </w:t>
            </w:r>
            <w:r>
              <w:rPr>
                <w:sz w:val="18"/>
              </w:rPr>
              <w:t>check</w:t>
            </w:r>
            <w:r>
              <w:rPr>
                <w:spacing w:val="-1"/>
                <w:sz w:val="18"/>
              </w:rPr>
              <w:t> </w:t>
            </w:r>
            <w:r>
              <w:rPr>
                <w:sz w:val="18"/>
              </w:rPr>
              <w:t>and</w:t>
            </w:r>
            <w:r>
              <w:rPr>
                <w:spacing w:val="-1"/>
                <w:sz w:val="18"/>
              </w:rPr>
              <w:t> </w:t>
            </w:r>
            <w:r>
              <w:rPr>
                <w:sz w:val="18"/>
              </w:rPr>
              <w:t>confirm</w:t>
            </w:r>
            <w:r>
              <w:rPr>
                <w:spacing w:val="-2"/>
                <w:sz w:val="18"/>
              </w:rPr>
              <w:t> </w:t>
            </w:r>
            <w:r>
              <w:rPr>
                <w:sz w:val="18"/>
              </w:rPr>
              <w:t>their</w:t>
            </w:r>
            <w:r>
              <w:rPr>
                <w:spacing w:val="-2"/>
                <w:sz w:val="18"/>
              </w:rPr>
              <w:t> </w:t>
            </w:r>
            <w:r>
              <w:rPr>
                <w:sz w:val="18"/>
              </w:rPr>
              <w:t>readiness</w:t>
            </w:r>
            <w:r>
              <w:rPr>
                <w:spacing w:val="-1"/>
                <w:sz w:val="18"/>
              </w:rPr>
              <w:t> </w:t>
            </w:r>
            <w:r>
              <w:rPr>
                <w:sz w:val="18"/>
              </w:rPr>
              <w:t>to</w:t>
            </w:r>
            <w:r>
              <w:rPr>
                <w:spacing w:val="-1"/>
                <w:sz w:val="18"/>
              </w:rPr>
              <w:t> </w:t>
            </w:r>
            <w:r>
              <w:rPr>
                <w:sz w:val="18"/>
              </w:rPr>
              <w:t>commence</w:t>
            </w:r>
            <w:r>
              <w:rPr>
                <w:spacing w:val="-1"/>
                <w:sz w:val="18"/>
              </w:rPr>
              <w:t> </w:t>
            </w:r>
            <w:r>
              <w:rPr>
                <w:sz w:val="18"/>
              </w:rPr>
              <w:t>the</w:t>
            </w:r>
            <w:r>
              <w:rPr>
                <w:spacing w:val="-1"/>
                <w:sz w:val="18"/>
              </w:rPr>
              <w:t> </w:t>
            </w:r>
            <w:r>
              <w:rPr>
                <w:sz w:val="18"/>
              </w:rPr>
              <w:t>advanced</w:t>
            </w:r>
            <w:r>
              <w:rPr>
                <w:spacing w:val="-4"/>
                <w:sz w:val="18"/>
              </w:rPr>
              <w:t> </w:t>
            </w:r>
            <w:r>
              <w:rPr>
                <w:sz w:val="18"/>
              </w:rPr>
              <w:t>phase.</w:t>
            </w:r>
          </w:p>
        </w:tc>
      </w:tr>
    </w:tbl>
    <w:p>
      <w:pPr>
        <w:pStyle w:val="BodyText"/>
        <w:spacing w:before="8"/>
        <w:rPr>
          <w:rFonts w:ascii="Times New Roman"/>
          <w:b w:val="0"/>
          <w:sz w:val="26"/>
        </w:rPr>
      </w:pPr>
    </w:p>
    <w:tbl>
      <w:tblPr>
        <w:tblW w:w="0" w:type="auto"/>
        <w:jc w:val="left"/>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309"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65" w:lineRule="exact"/>
              <w:ind w:left="105"/>
              <w:rPr>
                <w:rFonts w:ascii="Calibri"/>
                <w:b/>
                <w:sz w:val="22"/>
              </w:rPr>
            </w:pPr>
            <w:r>
              <w:rPr>
                <w:rFonts w:ascii="Calibri"/>
                <w:b/>
                <w:sz w:val="22"/>
              </w:rPr>
              <w:t>LESSON DESCRIPTION (including training session number)</w:t>
            </w:r>
          </w:p>
        </w:tc>
      </w:tr>
      <w:tr>
        <w:trPr>
          <w:trHeight w:val="493" w:hRule="atLeast"/>
        </w:trPr>
        <w:tc>
          <w:tcPr>
            <w:tcW w:w="1951" w:type="dxa"/>
          </w:tcPr>
          <w:p>
            <w:pPr>
              <w:pStyle w:val="TableParagraph"/>
              <w:spacing w:line="204" w:lineRule="exact"/>
              <w:ind w:left="107"/>
              <w:rPr>
                <w:sz w:val="18"/>
              </w:rPr>
            </w:pPr>
            <w:r>
              <w:rPr>
                <w:sz w:val="18"/>
              </w:rPr>
              <w:t>Pre-flight brief &amp;</w:t>
            </w:r>
          </w:p>
          <w:p>
            <w:pPr>
              <w:pStyle w:val="TableParagraph"/>
              <w:spacing w:before="40"/>
              <w:ind w:left="107"/>
              <w:rPr>
                <w:sz w:val="18"/>
              </w:rPr>
            </w:pPr>
            <w:r>
              <w:rPr>
                <w:sz w:val="18"/>
              </w:rPr>
              <w:t>In-flight lesson</w:t>
            </w:r>
          </w:p>
        </w:tc>
        <w:tc>
          <w:tcPr>
            <w:tcW w:w="8894" w:type="dxa"/>
          </w:tcPr>
          <w:p>
            <w:pPr>
              <w:pStyle w:val="TableParagraph"/>
              <w:rPr>
                <w:rFonts w:ascii="Times New Roman"/>
                <w:sz w:val="18"/>
              </w:rPr>
            </w:pPr>
          </w:p>
        </w:tc>
      </w:tr>
      <w:tr>
        <w:trPr>
          <w:trHeight w:val="453" w:hRule="atLeast"/>
        </w:trPr>
        <w:tc>
          <w:tcPr>
            <w:tcW w:w="1951" w:type="dxa"/>
          </w:tcPr>
          <w:p>
            <w:pPr>
              <w:pStyle w:val="TableParagraph"/>
              <w:spacing w:line="237" w:lineRule="auto"/>
              <w:ind w:left="107" w:right="703"/>
              <w:rPr>
                <w:sz w:val="18"/>
              </w:rPr>
            </w:pPr>
            <w:r>
              <w:rPr>
                <w:sz w:val="18"/>
              </w:rPr>
              <w:t>Other lessons delivered</w:t>
            </w:r>
          </w:p>
        </w:tc>
        <w:tc>
          <w:tcPr>
            <w:tcW w:w="8894" w:type="dxa"/>
          </w:tcPr>
          <w:p>
            <w:pPr>
              <w:pStyle w:val="TableParagraph"/>
              <w:rPr>
                <w:rFonts w:ascii="Times New Roman"/>
                <w:sz w:val="18"/>
              </w:rPr>
            </w:pP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(b)</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0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(c)</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0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NTS1.2 Maintain situational awareness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796"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tc>
      </w:tr>
    </w:tbl>
    <w:p>
      <w:pPr>
        <w:spacing w:after="0" w:line="240" w:lineRule="auto"/>
        <w:jc w:val="left"/>
        <w:rPr>
          <w:sz w:val="18"/>
        </w:rPr>
        <w:sectPr>
          <w:pgSz w:w="11910" w:h="16840"/>
          <w:pgMar w:header="566" w:footer="642" w:top="920" w:bottom="840" w:left="600" w:right="20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55"/>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323" w:hRule="atLeast"/>
        </w:trPr>
        <w:tc>
          <w:tcPr>
            <w:tcW w:w="1049" w:type="dxa"/>
          </w:tcPr>
          <w:p>
            <w:pPr>
              <w:pStyle w:val="TableParagraph"/>
              <w:rPr>
                <w:rFonts w:ascii="Times New Roman"/>
                <w:sz w:val="18"/>
              </w:rPr>
            </w:pPr>
          </w:p>
        </w:tc>
        <w:tc>
          <w:tcPr>
            <w:tcW w:w="9780" w:type="dxa"/>
          </w:tcPr>
          <w:p>
            <w:pPr>
              <w:pStyle w:val="TableParagraph"/>
              <w:tabs>
                <w:tab w:pos="707" w:val="left" w:leader="none"/>
              </w:tabs>
              <w:spacing w:before="66"/>
              <w:ind w:left="251"/>
              <w:rPr>
                <w:sz w:val="18"/>
              </w:rPr>
            </w:pPr>
            <w:r>
              <w:rPr>
                <w:sz w:val="20"/>
              </w:rPr>
              <w:t>(d)</w:t>
              <w:tab/>
            </w:r>
            <w:r>
              <w:rPr>
                <w:sz w:val="18"/>
              </w:rPr>
              <w:t>common risks that exist when conducting VFR</w:t>
            </w:r>
            <w:r>
              <w:rPr>
                <w:spacing w:val="-5"/>
                <w:sz w:val="18"/>
              </w:rPr>
              <w:t> </w:t>
            </w:r>
            <w:r>
              <w:rPr>
                <w:sz w:val="18"/>
              </w:rPr>
              <w:t>operations;</w:t>
            </w:r>
          </w:p>
        </w:tc>
      </w:tr>
    </w:tbl>
    <w:p>
      <w:pPr>
        <w:pStyle w:val="BodyText"/>
        <w:rPr>
          <w:rFonts w:ascii="Times New Roman"/>
          <w:b w:val="0"/>
        </w:rPr>
      </w:pPr>
    </w:p>
    <w:p>
      <w:pPr>
        <w:pStyle w:val="BodyText"/>
        <w:spacing w:before="5"/>
        <w:rPr>
          <w:rFonts w:ascii="Times New Roman"/>
          <w:b w:val="0"/>
          <w:sz w:val="19"/>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5864"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1"/>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6009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059072" type="#_x0000_t202" filled="false" stroked="false">
          <v:textbox inset="0,0,0,0">
            <w:txbxContent>
              <w:p>
                <w:pPr>
                  <w:spacing w:line="203" w:lineRule="exact" w:before="0"/>
                  <w:ind w:left="20" w:right="0" w:firstLine="0"/>
                  <w:jc w:val="left"/>
                  <w:rPr>
                    <w:rFonts w:ascii="Calibri"/>
                    <w:sz w:val="18"/>
                  </w:rPr>
                </w:pPr>
                <w:r>
                  <w:rPr>
                    <w:rFonts w:ascii="Calibri"/>
                    <w:sz w:val="18"/>
                  </w:rPr>
                  <w:t>FIR-TE3-23</w:t>
                </w:r>
              </w:p>
            </w:txbxContent>
          </v:textbox>
          <w10:wrap type="none"/>
        </v:shape>
      </w:pict>
    </w:r>
    <w:r>
      <w:rPr/>
      <w:pict>
        <v:shape style="position:absolute;margin-left:274.763pt;margin-top:801.289978pt;width:45.95pt;height:11pt;mso-position-horizontal-relative:page;mso-position-vertical-relative:page;z-index:-25305804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5702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53952"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052928" type="#_x0000_t202" filled="false" stroked="false">
          <v:textbox inset="0,0,0,0">
            <w:txbxContent>
              <w:p>
                <w:pPr>
                  <w:spacing w:line="203" w:lineRule="exact" w:before="0"/>
                  <w:ind w:left="20" w:right="0" w:firstLine="0"/>
                  <w:jc w:val="left"/>
                  <w:rPr>
                    <w:rFonts w:ascii="Calibri"/>
                    <w:sz w:val="18"/>
                  </w:rPr>
                </w:pPr>
                <w:r>
                  <w:rPr>
                    <w:rFonts w:ascii="Calibri"/>
                    <w:sz w:val="18"/>
                  </w:rPr>
                  <w:t>FIR-TE3-23</w:t>
                </w:r>
              </w:p>
            </w:txbxContent>
          </v:textbox>
          <w10:wrap type="none"/>
        </v:shape>
      </w:pict>
    </w:r>
    <w:r>
      <w:rPr/>
      <w:pict>
        <v:shape style="position:absolute;margin-left:274.763pt;margin-top:801.289978pt;width:45.95pt;height:11pt;mso-position-horizontal-relative:page;mso-position-vertical-relative:page;z-index:-25305190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5088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056000"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37.9pt;height:13.15pt;mso-position-horizontal-relative:page;mso-position-vertical-relative:page;z-index:-253054976" type="#_x0000_t202" filled="false" stroked="false">
          <v:textbox inset="0,0,0,0">
            <w:txbxContent>
              <w:p>
                <w:pPr>
                  <w:pStyle w:val="BodyText"/>
                  <w:spacing w:before="12"/>
                  <w:ind w:left="20"/>
                </w:pPr>
                <w:r>
                  <w:rPr/>
                  <w:t>LESSON TE3-23: HOO CHECK (BASIC PHASE)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TE3-23 - HOO Check (Basic Phase) Pre-flight &amp; in-flight Lesson plan &amp; Training record</dc:title>
  <dcterms:created xsi:type="dcterms:W3CDTF">2021-11-10T00:47:48Z</dcterms:created>
  <dcterms:modified xsi:type="dcterms:W3CDTF">2021-11-10T00:47:48Z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