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274" to="10855,1274" stroked="true" strokeweight=".481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880" w:firstLine="0"/>
                      <w:jc w:val="left"/>
                      <w:rPr>
                        <w:b/>
                        <w:sz w:val="20"/>
                      </w:rPr>
                    </w:pPr>
                    <w:r>
                      <w:rPr>
                        <w:b/>
                        <w:sz w:val="20"/>
                      </w:rPr>
                      <w:t>LESSON TE3-50: MANAGED FORCED LANDINGS AND STEEP TURNS – PRE-FLIGHT BRIEF and FLIGHT TRAINING</w:t>
                    </w:r>
                  </w:p>
                </w:txbxContent>
              </v:textbox>
              <v:fill type="solid"/>
              <w10:wrap type="none"/>
            </v:shape>
            <v:shape style="position:absolute;left:18;top:9;width:10838;height:660" type="#_x0000_t202" filled="true" fillcolor="#dadada" stroked="false">
              <v:textbox inset="0,0,0,0">
                <w:txbxContent>
                  <w:p>
                    <w:pPr>
                      <w:spacing w:line="276"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60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Manage Forced</w:t>
            </w:r>
            <w:r>
              <w:rPr>
                <w:b/>
                <w:spacing w:val="-3"/>
                <w:sz w:val="18"/>
              </w:rPr>
              <w:t> </w:t>
            </w:r>
            <w:r>
              <w:rPr>
                <w:b/>
                <w:sz w:val="18"/>
              </w:rPr>
              <w:t>landings</w:t>
            </w:r>
          </w:p>
          <w:p>
            <w:pPr>
              <w:pStyle w:val="TableParagraph"/>
              <w:numPr>
                <w:ilvl w:val="0"/>
                <w:numId w:val="1"/>
              </w:numPr>
              <w:tabs>
                <w:tab w:pos="286" w:val="left" w:leader="none"/>
              </w:tabs>
              <w:spacing w:line="218" w:lineRule="exact" w:before="0" w:after="0"/>
              <w:ind w:left="285" w:right="0" w:hanging="220"/>
              <w:jc w:val="left"/>
              <w:rPr>
                <w:b/>
                <w:sz w:val="18"/>
              </w:rPr>
            </w:pPr>
            <w:r>
              <w:rPr>
                <w:sz w:val="18"/>
              </w:rPr>
              <w:t>Read back of in-flight lesson for </w:t>
            </w:r>
            <w:r>
              <w:rPr>
                <w:b/>
                <w:sz w:val="18"/>
              </w:rPr>
              <w:t>Manage Forced</w:t>
            </w:r>
            <w:r>
              <w:rPr>
                <w:b/>
                <w:spacing w:val="-8"/>
                <w:sz w:val="18"/>
              </w:rPr>
              <w:t> </w:t>
            </w:r>
            <w:r>
              <w:rPr>
                <w:b/>
                <w:sz w:val="18"/>
              </w:rPr>
              <w:t>landings</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Impromptu read back for </w:t>
            </w:r>
            <w:r>
              <w:rPr>
                <w:b/>
                <w:sz w:val="18"/>
              </w:rPr>
              <w:t>Steep Turns</w:t>
            </w:r>
          </w:p>
          <w:p>
            <w:pPr>
              <w:pStyle w:val="TableParagraph"/>
              <w:numPr>
                <w:ilvl w:val="0"/>
                <w:numId w:val="1"/>
              </w:numPr>
              <w:tabs>
                <w:tab w:pos="286" w:val="left" w:leader="none"/>
              </w:tabs>
              <w:spacing w:line="219" w:lineRule="exact" w:before="5" w:after="0"/>
              <w:ind w:left="285" w:right="0" w:hanging="220"/>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20"/>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729"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manage forced</w:t>
            </w:r>
            <w:r>
              <w:rPr>
                <w:spacing w:val="-3"/>
                <w:sz w:val="18"/>
              </w:rPr>
              <w:t> </w:t>
            </w:r>
            <w:r>
              <w:rPr>
                <w:sz w:val="18"/>
              </w:rPr>
              <w:t>landings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This lesson consolidates the trainee learning from the previous lesson manage forced</w:t>
            </w:r>
            <w:r>
              <w:rPr>
                <w:spacing w:val="-6"/>
                <w:sz w:val="18"/>
              </w:rPr>
              <w:t> </w:t>
            </w:r>
            <w:r>
              <w:rPr>
                <w:sz w:val="18"/>
              </w:rPr>
              <w:t>landings</w:t>
            </w:r>
          </w:p>
          <w:p>
            <w:pPr>
              <w:pStyle w:val="TableParagraph"/>
              <w:numPr>
                <w:ilvl w:val="0"/>
                <w:numId w:val="2"/>
              </w:numPr>
              <w:tabs>
                <w:tab w:pos="623" w:val="left" w:leader="none"/>
                <w:tab w:pos="624" w:val="left" w:leader="none"/>
              </w:tabs>
              <w:spacing w:line="240" w:lineRule="auto" w:before="42" w:after="0"/>
              <w:ind w:left="623" w:right="81" w:hanging="356"/>
              <w:jc w:val="left"/>
              <w:rPr>
                <w:sz w:val="18"/>
              </w:rPr>
            </w:pPr>
            <w:r>
              <w:rPr>
                <w:sz w:val="18"/>
              </w:rPr>
              <w:t>During the in-flight lesson, the trainee must demonstrate the correct procedures for managing a forced landing emphasising the importance of the vital actions and logical prioritisation of task. The trainee should demonstrate the correct set up for the demonstration</w:t>
            </w:r>
            <w:r>
              <w:rPr>
                <w:spacing w:val="-3"/>
                <w:sz w:val="18"/>
              </w:rPr>
              <w:t> </w:t>
            </w:r>
            <w:r>
              <w:rPr>
                <w:sz w:val="18"/>
              </w:rPr>
              <w:t>and</w:t>
            </w:r>
            <w:r>
              <w:rPr>
                <w:spacing w:val="-2"/>
                <w:sz w:val="18"/>
              </w:rPr>
              <w:t> </w:t>
            </w:r>
            <w:r>
              <w:rPr>
                <w:sz w:val="18"/>
              </w:rPr>
              <w:t>use</w:t>
            </w:r>
            <w:r>
              <w:rPr>
                <w:spacing w:val="-2"/>
                <w:sz w:val="18"/>
              </w:rPr>
              <w:t> </w:t>
            </w:r>
            <w:r>
              <w:rPr>
                <w:sz w:val="18"/>
              </w:rPr>
              <w:t>of</w:t>
            </w:r>
            <w:r>
              <w:rPr>
                <w:spacing w:val="-3"/>
                <w:sz w:val="18"/>
              </w:rPr>
              <w:t> </w:t>
            </w:r>
            <w:r>
              <w:rPr>
                <w:sz w:val="18"/>
              </w:rPr>
              <w:t>appropriate</w:t>
            </w:r>
            <w:r>
              <w:rPr>
                <w:spacing w:val="-2"/>
                <w:sz w:val="18"/>
              </w:rPr>
              <w:t> </w:t>
            </w:r>
            <w:r>
              <w:rPr>
                <w:sz w:val="18"/>
              </w:rPr>
              <w:t>language</w:t>
            </w:r>
            <w:r>
              <w:rPr>
                <w:spacing w:val="-3"/>
                <w:sz w:val="18"/>
              </w:rPr>
              <w:t> </w:t>
            </w:r>
            <w:r>
              <w:rPr>
                <w:sz w:val="18"/>
              </w:rPr>
              <w:t>to</w:t>
            </w:r>
            <w:r>
              <w:rPr>
                <w:spacing w:val="-2"/>
                <w:sz w:val="18"/>
              </w:rPr>
              <w:t> </w:t>
            </w:r>
            <w:r>
              <w:rPr>
                <w:sz w:val="18"/>
              </w:rPr>
              <w:t>support</w:t>
            </w:r>
            <w:r>
              <w:rPr>
                <w:spacing w:val="-3"/>
                <w:sz w:val="18"/>
              </w:rPr>
              <w:t> </w:t>
            </w:r>
            <w:r>
              <w:rPr>
                <w:sz w:val="18"/>
              </w:rPr>
              <w:t>the</w:t>
            </w:r>
            <w:r>
              <w:rPr>
                <w:spacing w:val="-2"/>
                <w:sz w:val="18"/>
              </w:rPr>
              <w:t> </w:t>
            </w:r>
            <w:r>
              <w:rPr>
                <w:sz w:val="18"/>
              </w:rPr>
              <w:t>student</w:t>
            </w:r>
            <w:r>
              <w:rPr>
                <w:spacing w:val="-5"/>
                <w:sz w:val="18"/>
              </w:rPr>
              <w:t> </w:t>
            </w:r>
            <w:r>
              <w:rPr>
                <w:sz w:val="18"/>
              </w:rPr>
              <w:t>with</w:t>
            </w:r>
            <w:r>
              <w:rPr>
                <w:spacing w:val="-2"/>
                <w:sz w:val="18"/>
              </w:rPr>
              <w:t> </w:t>
            </w:r>
            <w:r>
              <w:rPr>
                <w:sz w:val="18"/>
              </w:rPr>
              <w:t>the</w:t>
            </w:r>
            <w:r>
              <w:rPr>
                <w:spacing w:val="-3"/>
                <w:sz w:val="18"/>
              </w:rPr>
              <w:t> </w:t>
            </w:r>
            <w:r>
              <w:rPr>
                <w:sz w:val="18"/>
              </w:rPr>
              <w:t>visual</w:t>
            </w:r>
            <w:r>
              <w:rPr>
                <w:spacing w:val="-5"/>
                <w:sz w:val="18"/>
              </w:rPr>
              <w:t> </w:t>
            </w:r>
            <w:r>
              <w:rPr>
                <w:sz w:val="18"/>
              </w:rPr>
              <w:t>assessment</w:t>
            </w:r>
            <w:r>
              <w:rPr>
                <w:spacing w:val="-3"/>
                <w:sz w:val="18"/>
              </w:rPr>
              <w:t> </w:t>
            </w:r>
            <w:r>
              <w:rPr>
                <w:sz w:val="18"/>
              </w:rPr>
              <w:t>of</w:t>
            </w:r>
            <w:r>
              <w:rPr>
                <w:spacing w:val="-5"/>
                <w:sz w:val="18"/>
              </w:rPr>
              <w:t> </w:t>
            </w:r>
            <w:r>
              <w:rPr>
                <w:sz w:val="18"/>
              </w:rPr>
              <w:t>position</w:t>
            </w:r>
            <w:r>
              <w:rPr>
                <w:spacing w:val="-2"/>
                <w:sz w:val="18"/>
              </w:rPr>
              <w:t> </w:t>
            </w:r>
            <w:r>
              <w:rPr>
                <w:sz w:val="18"/>
              </w:rPr>
              <w:t>versus</w:t>
            </w:r>
            <w:r>
              <w:rPr>
                <w:spacing w:val="-4"/>
                <w:sz w:val="18"/>
              </w:rPr>
              <w:t> </w:t>
            </w:r>
            <w:r>
              <w:rPr>
                <w:sz w:val="18"/>
              </w:rPr>
              <w:t>altitude</w:t>
            </w:r>
            <w:r>
              <w:rPr>
                <w:spacing w:val="-2"/>
                <w:sz w:val="18"/>
              </w:rPr>
              <w:t> </w:t>
            </w:r>
            <w:r>
              <w:rPr>
                <w:sz w:val="18"/>
              </w:rPr>
              <w:t>and aircraft</w:t>
            </w:r>
            <w:r>
              <w:rPr>
                <w:spacing w:val="-1"/>
                <w:sz w:val="18"/>
              </w:rPr>
              <w:t> </w:t>
            </w:r>
            <w:r>
              <w:rPr>
                <w:sz w:val="18"/>
              </w:rPr>
              <w:t>performance.</w:t>
            </w:r>
          </w:p>
          <w:p>
            <w:pPr>
              <w:pStyle w:val="TableParagraph"/>
              <w:numPr>
                <w:ilvl w:val="0"/>
                <w:numId w:val="2"/>
              </w:numPr>
              <w:tabs>
                <w:tab w:pos="623" w:val="left" w:leader="none"/>
                <w:tab w:pos="624" w:val="left" w:leader="none"/>
              </w:tabs>
              <w:spacing w:line="237" w:lineRule="auto" w:before="43" w:after="0"/>
              <w:ind w:left="623" w:right="16" w:hanging="356"/>
              <w:jc w:val="left"/>
              <w:rPr>
                <w:sz w:val="18"/>
              </w:rPr>
            </w:pPr>
            <w:r>
              <w:rPr>
                <w:sz w:val="18"/>
              </w:rPr>
              <w:t>The trainee should demonstrate the integration of HF/NTS items introduced in the pre-flight brief including reviewing with the student management of threats and errors and an undesired aircraft state that can result from unmanaged threats and errors and workload management using available resources to</w:t>
            </w:r>
            <w:r>
              <w:rPr>
                <w:spacing w:val="-6"/>
                <w:sz w:val="18"/>
              </w:rPr>
              <w:t> </w:t>
            </w:r>
            <w:r>
              <w:rPr>
                <w:sz w:val="18"/>
              </w:rPr>
              <w:t>support.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Read back an impromptu flying sequence – Steep</w:t>
            </w:r>
            <w:r>
              <w:rPr>
                <w:spacing w:val="-2"/>
                <w:sz w:val="18"/>
              </w:rPr>
              <w:t> </w:t>
            </w:r>
            <w:r>
              <w:rPr>
                <w:sz w:val="18"/>
              </w:rPr>
              <w:t>turns.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5" w:after="0"/>
              <w:ind w:left="623" w:right="530" w:hanging="356"/>
              <w:jc w:val="left"/>
              <w:rPr>
                <w:sz w:val="18"/>
              </w:rPr>
            </w:pPr>
            <w:r>
              <w:rPr>
                <w:sz w:val="18"/>
              </w:rPr>
              <w:t>The instructor should introduce poor flight techniques when role playing the student so the trainee may practice application recognition and correction</w:t>
            </w:r>
            <w:r>
              <w:rPr>
                <w:spacing w:val="-4"/>
                <w:sz w:val="18"/>
              </w:rPr>
              <w:t> </w:t>
            </w:r>
            <w:r>
              <w:rPr>
                <w:sz w:val="18"/>
              </w:rPr>
              <w:t>techniques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11"/>
        <w:rPr>
          <w:rFonts w:ascii="Times New Roman"/>
          <w:b w:val="0"/>
          <w:sz w:val="27"/>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5"/>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0"/>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5"/>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16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(xxi) H7.1 - Forced landings</w:t>
            </w:r>
          </w:p>
        </w:tc>
        <w:tc>
          <w:tcPr>
            <w:tcW w:w="564" w:type="dxa"/>
            <w:shd w:val="clear" w:color="auto" w:fill="F2F2F2"/>
          </w:tcPr>
          <w:p>
            <w:pPr>
              <w:pStyle w:val="TableParagraph"/>
              <w:spacing w:before="38"/>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(xxii) H6.1 – Steep turns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60" w:right="16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4"/>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NTS2.1 Recognise and manage threats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FIR-TE3.8</w:t>
            </w:r>
          </w:p>
        </w:tc>
        <w:tc>
          <w:tcPr>
            <w:tcW w:w="8489" w:type="dxa"/>
          </w:tcPr>
          <w:p>
            <w:pPr>
              <w:pStyle w:val="TableParagraph"/>
              <w:spacing w:before="20"/>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60" w:right="160"/>
        </w:sectPr>
      </w:pPr>
    </w:p>
    <w:p>
      <w:pPr>
        <w:pStyle w:val="BodyText"/>
        <w:spacing w:before="5"/>
        <w:rPr>
          <w:rFonts w:ascii="Times New Roman"/>
          <w:b w:val="0"/>
          <w:sz w:val="1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24"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6" w:hRule="atLeast"/>
        </w:trPr>
        <w:tc>
          <w:tcPr>
            <w:tcW w:w="1049" w:type="dxa"/>
            <w:shd w:val="clear" w:color="auto" w:fill="F2F2F2"/>
          </w:tcPr>
          <w:p>
            <w:pPr>
              <w:pStyle w:val="TableParagraph"/>
              <w:spacing w:before="21"/>
              <w:ind w:left="37" w:right="45"/>
              <w:jc w:val="center"/>
              <w:rPr>
                <w:b/>
                <w:sz w:val="22"/>
              </w:rPr>
            </w:pPr>
            <w:r>
              <w:rPr>
                <w:b/>
                <w:sz w:val="22"/>
              </w:rPr>
              <w:t>MOS Ref</w:t>
            </w:r>
          </w:p>
        </w:tc>
        <w:tc>
          <w:tcPr>
            <w:tcW w:w="9780" w:type="dxa"/>
            <w:shd w:val="clear" w:color="auto" w:fill="F2F2F2"/>
          </w:tcPr>
          <w:p>
            <w:pPr>
              <w:pStyle w:val="TableParagraph"/>
              <w:spacing w:before="21"/>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021"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1160" w:bottom="840" w:left="56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7273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71712" type="#_x0000_t202" filled="false" stroked="false">
          <v:textbox inset="0,0,0,0">
            <w:txbxContent>
              <w:p>
                <w:pPr>
                  <w:spacing w:line="203" w:lineRule="exact" w:before="0"/>
                  <w:ind w:left="20" w:right="0" w:firstLine="0"/>
                  <w:jc w:val="left"/>
                  <w:rPr>
                    <w:rFonts w:ascii="Calibri"/>
                    <w:sz w:val="18"/>
                  </w:rPr>
                </w:pPr>
                <w:r>
                  <w:rPr>
                    <w:rFonts w:ascii="Calibri"/>
                    <w:sz w:val="18"/>
                  </w:rPr>
                  <w:t>FIR-TE3-50</w:t>
                </w:r>
              </w:p>
            </w:txbxContent>
          </v:textbox>
          <w10:wrap type="none"/>
        </v:shape>
      </w:pict>
    </w:r>
    <w:r>
      <w:rPr/>
      <w:pict>
        <v:shape style="position:absolute;margin-left:274.763pt;margin-top:801.289978pt;width:45.95pt;height:11pt;mso-position-horizontal-relative:page;mso-position-vertical-relative:page;z-index:-2531706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96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659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65568" type="#_x0000_t202" filled="false" stroked="false">
          <v:textbox inset="0,0,0,0">
            <w:txbxContent>
              <w:p>
                <w:pPr>
                  <w:spacing w:line="203" w:lineRule="exact" w:before="0"/>
                  <w:ind w:left="20" w:right="0" w:firstLine="0"/>
                  <w:jc w:val="left"/>
                  <w:rPr>
                    <w:rFonts w:ascii="Calibri"/>
                    <w:sz w:val="18"/>
                  </w:rPr>
                </w:pPr>
                <w:r>
                  <w:rPr>
                    <w:rFonts w:ascii="Calibri"/>
                    <w:sz w:val="18"/>
                  </w:rPr>
                  <w:t>FIR-TE3-50</w:t>
                </w:r>
              </w:p>
            </w:txbxContent>
          </v:textbox>
          <w10:wrap type="none"/>
        </v:shape>
      </w:pict>
    </w:r>
    <w:r>
      <w:rPr/>
      <w:pict>
        <v:shape style="position:absolute;margin-left:274.763pt;margin-top:801.289978pt;width:45.95pt;height:11pt;mso-position-horizontal-relative:page;mso-position-vertical-relative:page;z-index:-25316454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352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68640"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497.1pt;height:24.65pt;mso-position-horizontal-relative:page;mso-position-vertical-relative:page;z-index:-253167616" type="#_x0000_t202" filled="false" stroked="false">
          <v:textbox inset="0,0,0,0">
            <w:txbxContent>
              <w:p>
                <w:pPr>
                  <w:pStyle w:val="BodyText"/>
                  <w:spacing w:before="12"/>
                  <w:ind w:left="20" w:right="1"/>
                </w:pPr>
                <w:r>
                  <w:rPr/>
                  <w:t>LESSON TE3-50: MANAGED FORCED LANDINGS AND STEEP TURNS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TE3-50 Manage forced landings and steep turns Preflight &amp; Inflight Lesson plan Trng record</dc:title>
  <dcterms:created xsi:type="dcterms:W3CDTF">2021-11-10T00:56:06Z</dcterms:created>
  <dcterms:modified xsi:type="dcterms:W3CDTF">2021-11-10T00:56:06Z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