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713" w:firstLine="0"/>
                      <w:jc w:val="left"/>
                      <w:rPr>
                        <w:b/>
                        <w:sz w:val="20"/>
                      </w:rPr>
                    </w:pPr>
                    <w:r>
                      <w:rPr>
                        <w:b/>
                        <w:sz w:val="20"/>
                      </w:rPr>
                      <w:t>LESSON TE3-33: TAKE-OFF HELICOPTER AND APPROACH TO HOVER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3261" w:type="dxa"/>
            <w:gridSpan w:val="2"/>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0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3261" w:type="dxa"/>
            <w:gridSpan w:val="2"/>
            <w:tcBorders>
              <w:left w:val="single" w:sz="4" w:space="0" w:color="000000"/>
              <w:bottom w:val="single" w:sz="4" w:space="0" w:color="EEECE1"/>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288"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6"/>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18" w:space="0" w:color="EEECE1"/>
              <w:left w:val="single" w:sz="4" w:space="0" w:color="000000"/>
              <w:bottom w:val="single" w:sz="24" w:space="0" w:color="EEECE1"/>
              <w:right w:val="single" w:sz="4" w:space="0" w:color="000000"/>
            </w:tcBorders>
            <w:shd w:val="clear" w:color="auto" w:fill="F2F2F2"/>
          </w:tcPr>
          <w:p>
            <w:pPr>
              <w:pStyle w:val="TableParagraph"/>
              <w:spacing w:before="6"/>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6"/>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288" w:hRule="atLeast"/>
        </w:trPr>
        <w:tc>
          <w:tcPr>
            <w:tcW w:w="10912" w:type="dxa"/>
            <w:gridSpan w:val="9"/>
            <w:tcBorders>
              <w:top w:val="single" w:sz="8" w:space="0" w:color="EEECE1"/>
              <w:left w:val="single" w:sz="4" w:space="0" w:color="000000"/>
              <w:bottom w:val="single" w:sz="4" w:space="0" w:color="000000"/>
              <w:right w:val="single" w:sz="4" w:space="0" w:color="000000"/>
            </w:tcBorders>
            <w:shd w:val="clear" w:color="auto" w:fill="C0C0C0"/>
          </w:tcPr>
          <w:p>
            <w:pPr>
              <w:pStyle w:val="TableParagraph"/>
              <w:spacing w:before="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600"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Take-off Helicopter and Approach to</w:t>
            </w:r>
            <w:r>
              <w:rPr>
                <w:b/>
                <w:spacing w:val="-8"/>
                <w:sz w:val="18"/>
              </w:rPr>
              <w:t> </w:t>
            </w:r>
            <w:r>
              <w:rPr>
                <w:b/>
                <w:sz w:val="18"/>
              </w:rPr>
              <w:t>Hover</w:t>
            </w:r>
          </w:p>
          <w:p>
            <w:pPr>
              <w:pStyle w:val="TableParagraph"/>
              <w:numPr>
                <w:ilvl w:val="0"/>
                <w:numId w:val="1"/>
              </w:numPr>
              <w:tabs>
                <w:tab w:pos="286" w:val="left" w:leader="none"/>
              </w:tabs>
              <w:spacing w:line="218" w:lineRule="exact" w:before="0" w:after="0"/>
              <w:ind w:left="285" w:right="0" w:hanging="219"/>
              <w:jc w:val="left"/>
              <w:rPr>
                <w:b/>
                <w:sz w:val="18"/>
              </w:rPr>
            </w:pPr>
            <w:r>
              <w:rPr>
                <w:sz w:val="18"/>
              </w:rPr>
              <w:t>Demonstration of in-flight lesson for </w:t>
            </w:r>
            <w:r>
              <w:rPr>
                <w:b/>
                <w:sz w:val="18"/>
              </w:rPr>
              <w:t>Take-off Helicopter and Approach to</w:t>
            </w:r>
            <w:r>
              <w:rPr>
                <w:b/>
                <w:spacing w:val="-10"/>
                <w:sz w:val="18"/>
              </w:rPr>
              <w:t> </w:t>
            </w:r>
            <w:r>
              <w:rPr>
                <w:b/>
                <w:sz w:val="18"/>
              </w:rPr>
              <w:t>Hover</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in-flight lesson for </w:t>
            </w:r>
            <w:r>
              <w:rPr>
                <w:b/>
                <w:sz w:val="18"/>
              </w:rPr>
              <w:t>Take-off Helicopter and Approach to</w:t>
            </w:r>
            <w:r>
              <w:rPr>
                <w:b/>
                <w:spacing w:val="-11"/>
                <w:sz w:val="18"/>
              </w:rPr>
              <w:t> </w:t>
            </w:r>
            <w:r>
              <w:rPr>
                <w:b/>
                <w:sz w:val="18"/>
              </w:rPr>
              <w:t>Hover</w:t>
            </w:r>
          </w:p>
          <w:p>
            <w:pPr>
              <w:pStyle w:val="TableParagraph"/>
              <w:numPr>
                <w:ilvl w:val="0"/>
                <w:numId w:val="1"/>
              </w:numPr>
              <w:tabs>
                <w:tab w:pos="286" w:val="left" w:leader="none"/>
              </w:tabs>
              <w:spacing w:line="219" w:lineRule="exact" w:before="5" w:after="0"/>
              <w:ind w:left="285" w:right="0" w:hanging="220"/>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20"/>
              <w:jc w:val="left"/>
              <w:rPr>
                <w:sz w:val="18"/>
              </w:rPr>
            </w:pPr>
            <w:r>
              <w:rPr>
                <w:sz w:val="18"/>
              </w:rPr>
              <w:t>The blueprint for the pre-flight brief and in-flight lesson is the operator’s approved lesson from their PPL/CPL</w:t>
            </w:r>
            <w:r>
              <w:rPr>
                <w:spacing w:val="-29"/>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066"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3"/>
              <w:rPr>
                <w:rFonts w:ascii="Times New Roman"/>
                <w:sz w:val="18"/>
              </w:rPr>
            </w:pPr>
          </w:p>
          <w:p>
            <w:pPr>
              <w:pStyle w:val="TableParagraph"/>
              <w:numPr>
                <w:ilvl w:val="0"/>
                <w:numId w:val="2"/>
              </w:numPr>
              <w:tabs>
                <w:tab w:pos="623" w:val="left" w:leader="none"/>
                <w:tab w:pos="624" w:val="left" w:leader="none"/>
              </w:tabs>
              <w:spacing w:line="240" w:lineRule="auto" w:before="0" w:after="0"/>
              <w:ind w:left="623" w:right="-15" w:hanging="356"/>
              <w:jc w:val="left"/>
              <w:rPr>
                <w:sz w:val="18"/>
              </w:rPr>
            </w:pPr>
            <w:r>
              <w:rPr>
                <w:sz w:val="18"/>
              </w:rPr>
              <w:t>The</w:t>
            </w:r>
            <w:r>
              <w:rPr>
                <w:spacing w:val="-2"/>
                <w:sz w:val="18"/>
              </w:rPr>
              <w:t> </w:t>
            </w:r>
            <w:r>
              <w:rPr>
                <w:sz w:val="18"/>
              </w:rPr>
              <w:t>trainee</w:t>
            </w:r>
            <w:r>
              <w:rPr>
                <w:spacing w:val="-1"/>
                <w:sz w:val="18"/>
              </w:rPr>
              <w:t> </w:t>
            </w:r>
            <w:r>
              <w:rPr>
                <w:sz w:val="18"/>
              </w:rPr>
              <w:t>to</w:t>
            </w:r>
            <w:r>
              <w:rPr>
                <w:spacing w:val="-2"/>
                <w:sz w:val="18"/>
              </w:rPr>
              <w:t> </w:t>
            </w:r>
            <w:r>
              <w:rPr>
                <w:sz w:val="18"/>
              </w:rPr>
              <w:t>read</w:t>
            </w:r>
            <w:r>
              <w:rPr>
                <w:spacing w:val="-4"/>
                <w:sz w:val="18"/>
              </w:rPr>
              <w:t> </w:t>
            </w:r>
            <w:r>
              <w:rPr>
                <w:sz w:val="18"/>
              </w:rPr>
              <w:t>back</w:t>
            </w:r>
            <w:r>
              <w:rPr>
                <w:spacing w:val="-2"/>
                <w:sz w:val="18"/>
              </w:rPr>
              <w:t> </w:t>
            </w:r>
            <w:r>
              <w:rPr>
                <w:sz w:val="18"/>
              </w:rPr>
              <w:t>the</w:t>
            </w:r>
            <w:r>
              <w:rPr>
                <w:spacing w:val="-1"/>
                <w:sz w:val="18"/>
              </w:rPr>
              <w:t> </w:t>
            </w:r>
            <w:r>
              <w:rPr>
                <w:sz w:val="18"/>
              </w:rPr>
              <w:t>pre-flight</w:t>
            </w:r>
            <w:r>
              <w:rPr>
                <w:spacing w:val="-3"/>
                <w:sz w:val="18"/>
              </w:rPr>
              <w:t> </w:t>
            </w:r>
            <w:r>
              <w:rPr>
                <w:sz w:val="18"/>
              </w:rPr>
              <w:t>brief</w:t>
            </w:r>
            <w:r>
              <w:rPr>
                <w:spacing w:val="-4"/>
                <w:sz w:val="18"/>
              </w:rPr>
              <w:t> </w:t>
            </w:r>
            <w:r>
              <w:rPr>
                <w:sz w:val="18"/>
              </w:rPr>
              <w:t>on</w:t>
            </w:r>
            <w:r>
              <w:rPr>
                <w:spacing w:val="-2"/>
                <w:sz w:val="18"/>
              </w:rPr>
              <w:t> </w:t>
            </w:r>
            <w:r>
              <w:rPr>
                <w:sz w:val="18"/>
              </w:rPr>
              <w:t>Take-off</w:t>
            </w:r>
            <w:r>
              <w:rPr>
                <w:spacing w:val="-2"/>
                <w:sz w:val="18"/>
              </w:rPr>
              <w:t> </w:t>
            </w:r>
            <w:r>
              <w:rPr>
                <w:sz w:val="18"/>
              </w:rPr>
              <w:t>Helicopter</w:t>
            </w:r>
            <w:r>
              <w:rPr>
                <w:spacing w:val="-3"/>
                <w:sz w:val="18"/>
              </w:rPr>
              <w:t> </w:t>
            </w:r>
            <w:r>
              <w:rPr>
                <w:sz w:val="18"/>
              </w:rPr>
              <w:t>and</w:t>
            </w:r>
            <w:r>
              <w:rPr>
                <w:spacing w:val="-1"/>
                <w:sz w:val="18"/>
              </w:rPr>
              <w:t> </w:t>
            </w:r>
            <w:r>
              <w:rPr>
                <w:sz w:val="18"/>
              </w:rPr>
              <w:t>Approach</w:t>
            </w:r>
            <w:r>
              <w:rPr>
                <w:spacing w:val="-2"/>
                <w:sz w:val="18"/>
              </w:rPr>
              <w:t> </w:t>
            </w:r>
            <w:r>
              <w:rPr>
                <w:sz w:val="18"/>
              </w:rPr>
              <w:t>to</w:t>
            </w:r>
            <w:r>
              <w:rPr>
                <w:spacing w:val="-1"/>
                <w:sz w:val="18"/>
              </w:rPr>
              <w:t> </w:t>
            </w:r>
            <w:r>
              <w:rPr>
                <w:sz w:val="18"/>
              </w:rPr>
              <w:t>Hover</w:t>
            </w:r>
            <w:r>
              <w:rPr>
                <w:spacing w:val="-2"/>
                <w:sz w:val="18"/>
              </w:rPr>
              <w:t> </w:t>
            </w:r>
            <w:r>
              <w:rPr>
                <w:sz w:val="18"/>
              </w:rPr>
              <w:t>if</w:t>
            </w:r>
            <w:r>
              <w:rPr>
                <w:spacing w:val="-5"/>
                <w:sz w:val="18"/>
              </w:rPr>
              <w:t> </w:t>
            </w:r>
            <w:r>
              <w:rPr>
                <w:sz w:val="18"/>
              </w:rPr>
              <w:t>not</w:t>
            </w:r>
            <w:r>
              <w:rPr>
                <w:spacing w:val="-2"/>
                <w:sz w:val="18"/>
              </w:rPr>
              <w:t> </w:t>
            </w:r>
            <w:r>
              <w:rPr>
                <w:sz w:val="18"/>
              </w:rPr>
              <w:t>already</w:t>
            </w:r>
            <w:r>
              <w:rPr>
                <w:spacing w:val="-4"/>
                <w:sz w:val="18"/>
              </w:rPr>
              <w:t> </w:t>
            </w:r>
            <w:r>
              <w:rPr>
                <w:sz w:val="18"/>
              </w:rPr>
              <w:t>completed</w:t>
            </w:r>
            <w:r>
              <w:rPr>
                <w:spacing w:val="-4"/>
                <w:sz w:val="18"/>
              </w:rPr>
              <w:t> </w:t>
            </w:r>
            <w:r>
              <w:rPr>
                <w:sz w:val="18"/>
              </w:rPr>
              <w:t>during</w:t>
            </w:r>
            <w:r>
              <w:rPr>
                <w:spacing w:val="-4"/>
                <w:sz w:val="18"/>
              </w:rPr>
              <w:t> </w:t>
            </w:r>
            <w:r>
              <w:rPr>
                <w:sz w:val="18"/>
              </w:rPr>
              <w:t>TE3-32</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This lesson provides opportunity for consolidation of flight management of an instructional</w:t>
            </w:r>
            <w:r>
              <w:rPr>
                <w:spacing w:val="-10"/>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266" w:hanging="356"/>
              <w:jc w:val="left"/>
              <w:rPr>
                <w:sz w:val="18"/>
              </w:rPr>
            </w:pPr>
            <w:r>
              <w:rPr>
                <w:sz w:val="18"/>
              </w:rPr>
              <w:t>The lesson should include demonstration and practice of proof of concept demonstrations of transitional effects loss of ground effect, flap back and</w:t>
            </w:r>
            <w:r>
              <w:rPr>
                <w:spacing w:val="2"/>
                <w:sz w:val="18"/>
              </w:rPr>
              <w:t> </w:t>
            </w:r>
            <w:r>
              <w:rPr>
                <w:sz w:val="18"/>
              </w:rPr>
              <w:t>inflow-roll.</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40" w:lineRule="auto" w:before="40" w:after="0"/>
              <w:ind w:left="623" w:right="316" w:hanging="356"/>
              <w:jc w:val="left"/>
              <w:rPr>
                <w:sz w:val="18"/>
              </w:rPr>
            </w:pPr>
            <w:r>
              <w:rPr>
                <w:sz w:val="18"/>
              </w:rPr>
              <w:t>The trainee should demonstrate the integration of HF/NTS items introduced in the pre-flight brief including reviewing with the student</w:t>
            </w:r>
            <w:r>
              <w:rPr>
                <w:spacing w:val="-4"/>
                <w:sz w:val="18"/>
              </w:rPr>
              <w:t> </w:t>
            </w:r>
            <w:r>
              <w:rPr>
                <w:sz w:val="18"/>
              </w:rPr>
              <w:t>management</w:t>
            </w:r>
            <w:r>
              <w:rPr>
                <w:spacing w:val="-4"/>
                <w:sz w:val="18"/>
              </w:rPr>
              <w:t> </w:t>
            </w:r>
            <w:r>
              <w:rPr>
                <w:sz w:val="18"/>
              </w:rPr>
              <w:t>of</w:t>
            </w:r>
            <w:r>
              <w:rPr>
                <w:spacing w:val="-2"/>
                <w:sz w:val="18"/>
              </w:rPr>
              <w:t> </w:t>
            </w:r>
            <w:r>
              <w:rPr>
                <w:sz w:val="18"/>
              </w:rPr>
              <w:t>threats</w:t>
            </w:r>
            <w:r>
              <w:rPr>
                <w:spacing w:val="-1"/>
                <w:sz w:val="18"/>
              </w:rPr>
              <w:t> </w:t>
            </w:r>
            <w:r>
              <w:rPr>
                <w:sz w:val="18"/>
              </w:rPr>
              <w:t>and</w:t>
            </w:r>
            <w:r>
              <w:rPr>
                <w:spacing w:val="-1"/>
                <w:sz w:val="18"/>
              </w:rPr>
              <w:t> </w:t>
            </w:r>
            <w:r>
              <w:rPr>
                <w:sz w:val="18"/>
              </w:rPr>
              <w:t>errors</w:t>
            </w:r>
            <w:r>
              <w:rPr>
                <w:spacing w:val="-1"/>
                <w:sz w:val="18"/>
              </w:rPr>
              <w:t> </w:t>
            </w:r>
            <w:r>
              <w:rPr>
                <w:sz w:val="18"/>
              </w:rPr>
              <w:t>and</w:t>
            </w:r>
            <w:r>
              <w:rPr>
                <w:spacing w:val="-1"/>
                <w:sz w:val="18"/>
              </w:rPr>
              <w:t> </w:t>
            </w:r>
            <w:r>
              <w:rPr>
                <w:sz w:val="18"/>
              </w:rPr>
              <w:t>an</w:t>
            </w:r>
            <w:r>
              <w:rPr>
                <w:spacing w:val="-1"/>
                <w:sz w:val="18"/>
              </w:rPr>
              <w:t> </w:t>
            </w:r>
            <w:r>
              <w:rPr>
                <w:sz w:val="18"/>
              </w:rPr>
              <w:t>undesired</w:t>
            </w:r>
            <w:r>
              <w:rPr>
                <w:spacing w:val="-4"/>
                <w:sz w:val="18"/>
              </w:rPr>
              <w:t> </w:t>
            </w:r>
            <w:r>
              <w:rPr>
                <w:sz w:val="18"/>
              </w:rPr>
              <w:t>aircraft</w:t>
            </w:r>
            <w:r>
              <w:rPr>
                <w:spacing w:val="-2"/>
                <w:sz w:val="18"/>
              </w:rPr>
              <w:t> </w:t>
            </w:r>
            <w:r>
              <w:rPr>
                <w:sz w:val="18"/>
              </w:rPr>
              <w:t>state</w:t>
            </w:r>
            <w:r>
              <w:rPr>
                <w:spacing w:val="-4"/>
                <w:sz w:val="18"/>
              </w:rPr>
              <w:t> </w:t>
            </w:r>
            <w:r>
              <w:rPr>
                <w:sz w:val="18"/>
              </w:rPr>
              <w:t>that</w:t>
            </w:r>
            <w:r>
              <w:rPr>
                <w:spacing w:val="-4"/>
                <w:sz w:val="18"/>
              </w:rPr>
              <w:t> </w:t>
            </w:r>
            <w:r>
              <w:rPr>
                <w:sz w:val="18"/>
              </w:rPr>
              <w:t>can</w:t>
            </w:r>
            <w:r>
              <w:rPr>
                <w:spacing w:val="-1"/>
                <w:sz w:val="18"/>
              </w:rPr>
              <w:t> </w:t>
            </w:r>
            <w:r>
              <w:rPr>
                <w:sz w:val="18"/>
              </w:rPr>
              <w:t>result</w:t>
            </w:r>
            <w:r>
              <w:rPr>
                <w:spacing w:val="-4"/>
                <w:sz w:val="18"/>
              </w:rPr>
              <w:t> </w:t>
            </w:r>
            <w:r>
              <w:rPr>
                <w:sz w:val="18"/>
              </w:rPr>
              <w:t>from</w:t>
            </w:r>
            <w:r>
              <w:rPr>
                <w:spacing w:val="-1"/>
                <w:sz w:val="18"/>
              </w:rPr>
              <w:t> </w:t>
            </w:r>
            <w:r>
              <w:rPr>
                <w:sz w:val="18"/>
              </w:rPr>
              <w:t>unmanaged</w:t>
            </w:r>
            <w:r>
              <w:rPr>
                <w:spacing w:val="-4"/>
                <w:sz w:val="18"/>
              </w:rPr>
              <w:t> </w:t>
            </w:r>
            <w:r>
              <w:rPr>
                <w:sz w:val="18"/>
              </w:rPr>
              <w:t>threats</w:t>
            </w:r>
            <w:r>
              <w:rPr>
                <w:spacing w:val="-3"/>
                <w:sz w:val="18"/>
              </w:rPr>
              <w:t> </w:t>
            </w:r>
            <w:r>
              <w:rPr>
                <w:sz w:val="18"/>
              </w:rPr>
              <w:t>and</w:t>
            </w:r>
            <w:r>
              <w:rPr>
                <w:spacing w:val="-4"/>
                <w:sz w:val="18"/>
              </w:rPr>
              <w:t> </w:t>
            </w:r>
            <w:r>
              <w:rPr>
                <w:sz w:val="18"/>
              </w:rPr>
              <w:t>errors.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391" w:hanging="356"/>
              <w:jc w:val="left"/>
              <w:rPr>
                <w:sz w:val="18"/>
              </w:rPr>
            </w:pPr>
            <w:r>
              <w:rPr>
                <w:sz w:val="18"/>
              </w:rPr>
              <w:t>The trainee should be able to demonstrate most of the criteria to standard 2 however there are several standard 3 relating to intervention techniques which was discussed in tutorial 7 and this lesson includes further</w:t>
            </w:r>
            <w:r>
              <w:rPr>
                <w:spacing w:val="-17"/>
                <w:sz w:val="18"/>
              </w:rPr>
              <w:t> </w:t>
            </w:r>
            <w:r>
              <w:rPr>
                <w:sz w:val="18"/>
              </w:rPr>
              <w:t>practice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and complete a training record where the instructor role played a</w:t>
            </w:r>
            <w:r>
              <w:rPr>
                <w:spacing w:val="-24"/>
                <w:sz w:val="18"/>
              </w:rPr>
              <w:t> </w:t>
            </w:r>
            <w:r>
              <w:rPr>
                <w:sz w:val="18"/>
              </w:rPr>
              <w:t>student.</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16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309" w:hRule="atLeast"/>
        </w:trPr>
        <w:tc>
          <w:tcPr>
            <w:tcW w:w="1212" w:type="dxa"/>
          </w:tcPr>
          <w:p>
            <w:pPr>
              <w:pStyle w:val="TableParagraph"/>
              <w:rPr>
                <w:rFonts w:ascii="Times New Roman"/>
                <w:sz w:val="18"/>
              </w:rPr>
            </w:pPr>
          </w:p>
        </w:tc>
        <w:tc>
          <w:tcPr>
            <w:tcW w:w="8489" w:type="dxa"/>
          </w:tcPr>
          <w:p>
            <w:pPr>
              <w:pStyle w:val="TableParagraph"/>
              <w:spacing w:before="27"/>
              <w:ind w:left="422"/>
              <w:rPr>
                <w:sz w:val="18"/>
              </w:rPr>
            </w:pPr>
            <w:r>
              <w:rPr>
                <w:sz w:val="18"/>
              </w:rPr>
              <w:t>(xv) H4.2 and H4.3 - Transitions</w:t>
            </w:r>
          </w:p>
        </w:tc>
        <w:tc>
          <w:tcPr>
            <w:tcW w:w="564" w:type="dxa"/>
            <w:shd w:val="clear" w:color="auto" w:fill="F2F2F2"/>
          </w:tcPr>
          <w:p>
            <w:pPr>
              <w:pStyle w:val="TableParagraph"/>
              <w:spacing w:before="49"/>
              <w:ind w:left="1"/>
              <w:jc w:val="center"/>
              <w:rPr>
                <w:sz w:val="18"/>
              </w:rPr>
            </w:pPr>
            <w:r>
              <w:rPr>
                <w:w w:val="99"/>
                <w:sz w:val="18"/>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16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160"/>
        </w:sectPr>
      </w:pPr>
    </w:p>
    <w:p>
      <w:pPr>
        <w:pStyle w:val="BodyText"/>
        <w:spacing w:before="5"/>
        <w:rPr>
          <w:rFonts w:ascii="Times New Roman"/>
          <w:b w:val="0"/>
          <w:sz w:val="1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024"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1160" w:bottom="840" w:left="56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942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58400" type="#_x0000_t202" filled="false" stroked="false">
          <v:textbox inset="0,0,0,0">
            <w:txbxContent>
              <w:p>
                <w:pPr>
                  <w:spacing w:line="203" w:lineRule="exact" w:before="0"/>
                  <w:ind w:left="20" w:right="0" w:firstLine="0"/>
                  <w:jc w:val="left"/>
                  <w:rPr>
                    <w:rFonts w:ascii="Calibri"/>
                    <w:sz w:val="18"/>
                  </w:rPr>
                </w:pPr>
                <w:r>
                  <w:rPr>
                    <w:rFonts w:ascii="Calibri"/>
                    <w:sz w:val="18"/>
                  </w:rPr>
                  <w:t>FIR-TE3-33</w:t>
                </w:r>
              </w:p>
            </w:txbxContent>
          </v:textbox>
          <w10:wrap type="none"/>
        </v:shape>
      </w:pict>
    </w:r>
    <w:r>
      <w:rPr/>
      <w:pict>
        <v:shape style="position:absolute;margin-left:274.763pt;margin-top:801.289978pt;width:45.95pt;height:11pt;mso-position-horizontal-relative:page;mso-position-vertical-relative:page;z-index:-2531573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328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FIR-TE3-33</w:t>
                </w:r>
              </w:p>
            </w:txbxContent>
          </v:textbox>
          <w10:wrap type="none"/>
        </v:shape>
      </w:pict>
    </w:r>
    <w:r>
      <w:rPr/>
      <w:pict>
        <v:shape style="position:absolute;margin-left:274.763pt;margin-top:801.289978pt;width:45.95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55328"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505.4pt;height:24.65pt;mso-position-horizontal-relative:page;mso-position-vertical-relative:page;z-index:-253154304" type="#_x0000_t202" filled="false" stroked="false">
          <v:textbox inset="0,0,0,0">
            <w:txbxContent>
              <w:p>
                <w:pPr>
                  <w:pStyle w:val="BodyText"/>
                  <w:spacing w:before="12"/>
                  <w:ind w:left="20"/>
                </w:pPr>
                <w:r>
                  <w:rPr/>
                  <w:t>LESSON TE3-33: TAKE-OFF HELICOPTER AND APPROACH TO HOVER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HTE3-33 Take-off helicopter and approach to hover Preflight Inflight Lesson plan Trng record</dc:title>
  <dcterms:created xsi:type="dcterms:W3CDTF">2021-11-10T00:52:35Z</dcterms:created>
  <dcterms:modified xsi:type="dcterms:W3CDTF">2021-11-10T00:52:35Z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