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31,5" to="10838,5" stroked="true" strokeweight=".48pt" strokecolor="#000000">
              <v:stroke dashstyle="solid"/>
            </v:line>
            <v:line style="position:absolute" from="31,674" to="10838,674" stroked="true" strokeweight=".48pt" strokecolor="#000000">
              <v:stroke dashstyle="solid"/>
            </v:line>
            <v:line style="position:absolute" from="26,0" to="26,679" stroked="true" strokeweight=".481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679" to="5,1051" stroked="true" strokeweight=".481pt" strokecolor="#000000">
              <v:stroke dashstyle="solid"/>
            </v:line>
            <v:line style="position:absolute" from="10843,0" to="10843,1051" stroked="true" strokeweight=".48pt" strokecolor="#000000">
              <v:stroke dashstyle="solid"/>
            </v:line>
            <v:shape style="position:absolute;left:31;top:688;width:10808;height:353" type="#_x0000_t202" filled="true" fillcolor="#f2f2f2" stroked="false">
              <v:textbox inset="0,0,0,0">
                <w:txbxContent>
                  <w:p>
                    <w:pPr>
                      <w:spacing w:before="57"/>
                      <w:ind w:left="7" w:right="0" w:firstLine="0"/>
                      <w:jc w:val="left"/>
                      <w:rPr>
                        <w:b/>
                        <w:sz w:val="20"/>
                      </w:rPr>
                    </w:pPr>
                    <w:r>
                      <w:rPr>
                        <w:b/>
                        <w:sz w:val="20"/>
                      </w:rPr>
                      <w:t>LESSON TE3-43: BASIC INSTRUMENT FLIGHT 1 – PRE-FLIGHT BRIEF and FLIGHT TRAINING</w:t>
                    </w:r>
                  </w:p>
                </w:txbxContent>
              </v:textbox>
              <v:fill type="solid"/>
              <w10:wrap type="none"/>
            </v:shape>
            <v:shape style="position:absolute;left:31;top:9;width:10808;height:660" type="#_x0000_t202" filled="true" fillcolor="#dadada" stroked="false">
              <v:textbox inset="0,0,0,0">
                <w:txbxContent>
                  <w:p>
                    <w:pPr>
                      <w:spacing w:line="276" w:lineRule="auto" w:before="57"/>
                      <w:ind w:left="3340" w:right="1028"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pre-flight brief for </w:t>
            </w:r>
            <w:r>
              <w:rPr>
                <w:b/>
                <w:sz w:val="18"/>
              </w:rPr>
              <w:t>Basic Instrument</w:t>
            </w:r>
            <w:r>
              <w:rPr>
                <w:b/>
                <w:spacing w:val="-5"/>
                <w:sz w:val="18"/>
              </w:rPr>
              <w:t> </w:t>
            </w:r>
            <w:r>
              <w:rPr>
                <w:b/>
                <w:sz w:val="18"/>
              </w:rPr>
              <w:t>Flight</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Basic Instrument</w:t>
            </w:r>
            <w:r>
              <w:rPr>
                <w:b/>
                <w:spacing w:val="-3"/>
                <w:sz w:val="18"/>
              </w:rPr>
              <w:t> </w:t>
            </w:r>
            <w:r>
              <w:rPr>
                <w:b/>
                <w:sz w:val="18"/>
              </w:rPr>
              <w:t>Flight</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Demonstration of in-flight lesson for </w:t>
            </w:r>
            <w:r>
              <w:rPr>
                <w:b/>
                <w:sz w:val="18"/>
              </w:rPr>
              <w:t>Basic Instrument Flight </w:t>
            </w:r>
            <w:r>
              <w:rPr>
                <w:sz w:val="18"/>
              </w:rPr>
              <w:t>(reference unit IFF and</w:t>
            </w:r>
            <w:r>
              <w:rPr>
                <w:spacing w:val="-16"/>
                <w:sz w:val="18"/>
              </w:rPr>
              <w:t> </w:t>
            </w:r>
            <w:r>
              <w:rPr>
                <w:sz w:val="18"/>
              </w:rPr>
              <w:t>IFL)</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Basic Instrument</w:t>
            </w:r>
            <w:r>
              <w:rPr>
                <w:b/>
                <w:spacing w:val="-7"/>
                <w:sz w:val="18"/>
              </w:rPr>
              <w:t> </w:t>
            </w:r>
            <w:r>
              <w:rPr>
                <w:b/>
                <w:sz w:val="18"/>
              </w:rPr>
              <w:t>Flight</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 blueprint for the pre-flight brief and in-flight lesson is the operator’s approved lesson from their PPL/CPL</w:t>
            </w:r>
            <w:r>
              <w:rPr>
                <w:spacing w:val="-36"/>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726"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 trainee to read back the pre-flight brief on basic instrument</w:t>
            </w:r>
            <w:r>
              <w:rPr>
                <w:spacing w:val="-1"/>
                <w:sz w:val="18"/>
              </w:rPr>
              <w:t> </w:t>
            </w:r>
            <w:r>
              <w:rPr>
                <w:sz w:val="18"/>
              </w:rPr>
              <w:t>flight</w:t>
            </w:r>
          </w:p>
          <w:p>
            <w:pPr>
              <w:pStyle w:val="TableParagraph"/>
              <w:numPr>
                <w:ilvl w:val="0"/>
                <w:numId w:val="2"/>
              </w:numPr>
              <w:tabs>
                <w:tab w:pos="623" w:val="left" w:leader="none"/>
                <w:tab w:pos="624" w:val="left" w:leader="none"/>
              </w:tabs>
              <w:spacing w:line="237" w:lineRule="auto" w:before="45" w:after="0"/>
              <w:ind w:left="623" w:right="-15" w:hanging="356"/>
              <w:jc w:val="left"/>
              <w:rPr>
                <w:sz w:val="18"/>
              </w:rPr>
            </w:pPr>
            <w:r>
              <w:rPr>
                <w:sz w:val="18"/>
              </w:rPr>
              <w:t>The pre-flight brief should include review of the basic instrument flight principles covered in the long brief with emphasise on the application of scan techniques, instrument indications and common</w:t>
            </w:r>
            <w:r>
              <w:rPr>
                <w:spacing w:val="-8"/>
                <w:sz w:val="18"/>
              </w:rPr>
              <w:t> </w:t>
            </w:r>
            <w:r>
              <w:rPr>
                <w:sz w:val="18"/>
              </w:rPr>
              <w:t>errors</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37" w:lineRule="auto" w:before="45" w:after="0"/>
              <w:ind w:left="623" w:right="218" w:hanging="356"/>
              <w:jc w:val="left"/>
              <w:rPr>
                <w:sz w:val="18"/>
              </w:rPr>
            </w:pPr>
            <w:r>
              <w:rPr>
                <w:sz w:val="18"/>
              </w:rPr>
              <w:t>This is the first of two lessons incorporating AIT for basic instrument flight. Full panel procedures and emergencies should be completed before moving onto the limited panel</w:t>
            </w:r>
            <w:r>
              <w:rPr>
                <w:spacing w:val="-7"/>
                <w:sz w:val="18"/>
              </w:rPr>
              <w:t> </w:t>
            </w:r>
            <w:r>
              <w:rPr>
                <w:sz w:val="18"/>
              </w:rPr>
              <w:t>manoeuvres.</w:t>
            </w:r>
          </w:p>
          <w:p>
            <w:pPr>
              <w:pStyle w:val="TableParagraph"/>
              <w:numPr>
                <w:ilvl w:val="0"/>
                <w:numId w:val="2"/>
              </w:numPr>
              <w:tabs>
                <w:tab w:pos="623" w:val="left" w:leader="none"/>
                <w:tab w:pos="624" w:val="left" w:leader="none"/>
              </w:tabs>
              <w:spacing w:line="237" w:lineRule="auto" w:before="44" w:after="0"/>
              <w:ind w:left="623" w:right="518" w:hanging="356"/>
              <w:jc w:val="left"/>
              <w:rPr>
                <w:sz w:val="18"/>
              </w:rPr>
            </w:pPr>
            <w:r>
              <w:rPr>
                <w:sz w:val="18"/>
              </w:rPr>
              <w:t>During the in-flight lesson, the trainee must demonstrate the correct techniques for flying on instruments emphasising the importance of small control inputs, correct scan techniques and interpretation of instrument</w:t>
            </w:r>
            <w:r>
              <w:rPr>
                <w:spacing w:val="-13"/>
                <w:sz w:val="18"/>
              </w:rPr>
              <w:t> </w:t>
            </w:r>
            <w:r>
              <w:rPr>
                <w:sz w:val="18"/>
              </w:rPr>
              <w:t>indications</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importance of maintaining an effective lookout during instructional sequences must be</w:t>
            </w:r>
            <w:r>
              <w:rPr>
                <w:spacing w:val="-14"/>
                <w:sz w:val="18"/>
              </w:rPr>
              <w:t> </w:t>
            </w:r>
            <w:r>
              <w:rPr>
                <w:sz w:val="18"/>
              </w:rPr>
              <w:t>emphasised.</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4"/>
                <w:sz w:val="18"/>
              </w:rPr>
              <w:t> </w:t>
            </w:r>
            <w:r>
              <w:rPr>
                <w:sz w:val="18"/>
              </w:rPr>
              <w:t>manual</w:t>
            </w:r>
            <w:r>
              <w:rPr>
                <w:spacing w:val="-3"/>
                <w:sz w:val="18"/>
              </w:rPr>
              <w:t> </w:t>
            </w:r>
            <w:r>
              <w:rPr>
                <w:sz w:val="18"/>
              </w:rPr>
              <w:t>provides</w:t>
            </w:r>
            <w:r>
              <w:rPr>
                <w:spacing w:val="-3"/>
                <w:sz w:val="18"/>
              </w:rPr>
              <w:t> </w:t>
            </w:r>
            <w:r>
              <w:rPr>
                <w:sz w:val="18"/>
              </w:rPr>
              <w:t>useful</w:t>
            </w:r>
            <w:r>
              <w:rPr>
                <w:spacing w:val="-1"/>
                <w:sz w:val="18"/>
              </w:rPr>
              <w:t> </w:t>
            </w:r>
            <w:r>
              <w:rPr>
                <w:sz w:val="18"/>
              </w:rPr>
              <w:t>references for</w:t>
            </w:r>
            <w:r>
              <w:rPr>
                <w:spacing w:val="-2"/>
                <w:sz w:val="18"/>
              </w:rPr>
              <w:t> </w:t>
            </w:r>
            <w:r>
              <w:rPr>
                <w:sz w:val="18"/>
              </w:rPr>
              <w:t>some</w:t>
            </w:r>
            <w:r>
              <w:rPr>
                <w:spacing w:val="-1"/>
                <w:sz w:val="18"/>
              </w:rPr>
              <w:t> </w:t>
            </w:r>
            <w:r>
              <w:rPr>
                <w:sz w:val="18"/>
              </w:rPr>
              <w:t>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4"/>
                <w:sz w:val="18"/>
              </w:rPr>
              <w:t> </w:t>
            </w:r>
            <w:r>
              <w:rPr>
                <w:sz w:val="18"/>
              </w:rPr>
              <w:t>that</w:t>
            </w:r>
            <w:r>
              <w:rPr>
                <w:spacing w:val="-3"/>
                <w:sz w:val="18"/>
              </w:rPr>
              <w:t> </w:t>
            </w:r>
            <w:r>
              <w:rPr>
                <w:sz w:val="18"/>
              </w:rPr>
              <w:t>should</w:t>
            </w:r>
            <w:r>
              <w:rPr>
                <w:spacing w:val="-4"/>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3" w:after="0"/>
              <w:ind w:left="623" w:right="-15" w:hanging="356"/>
              <w:jc w:val="left"/>
              <w:rPr>
                <w:sz w:val="18"/>
              </w:rPr>
            </w:pPr>
            <w:r>
              <w:rPr>
                <w:sz w:val="18"/>
              </w:rPr>
              <w:t>The trainee should demonstrate the integration of HF/NTS items introduced in the pre-flight brief including reviewing with the student application of situational awareness to identify real or potential environmental threats to safety and plans of action for th removal and mitigation of threats and errors and prevention, identification and controlling an undesired aircraft state in context o the proposed lesson. Review of correct use of checklists and standard operating</w:t>
            </w:r>
            <w:r>
              <w:rPr>
                <w:spacing w:val="-11"/>
                <w:sz w:val="18"/>
              </w:rPr>
              <w:t> </w:t>
            </w:r>
            <w:r>
              <w:rPr>
                <w:sz w:val="18"/>
              </w:rPr>
              <w:t>procedures.</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trainee should debrief ‘Bloggs’ and complete a training record where the instructor role played a</w:t>
            </w:r>
            <w:r>
              <w:rPr>
                <w:spacing w:val="-21"/>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11"/>
              <w:rPr>
                <w:b/>
                <w:sz w:val="18"/>
              </w:rPr>
            </w:pPr>
            <w:r>
              <w:rPr>
                <w:b/>
                <w:sz w:val="18"/>
              </w:rPr>
              <w:t>Required</w:t>
            </w:r>
          </w:p>
        </w:tc>
        <w:tc>
          <w:tcPr>
            <w:tcW w:w="564" w:type="dxa"/>
            <w:shd w:val="clear" w:color="auto" w:fill="F2F2F2"/>
            <w:textDirection w:val="btLr"/>
          </w:tcPr>
          <w:p>
            <w:pPr>
              <w:pStyle w:val="TableParagraph"/>
              <w:spacing w:before="86"/>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2" w:type="dxa"/>
            <w:shd w:val="clear" w:color="auto" w:fill="F2F2F2"/>
          </w:tcPr>
          <w:p>
            <w:pPr>
              <w:pStyle w:val="TableParagraph"/>
              <w:spacing w:before="119"/>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23"/>
              <w:ind w:left="767"/>
              <w:rPr>
                <w:sz w:val="20"/>
              </w:rPr>
            </w:pPr>
            <w:r>
              <w:rPr>
                <w:sz w:val="20"/>
              </w:rPr>
              <w:t>(e)</w:t>
            </w:r>
          </w:p>
        </w:tc>
        <w:tc>
          <w:tcPr>
            <w:tcW w:w="8489" w:type="dxa"/>
          </w:tcPr>
          <w:p>
            <w:pPr>
              <w:pStyle w:val="TableParagraph"/>
              <w:spacing w:before="25"/>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4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8"/>
              <w:rPr>
                <w:b/>
                <w:sz w:val="18"/>
              </w:rPr>
            </w:pPr>
            <w:r>
              <w:rPr>
                <w:b/>
                <w:sz w:val="18"/>
              </w:rPr>
              <w:t>Required</w:t>
            </w:r>
          </w:p>
        </w:tc>
        <w:tc>
          <w:tcPr>
            <w:tcW w:w="564" w:type="dxa"/>
            <w:shd w:val="clear" w:color="auto" w:fill="F2F2F2"/>
            <w:textDirection w:val="btLr"/>
          </w:tcPr>
          <w:p>
            <w:pPr>
              <w:pStyle w:val="TableParagraph"/>
              <w:spacing w:before="86"/>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26"/>
              <w:rPr>
                <w:sz w:val="18"/>
              </w:rPr>
            </w:pPr>
            <w:r>
              <w:rPr>
                <w:sz w:val="18"/>
              </w:rPr>
              <w:t>element in the following units to be addressed in relevant briefings/flight exercises as applicable</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(xx) IFF, IFL– Instrument flight (optional)</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6"/>
              <w:ind w:right="185"/>
              <w:jc w:val="right"/>
              <w:rPr>
                <w:sz w:val="20"/>
              </w:rPr>
            </w:pPr>
            <w:r>
              <w:rPr>
                <w:sz w:val="20"/>
              </w:rPr>
              <w:t>(f)</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2" w:type="dxa"/>
            <w:shd w:val="clear" w:color="auto" w:fill="F2F2F2"/>
          </w:tcPr>
          <w:p>
            <w:pPr>
              <w:pStyle w:val="TableParagraph"/>
              <w:spacing w:before="4"/>
              <w:rPr>
                <w:rFonts w:ascii="Times New Roman"/>
                <w:sz w:val="19"/>
              </w:rPr>
            </w:pPr>
          </w:p>
          <w:p>
            <w:pPr>
              <w:pStyle w:val="TableParagraph"/>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FIR4.3 Conduct pre-flight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2" w:type="dxa"/>
            <w:shd w:val="clear" w:color="auto" w:fill="F2F2F2"/>
          </w:tcPr>
          <w:p>
            <w:pPr>
              <w:pStyle w:val="TableParagraph"/>
              <w:spacing w:before="23"/>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2" w:type="dxa"/>
            <w:shd w:val="clear" w:color="auto" w:fill="F2F2F2"/>
          </w:tcPr>
          <w:p>
            <w:pPr>
              <w:pStyle w:val="TableParagraph"/>
              <w:spacing w:before="26"/>
              <w:ind w:left="4"/>
              <w:jc w:val="center"/>
              <w:rPr>
                <w:sz w:val="20"/>
              </w:rPr>
            </w:pPr>
            <w:r>
              <w:rPr>
                <w:w w:val="99"/>
                <w:sz w:val="20"/>
              </w:rPr>
              <w:t>1</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2" w:type="dxa"/>
            <w:shd w:val="clear" w:color="auto" w:fill="F2F2F2"/>
          </w:tcPr>
          <w:p>
            <w:pPr>
              <w:pStyle w:val="TableParagraph"/>
              <w:spacing w:before="117"/>
              <w:ind w:left="4"/>
              <w:jc w:val="center"/>
              <w:rPr>
                <w:sz w:val="20"/>
              </w:rPr>
            </w:pPr>
            <w:r>
              <w:rPr>
                <w:w w:val="99"/>
                <w:sz w:val="20"/>
              </w:rPr>
              <w:t>1</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4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8"/>
              <w:rPr>
                <w:b/>
                <w:sz w:val="18"/>
              </w:rPr>
            </w:pPr>
            <w:r>
              <w:rPr>
                <w:b/>
                <w:sz w:val="18"/>
              </w:rPr>
              <w:t>Required</w:t>
            </w:r>
          </w:p>
        </w:tc>
        <w:tc>
          <w:tcPr>
            <w:tcW w:w="564" w:type="dxa"/>
            <w:shd w:val="clear" w:color="auto" w:fill="F2F2F2"/>
            <w:textDirection w:val="btLr"/>
          </w:tcPr>
          <w:p>
            <w:pPr>
              <w:pStyle w:val="TableParagraph"/>
              <w:spacing w:before="86"/>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(d) direct the task:</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NTS1.2 Maintain situational awareness</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2" w:type="dxa"/>
            <w:shd w:val="clear" w:color="auto" w:fill="F2F2F2"/>
          </w:tcPr>
          <w:p>
            <w:pPr>
              <w:pStyle w:val="TableParagraph"/>
              <w:spacing w:before="117"/>
              <w:ind w:left="4"/>
              <w:jc w:val="center"/>
              <w:rPr>
                <w:sz w:val="20"/>
              </w:rPr>
            </w:pPr>
            <w:r>
              <w:rPr>
                <w:w w:val="99"/>
                <w:sz w:val="20"/>
              </w:rPr>
              <w:t>3</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2" w:type="dxa"/>
            <w:shd w:val="clear" w:color="auto" w:fill="F2F2F2"/>
          </w:tcPr>
          <w:p>
            <w:pPr>
              <w:pStyle w:val="TableParagraph"/>
              <w:spacing w:before="26"/>
              <w:ind w:left="4"/>
              <w:jc w:val="center"/>
              <w:rPr>
                <w:sz w:val="20"/>
              </w:rPr>
            </w:pPr>
            <w:r>
              <w:rPr>
                <w:w w:val="99"/>
                <w:sz w:val="20"/>
              </w:rPr>
              <w:t>3</w:t>
            </w:r>
          </w:p>
        </w:tc>
        <w:tc>
          <w:tcPr>
            <w:tcW w:w="564"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4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23"/>
        <w:gridCol w:w="8478"/>
        <w:gridCol w:w="562"/>
        <w:gridCol w:w="564"/>
      </w:tblGrid>
      <w:tr>
        <w:trPr>
          <w:trHeight w:val="424" w:hRule="atLeast"/>
        </w:trPr>
        <w:tc>
          <w:tcPr>
            <w:tcW w:w="1223" w:type="dxa"/>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78"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15"/>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6" w:right="91"/>
              <w:rPr>
                <w:b/>
                <w:sz w:val="16"/>
              </w:rPr>
            </w:pPr>
            <w:r>
              <w:rPr>
                <w:b/>
                <w:sz w:val="16"/>
              </w:rPr>
              <w:t>Performance Standard</w:t>
            </w:r>
          </w:p>
        </w:tc>
      </w:tr>
      <w:tr>
        <w:trPr>
          <w:trHeight w:val="863" w:hRule="atLeast"/>
        </w:trPr>
        <w:tc>
          <w:tcPr>
            <w:tcW w:w="1223" w:type="dxa"/>
            <w:vMerge/>
            <w:tcBorders>
              <w:top w:val="nil"/>
            </w:tcBorders>
            <w:shd w:val="clear" w:color="auto" w:fill="F2F2F2"/>
            <w:textDirection w:val="btLr"/>
          </w:tcPr>
          <w:p>
            <w:pPr>
              <w:rPr>
                <w:sz w:val="2"/>
                <w:szCs w:val="2"/>
              </w:rPr>
            </w:pPr>
          </w:p>
        </w:tc>
        <w:tc>
          <w:tcPr>
            <w:tcW w:w="8478"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40"/>
              <w:rPr>
                <w:b/>
                <w:sz w:val="18"/>
              </w:rPr>
            </w:pPr>
            <w:r>
              <w:rPr>
                <w:b/>
                <w:sz w:val="18"/>
              </w:rPr>
              <w:t>Required</w:t>
            </w:r>
          </w:p>
        </w:tc>
        <w:tc>
          <w:tcPr>
            <w:tcW w:w="564" w:type="dxa"/>
            <w:shd w:val="clear" w:color="auto" w:fill="F2F2F2"/>
            <w:textDirection w:val="btLr"/>
          </w:tcPr>
          <w:p>
            <w:pPr>
              <w:pStyle w:val="TableParagraph"/>
              <w:spacing w:before="86"/>
              <w:ind w:left="74"/>
              <w:rPr>
                <w:b/>
                <w:sz w:val="16"/>
              </w:rPr>
            </w:pPr>
            <w:r>
              <w:rPr>
                <w:b/>
                <w:sz w:val="16"/>
              </w:rPr>
              <w:t>Achieved</w:t>
            </w:r>
          </w:p>
        </w:tc>
      </w:tr>
      <w:tr>
        <w:trPr>
          <w:trHeight w:val="712" w:hRule="atLeast"/>
        </w:trPr>
        <w:tc>
          <w:tcPr>
            <w:tcW w:w="1223" w:type="dxa"/>
          </w:tcPr>
          <w:p>
            <w:pPr>
              <w:pStyle w:val="TableParagraph"/>
              <w:rPr>
                <w:rFonts w:ascii="Times New Roman"/>
                <w:sz w:val="18"/>
              </w:rPr>
            </w:pPr>
          </w:p>
        </w:tc>
        <w:tc>
          <w:tcPr>
            <w:tcW w:w="8478" w:type="dxa"/>
          </w:tcPr>
          <w:p>
            <w:pPr>
              <w:pStyle w:val="TableParagraph"/>
              <w:spacing w:before="27"/>
              <w:ind w:left="389" w:right="234" w:hanging="360"/>
              <w:rPr>
                <w:sz w:val="18"/>
              </w:rPr>
            </w:pPr>
            <w:r>
              <w:rPr>
                <w:sz w:val="18"/>
              </w:rPr>
              <w:t>(d) review effectiveness of training and identify any adjustments to delivery, presentation and content for improvement and discuss with appropriate stakeholders</w:t>
            </w:r>
          </w:p>
        </w:tc>
        <w:tc>
          <w:tcPr>
            <w:tcW w:w="562" w:type="dxa"/>
            <w:shd w:val="clear" w:color="auto" w:fill="F2F2F2"/>
          </w:tcPr>
          <w:p>
            <w:pPr>
              <w:pStyle w:val="TableParagraph"/>
              <w:spacing w:before="9"/>
              <w:rPr>
                <w:rFonts w:ascii="Times New Roman"/>
                <w:sz w:val="20"/>
              </w:rPr>
            </w:pPr>
          </w:p>
          <w:p>
            <w:pPr>
              <w:pStyle w:val="TableParagraph"/>
              <w:ind w:left="4"/>
              <w:jc w:val="center"/>
              <w:rPr>
                <w:sz w:val="20"/>
              </w:rPr>
            </w:pPr>
            <w:r>
              <w:rPr>
                <w:w w:val="99"/>
                <w:sz w:val="20"/>
              </w:rPr>
              <w:t>3</w:t>
            </w:r>
          </w:p>
        </w:tc>
        <w:tc>
          <w:tcPr>
            <w:tcW w:w="564" w:type="dxa"/>
          </w:tcPr>
          <w:p>
            <w:pPr>
              <w:pStyle w:val="TableParagraph"/>
              <w:rPr>
                <w:rFonts w:ascii="Times New Roman"/>
                <w:sz w:val="18"/>
              </w:rPr>
            </w:pPr>
          </w:p>
        </w:tc>
      </w:tr>
    </w:tbl>
    <w:p>
      <w:pPr>
        <w:pStyle w:val="BodyText"/>
        <w:spacing w:before="1" w:after="1"/>
        <w:rPr>
          <w:rFonts w:ascii="Times New Roman"/>
          <w:b w:val="0"/>
          <w:sz w:val="23"/>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485"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42016"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40992" type="#_x0000_t202" filled="false" stroked="false">
          <v:textbox inset="0,0,0,0">
            <w:txbxContent>
              <w:p>
                <w:pPr>
                  <w:spacing w:line="203" w:lineRule="exact" w:before="0"/>
                  <w:ind w:left="20" w:right="0" w:firstLine="0"/>
                  <w:jc w:val="left"/>
                  <w:rPr>
                    <w:rFonts w:ascii="Calibri"/>
                    <w:sz w:val="18"/>
                  </w:rPr>
                </w:pPr>
                <w:r>
                  <w:rPr>
                    <w:rFonts w:ascii="Calibri"/>
                    <w:sz w:val="18"/>
                  </w:rPr>
                  <w:t>FIR-TE3-43</w:t>
                </w:r>
              </w:p>
            </w:txbxContent>
          </v:textbox>
          <w10:wrap type="none"/>
        </v:shape>
      </w:pict>
    </w:r>
    <w:r>
      <w:rPr/>
      <w:pict>
        <v:shape style="position:absolute;margin-left:274.763pt;margin-top:801.289978pt;width:45.95pt;height:11pt;mso-position-horizontal-relative:page;mso-position-vertical-relative:page;z-index:-25313996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3894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35872"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34848" type="#_x0000_t202" filled="false" stroked="false">
          <v:textbox inset="0,0,0,0">
            <w:txbxContent>
              <w:p>
                <w:pPr>
                  <w:spacing w:line="203" w:lineRule="exact" w:before="0"/>
                  <w:ind w:left="20" w:right="0" w:firstLine="0"/>
                  <w:jc w:val="left"/>
                  <w:rPr>
                    <w:rFonts w:ascii="Calibri"/>
                    <w:sz w:val="18"/>
                  </w:rPr>
                </w:pPr>
                <w:r>
                  <w:rPr>
                    <w:rFonts w:ascii="Calibri"/>
                    <w:sz w:val="18"/>
                  </w:rPr>
                  <w:t>FIR-TE3-43</w:t>
                </w:r>
              </w:p>
            </w:txbxContent>
          </v:textbox>
          <w10:wrap type="none"/>
        </v:shape>
      </w:pict>
    </w:r>
    <w:r>
      <w:rPr/>
      <w:pict>
        <v:shape style="position:absolute;margin-left:274.763pt;margin-top:801.289978pt;width:45.95pt;height:11pt;mso-position-horizontal-relative:page;mso-position-vertical-relative:page;z-index:-25313382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3280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37920"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45.85pt;height:13.15pt;mso-position-horizontal-relative:page;mso-position-vertical-relative:page;z-index:-253136896" type="#_x0000_t202" filled="false" stroked="false">
          <v:textbox inset="0,0,0,0">
            <w:txbxContent>
              <w:p>
                <w:pPr>
                  <w:pStyle w:val="BodyText"/>
                  <w:spacing w:before="12"/>
                  <w:ind w:left="20"/>
                </w:pPr>
                <w:r>
                  <w:rPr/>
                  <w:t>LESSON TE3-43: BASIC INSTRUMENT FLIGHT 1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TE3-43 Basic Instrument Flight 1  Preflight  Inflight Lesson plan Trng record</dc:title>
  <dcterms:created xsi:type="dcterms:W3CDTF">2021-11-10T01:00:18Z</dcterms:created>
  <dcterms:modified xsi:type="dcterms:W3CDTF">2021-11-10T01:00:18Z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