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82183" w14:textId="77777777" w:rsidR="00490524" w:rsidRDefault="00490524">
      <w:pPr>
        <w:pStyle w:val="Title"/>
        <w:rPr>
          <w:sz w:val="32"/>
          <w:szCs w:val="32"/>
          <w:lang w:val="en-GB"/>
        </w:rPr>
      </w:pPr>
      <w:bookmarkStart w:id="0" w:name="_Toc267471703"/>
      <w:bookmarkStart w:id="1" w:name="_Toc267485801"/>
      <w:r>
        <w:rPr>
          <w:noProof/>
          <w:sz w:val="32"/>
          <w:szCs w:val="32"/>
          <w:lang w:val="en-GB"/>
        </w:rPr>
        <w:drawing>
          <wp:inline distT="0" distB="0" distL="0" distR="0" wp14:anchorId="30AC2EB7" wp14:editId="1A7A235A">
            <wp:extent cx="2840990" cy="640080"/>
            <wp:effectExtent l="0" t="0" r="0" b="7620"/>
            <wp:docPr id="9" name="Picture 9" descr="Civil Aviation Safety Auth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640080"/>
                    </a:xfrm>
                    <a:prstGeom prst="rect">
                      <a:avLst/>
                    </a:prstGeom>
                    <a:noFill/>
                  </pic:spPr>
                </pic:pic>
              </a:graphicData>
            </a:graphic>
          </wp:inline>
        </w:drawing>
      </w:r>
    </w:p>
    <w:p w14:paraId="05BA72F7" w14:textId="77777777" w:rsidR="00490524" w:rsidRDefault="00490524">
      <w:pPr>
        <w:pStyle w:val="Title"/>
        <w:rPr>
          <w:sz w:val="32"/>
          <w:szCs w:val="32"/>
          <w:lang w:val="en-GB"/>
        </w:rPr>
      </w:pPr>
    </w:p>
    <w:p w14:paraId="5CD90F12" w14:textId="77777777" w:rsidR="00E2713F" w:rsidRPr="006C0823" w:rsidRDefault="00E2713F">
      <w:pPr>
        <w:pStyle w:val="Title"/>
        <w:rPr>
          <w:lang w:val="en-GB"/>
        </w:rPr>
      </w:pPr>
      <w:r w:rsidRPr="006C0823">
        <w:rPr>
          <w:lang w:val="en-GB"/>
        </w:rPr>
        <w:t>Annual Report 201</w:t>
      </w:r>
      <w:r w:rsidR="00D56520">
        <w:rPr>
          <w:lang w:val="en-GB"/>
        </w:rPr>
        <w:t>7</w:t>
      </w:r>
      <w:r w:rsidRPr="006C0823">
        <w:rPr>
          <w:lang w:val="en-GB"/>
        </w:rPr>
        <w:sym w:font="Symbol" w:char="F02D"/>
      </w:r>
      <w:r w:rsidRPr="006C0823">
        <w:rPr>
          <w:lang w:val="en-GB"/>
        </w:rPr>
        <w:t>1</w:t>
      </w:r>
      <w:r w:rsidR="00D56520">
        <w:rPr>
          <w:lang w:val="en-GB"/>
        </w:rPr>
        <w:t>8</w:t>
      </w:r>
    </w:p>
    <w:p w14:paraId="0E241F3A" w14:textId="77777777" w:rsidR="00F50078" w:rsidRPr="006C0823" w:rsidRDefault="00F50078" w:rsidP="00F50078">
      <w:pPr>
        <w:pStyle w:val="Heading2noTOC"/>
        <w:rPr>
          <w:lang w:val="en-GB"/>
        </w:rPr>
      </w:pPr>
      <w:bookmarkStart w:id="2" w:name="Part1"/>
      <w:bookmarkStart w:id="3" w:name="_Toc267471714"/>
      <w:bookmarkStart w:id="4" w:name="_Toc267471866"/>
      <w:bookmarkStart w:id="5" w:name="_Toc267485812"/>
      <w:bookmarkStart w:id="6" w:name="_Toc268006391"/>
      <w:bookmarkEnd w:id="0"/>
      <w:bookmarkEnd w:id="1"/>
      <w:r w:rsidRPr="006C0823">
        <w:rPr>
          <w:lang w:val="en-GB"/>
        </w:rPr>
        <w:t>About this report</w:t>
      </w:r>
    </w:p>
    <w:p w14:paraId="1ACEA6F3" w14:textId="77777777" w:rsidR="00F50078" w:rsidRPr="006C0823" w:rsidRDefault="00F50078" w:rsidP="00F50078">
      <w:r w:rsidRPr="006C0823">
        <w:t xml:space="preserve">This report provides a concise overview of the operations of the Civil Aviation Safety Authority (CASA) and reviews our performance against the corporate goals identified in CASA’s </w:t>
      </w:r>
      <w:r w:rsidRPr="006C0823">
        <w:rPr>
          <w:i/>
        </w:rPr>
        <w:t>Corporate Plan 201</w:t>
      </w:r>
      <w:r>
        <w:rPr>
          <w:i/>
        </w:rPr>
        <w:t>7</w:t>
      </w:r>
      <w:r w:rsidRPr="006C0823">
        <w:rPr>
          <w:i/>
        </w:rPr>
        <w:t>–1</w:t>
      </w:r>
      <w:r>
        <w:rPr>
          <w:i/>
        </w:rPr>
        <w:t>8</w:t>
      </w:r>
      <w:r w:rsidRPr="006C0823">
        <w:rPr>
          <w:i/>
        </w:rPr>
        <w:t xml:space="preserve"> to 2020–21</w:t>
      </w:r>
      <w:r w:rsidRPr="006C0823">
        <w:t>.</w:t>
      </w:r>
    </w:p>
    <w:p w14:paraId="04E77892" w14:textId="77777777" w:rsidR="00F50078" w:rsidRPr="006C0823" w:rsidRDefault="00F50078" w:rsidP="00F50078">
      <w:r w:rsidRPr="006C0823">
        <w:t>This report aims to provide readers with a detailed account of CASA’s performance for the 201</w:t>
      </w:r>
      <w:r>
        <w:t>7</w:t>
      </w:r>
      <w:r w:rsidRPr="006C0823">
        <w:t>–1</w:t>
      </w:r>
      <w:r>
        <w:t>8</w:t>
      </w:r>
      <w:r w:rsidRPr="006C0823">
        <w:t xml:space="preserve"> reporting period.</w:t>
      </w:r>
    </w:p>
    <w:p w14:paraId="3F0926AC" w14:textId="77777777" w:rsidR="00F50078" w:rsidRPr="006C0823" w:rsidRDefault="00F50078" w:rsidP="00F50078">
      <w:r w:rsidRPr="006C0823">
        <w:t>As well as providing a detailed description of what CASA has done during the year, the report contains financial statements for 201</w:t>
      </w:r>
      <w:r>
        <w:t>7</w:t>
      </w:r>
      <w:r w:rsidRPr="006C0823">
        <w:t>–</w:t>
      </w:r>
      <w:r>
        <w:t>18</w:t>
      </w:r>
      <w:r w:rsidRPr="006C0823">
        <w:t xml:space="preserve"> and identifies CASA’s plans to meet expected challenges in the year ahead.</w:t>
      </w:r>
    </w:p>
    <w:p w14:paraId="5D1D5FB6" w14:textId="77777777" w:rsidR="00F50078" w:rsidRPr="006C0823" w:rsidRDefault="00F50078" w:rsidP="00F50078">
      <w:r w:rsidRPr="006C0823">
        <w:t>CASA is accountable to the Minister for Infrastructure</w:t>
      </w:r>
      <w:r w:rsidR="00EB677A">
        <w:t>,</w:t>
      </w:r>
      <w:r w:rsidRPr="006C0823">
        <w:t xml:space="preserve"> Transport</w:t>
      </w:r>
      <w:r w:rsidR="00EB677A">
        <w:t xml:space="preserve"> and Regional Development</w:t>
      </w:r>
      <w:r w:rsidRPr="006C0823">
        <w:t xml:space="preserve"> and the Parliament of Australia. The publication of an annual report also fulfils an important element of CASA’s reporting responsibilities to the wider aviation community.</w:t>
      </w:r>
    </w:p>
    <w:p w14:paraId="4AEDB10B" w14:textId="77777777" w:rsidR="00F50078" w:rsidRPr="006C0823" w:rsidRDefault="00F50078" w:rsidP="00F50078">
      <w:r w:rsidRPr="006C0823">
        <w:t xml:space="preserve">This report was prepared in accordance with the </w:t>
      </w:r>
      <w:r w:rsidRPr="006C0823">
        <w:rPr>
          <w:i/>
        </w:rPr>
        <w:t>Civil Aviation Act 1988</w:t>
      </w:r>
      <w:r w:rsidRPr="006C0823">
        <w:t xml:space="preserve">, </w:t>
      </w:r>
      <w:r w:rsidRPr="006C0823">
        <w:rPr>
          <w:rFonts w:cs="Arial"/>
          <w:szCs w:val="24"/>
        </w:rPr>
        <w:t xml:space="preserve">the </w:t>
      </w:r>
      <w:r w:rsidRPr="006C0823">
        <w:rPr>
          <w:rFonts w:cs="Arial"/>
          <w:i/>
          <w:szCs w:val="24"/>
        </w:rPr>
        <w:t>Public Governance, Performance and Accountability Act 2013</w:t>
      </w:r>
      <w:r w:rsidRPr="006C0823">
        <w:t xml:space="preserve">, </w:t>
      </w:r>
      <w:r w:rsidRPr="006C0823">
        <w:rPr>
          <w:rFonts w:cs="Arial"/>
          <w:szCs w:val="24"/>
        </w:rPr>
        <w:t xml:space="preserve">the Public Governance, Performance and Accountability Rule 2014 </w:t>
      </w:r>
      <w:r w:rsidRPr="006C0823">
        <w:t>and other relevant legislation</w:t>
      </w:r>
      <w:r w:rsidRPr="00873D4F">
        <w:t>.</w:t>
      </w:r>
      <w:r w:rsidRPr="006C0823">
        <w:rPr>
          <w:i/>
        </w:rPr>
        <w:t xml:space="preserve"> </w:t>
      </w:r>
    </w:p>
    <w:p w14:paraId="1BADCA5D" w14:textId="77777777" w:rsidR="00F50078" w:rsidRPr="006C0823" w:rsidRDefault="00F50078" w:rsidP="00466E01">
      <w:pPr>
        <w:pStyle w:val="Heading2"/>
      </w:pPr>
      <w:r w:rsidRPr="006C0823">
        <w:t>Publication details</w:t>
      </w:r>
    </w:p>
    <w:p w14:paraId="753923AE" w14:textId="77777777" w:rsidR="00F50078" w:rsidRPr="006C0823" w:rsidRDefault="00F50078" w:rsidP="00F50078">
      <w:pPr>
        <w:rPr>
          <w:color w:val="000000"/>
          <w:highlight w:val="yellow"/>
        </w:rPr>
      </w:pPr>
      <w:r w:rsidRPr="006C0823">
        <w:t>ISSN: 1327-5968</w:t>
      </w:r>
      <w:r w:rsidRPr="006C0823">
        <w:br/>
        <w:t xml:space="preserve">ISBN: </w:t>
      </w:r>
      <w:r>
        <w:t>978-1-921475-52-8</w:t>
      </w:r>
    </w:p>
    <w:p w14:paraId="2C1AB882" w14:textId="77777777" w:rsidR="00F50078" w:rsidRPr="006C0823" w:rsidRDefault="00F50078" w:rsidP="00F50078">
      <w:r w:rsidRPr="006C0823">
        <w:rPr>
          <w:rFonts w:cs="Calibri"/>
        </w:rPr>
        <w:t>©</w:t>
      </w:r>
      <w:r w:rsidRPr="006C0823">
        <w:t xml:space="preserve"> Commonwealth of Australia 201</w:t>
      </w:r>
      <w:r>
        <w:t>8</w:t>
      </w:r>
    </w:p>
    <w:p w14:paraId="61A6E03B" w14:textId="77777777" w:rsidR="00F50078" w:rsidRPr="006C0823" w:rsidRDefault="00490524" w:rsidP="00F50078">
      <w:pPr>
        <w:pStyle w:val="NormalWeb"/>
        <w:spacing w:before="40" w:beforeAutospacing="0" w:after="40" w:afterAutospacing="0"/>
        <w:rPr>
          <w:rFonts w:ascii="Calibri" w:hAnsi="Calibri" w:cs="Arial"/>
          <w:sz w:val="20"/>
          <w:lang w:val="en-GB"/>
        </w:rPr>
      </w:pPr>
      <w:r>
        <w:rPr>
          <w:rFonts w:ascii="Calibri" w:hAnsi="Calibri" w:cs="Arial"/>
          <w:sz w:val="20"/>
          <w:lang w:val="en-GB" w:eastAsia="en-AU"/>
        </w:rPr>
        <w:fldChar w:fldCharType="begin"/>
      </w:r>
      <w:r>
        <w:rPr>
          <w:rFonts w:ascii="Calibri" w:hAnsi="Calibri" w:cs="Arial"/>
          <w:sz w:val="20"/>
          <w:lang w:val="en-GB" w:eastAsia="en-AU"/>
        </w:rPr>
        <w:instrText xml:space="preserve"> INCLUDEPICTURE  "cid:image001.png@01D06D26.A092BB60" \* MERGEFORMATINET </w:instrText>
      </w:r>
      <w:r>
        <w:rPr>
          <w:rFonts w:ascii="Calibri" w:hAnsi="Calibri" w:cs="Arial"/>
          <w:sz w:val="20"/>
          <w:lang w:val="en-GB" w:eastAsia="en-AU"/>
        </w:rPr>
        <w:fldChar w:fldCharType="separate"/>
      </w:r>
      <w:r w:rsidR="00B241B8">
        <w:rPr>
          <w:rFonts w:ascii="Calibri" w:hAnsi="Calibri" w:cs="Arial"/>
          <w:sz w:val="20"/>
          <w:lang w:val="en-GB" w:eastAsia="en-AU"/>
        </w:rPr>
        <w:fldChar w:fldCharType="begin"/>
      </w:r>
      <w:r w:rsidR="00B241B8">
        <w:rPr>
          <w:rFonts w:ascii="Calibri" w:hAnsi="Calibri" w:cs="Arial"/>
          <w:sz w:val="20"/>
          <w:lang w:val="en-GB" w:eastAsia="en-AU"/>
        </w:rPr>
        <w:instrText xml:space="preserve"> INCLUDEPICTURE  "cid:image001.png@01D06D26.A092BB60" \* MERGEFORMATINET </w:instrText>
      </w:r>
      <w:r w:rsidR="00B241B8">
        <w:rPr>
          <w:rFonts w:ascii="Calibri" w:hAnsi="Calibri" w:cs="Arial"/>
          <w:sz w:val="20"/>
          <w:lang w:val="en-GB" w:eastAsia="en-AU"/>
        </w:rPr>
        <w:fldChar w:fldCharType="separate"/>
      </w:r>
      <w:r w:rsidR="006076CF">
        <w:rPr>
          <w:rFonts w:ascii="Calibri" w:hAnsi="Calibri" w:cs="Arial"/>
          <w:sz w:val="20"/>
          <w:lang w:val="en-GB" w:eastAsia="en-AU"/>
        </w:rPr>
        <w:fldChar w:fldCharType="begin"/>
      </w:r>
      <w:r w:rsidR="006076CF">
        <w:rPr>
          <w:rFonts w:ascii="Calibri" w:hAnsi="Calibri" w:cs="Arial"/>
          <w:sz w:val="20"/>
          <w:lang w:val="en-GB" w:eastAsia="en-AU"/>
        </w:rPr>
        <w:instrText xml:space="preserve"> INCLUDEPICTURE  "cid:image001.png@01D06D26.A092BB60" \* MERGEFORMATINET </w:instrText>
      </w:r>
      <w:r w:rsidR="006076CF">
        <w:rPr>
          <w:rFonts w:ascii="Calibri" w:hAnsi="Calibri" w:cs="Arial"/>
          <w:sz w:val="20"/>
          <w:lang w:val="en-GB" w:eastAsia="en-AU"/>
        </w:rPr>
        <w:fldChar w:fldCharType="separate"/>
      </w:r>
      <w:r w:rsidR="00F73F4D">
        <w:rPr>
          <w:rFonts w:ascii="Calibri" w:hAnsi="Calibri" w:cs="Arial"/>
          <w:sz w:val="20"/>
          <w:lang w:val="en-GB" w:eastAsia="en-AU"/>
        </w:rPr>
        <w:fldChar w:fldCharType="begin"/>
      </w:r>
      <w:r w:rsidR="00F73F4D">
        <w:rPr>
          <w:rFonts w:ascii="Calibri" w:hAnsi="Calibri" w:cs="Arial"/>
          <w:sz w:val="20"/>
          <w:lang w:val="en-GB" w:eastAsia="en-AU"/>
        </w:rPr>
        <w:instrText xml:space="preserve"> INCLUDEPICTURE  "cid:image001.png@01D06D26.A092BB60" \* MERGEFORMATINET </w:instrText>
      </w:r>
      <w:r w:rsidR="00F73F4D">
        <w:rPr>
          <w:rFonts w:ascii="Calibri" w:hAnsi="Calibri" w:cs="Arial"/>
          <w:sz w:val="20"/>
          <w:lang w:val="en-GB" w:eastAsia="en-AU"/>
        </w:rPr>
        <w:fldChar w:fldCharType="separate"/>
      </w:r>
      <w:r w:rsidR="00B34FE6">
        <w:rPr>
          <w:rFonts w:ascii="Calibri" w:hAnsi="Calibri" w:cs="Arial"/>
          <w:sz w:val="20"/>
          <w:lang w:val="en-GB" w:eastAsia="en-AU"/>
        </w:rPr>
        <w:fldChar w:fldCharType="begin"/>
      </w:r>
      <w:r w:rsidR="00B34FE6">
        <w:rPr>
          <w:rFonts w:ascii="Calibri" w:hAnsi="Calibri" w:cs="Arial"/>
          <w:sz w:val="20"/>
          <w:lang w:val="en-GB" w:eastAsia="en-AU"/>
        </w:rPr>
        <w:instrText xml:space="preserve"> INCLUDEPICTURE  "cid:image001.png@01D06D26.A092BB60" \* MERGEFORMATINET </w:instrText>
      </w:r>
      <w:r w:rsidR="00B34FE6">
        <w:rPr>
          <w:rFonts w:ascii="Calibri" w:hAnsi="Calibri" w:cs="Arial"/>
          <w:sz w:val="20"/>
          <w:lang w:val="en-GB" w:eastAsia="en-AU"/>
        </w:rPr>
        <w:fldChar w:fldCharType="separate"/>
      </w:r>
      <w:r w:rsidR="00B34FE6">
        <w:rPr>
          <w:rFonts w:ascii="Calibri" w:hAnsi="Calibri" w:cs="Arial"/>
          <w:sz w:val="20"/>
          <w:lang w:val="en-GB" w:eastAsia="en-AU"/>
        </w:rPr>
        <w:pict w14:anchorId="26E78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eative Commons Attribution logo" style="width:79.5pt;height:28.5pt;visibility:visible">
            <v:imagedata r:id="rId9" r:href="rId10"/>
          </v:shape>
        </w:pict>
      </w:r>
      <w:r w:rsidR="00B34FE6">
        <w:rPr>
          <w:rFonts w:ascii="Calibri" w:hAnsi="Calibri" w:cs="Arial"/>
          <w:sz w:val="20"/>
          <w:lang w:val="en-GB" w:eastAsia="en-AU"/>
        </w:rPr>
        <w:fldChar w:fldCharType="end"/>
      </w:r>
      <w:r w:rsidR="00F73F4D">
        <w:rPr>
          <w:rFonts w:ascii="Calibri" w:hAnsi="Calibri" w:cs="Arial"/>
          <w:sz w:val="20"/>
          <w:lang w:val="en-GB" w:eastAsia="en-AU"/>
        </w:rPr>
        <w:fldChar w:fldCharType="end"/>
      </w:r>
      <w:r w:rsidR="006076CF">
        <w:rPr>
          <w:rFonts w:ascii="Calibri" w:hAnsi="Calibri" w:cs="Arial"/>
          <w:sz w:val="20"/>
          <w:lang w:val="en-GB" w:eastAsia="en-AU"/>
        </w:rPr>
        <w:fldChar w:fldCharType="end"/>
      </w:r>
      <w:r w:rsidR="00B241B8">
        <w:rPr>
          <w:rFonts w:ascii="Calibri" w:hAnsi="Calibri" w:cs="Arial"/>
          <w:sz w:val="20"/>
          <w:lang w:val="en-GB" w:eastAsia="en-AU"/>
        </w:rPr>
        <w:fldChar w:fldCharType="end"/>
      </w:r>
      <w:r>
        <w:rPr>
          <w:rFonts w:ascii="Calibri" w:hAnsi="Calibri" w:cs="Arial"/>
          <w:sz w:val="20"/>
          <w:lang w:val="en-GB" w:eastAsia="en-AU"/>
        </w:rPr>
        <w:fldChar w:fldCharType="end"/>
      </w:r>
    </w:p>
    <w:p w14:paraId="59F51F35" w14:textId="77777777" w:rsidR="00F50078" w:rsidRPr="006C0823" w:rsidRDefault="00F50078" w:rsidP="00F50078"/>
    <w:p w14:paraId="2BBB240C" w14:textId="77777777" w:rsidR="00F50078" w:rsidRPr="006C0823" w:rsidRDefault="00F50078" w:rsidP="00F50078">
      <w:r w:rsidRPr="006C0823">
        <w:t xml:space="preserve">With the exception of the Coat of Arms and all photos and graphics, this publication is licensed under a Creative Commons Attribution 3.0 Australia Licence. The Creative Commons Attribution 3.0 Australia Licence is a standard form licence agreement that allows you to copy, distribute, transmit and adapt this publication provided that you attribute the work. The full licence terms are available from: </w:t>
      </w:r>
      <w:hyperlink r:id="rId11" w:history="1">
        <w:r w:rsidR="002F6189" w:rsidRPr="00D5509B">
          <w:rPr>
            <w:rStyle w:val="Hyperlink"/>
          </w:rPr>
          <w:t>www.creativecommons.org/licenses/by/3.0/au/legalcode</w:t>
        </w:r>
      </w:hyperlink>
      <w:r w:rsidR="008D09A0">
        <w:t>.</w:t>
      </w:r>
    </w:p>
    <w:p w14:paraId="4562BA80" w14:textId="77777777" w:rsidR="00F50078" w:rsidRPr="006C0823" w:rsidRDefault="00F50078" w:rsidP="00F50078">
      <w:pPr>
        <w:pStyle w:val="Heading2noTOC"/>
        <w:rPr>
          <w:lang w:val="en-GB"/>
        </w:rPr>
      </w:pPr>
      <w:r w:rsidRPr="006C0823">
        <w:rPr>
          <w:lang w:val="en-GB"/>
        </w:rPr>
        <w:t xml:space="preserve">Letter of transmittal </w:t>
      </w:r>
    </w:p>
    <w:p w14:paraId="779987AE" w14:textId="77777777" w:rsidR="008445D6" w:rsidRDefault="008445D6" w:rsidP="008445D6">
      <w:pPr>
        <w:rPr>
          <w:rFonts w:ascii="Arial" w:hAnsi="Arial"/>
          <w:lang w:val="en-AU"/>
        </w:rPr>
      </w:pPr>
      <w:r>
        <w:t xml:space="preserve">Content under this heading has been removed in this version to meet accessibility </w:t>
      </w:r>
      <w:bookmarkStart w:id="7" w:name="_GoBack"/>
      <w:r>
        <w:t>standards.</w:t>
      </w:r>
    </w:p>
    <w:bookmarkEnd w:id="7"/>
    <w:p w14:paraId="57F70D7A" w14:textId="77777777" w:rsidR="00F50078" w:rsidRPr="00320266" w:rsidRDefault="00F50078" w:rsidP="00320266">
      <w:pPr>
        <w:pStyle w:val="Heading1noTOC"/>
      </w:pPr>
      <w:r w:rsidRPr="00320266">
        <w:lastRenderedPageBreak/>
        <w:t xml:space="preserve">Contents </w:t>
      </w:r>
    </w:p>
    <w:p w14:paraId="3BCCF77C" w14:textId="08E915DF" w:rsidR="00BC54B2" w:rsidRPr="008F1455" w:rsidRDefault="00F50078">
      <w:pPr>
        <w:pStyle w:val="TOC1"/>
        <w:rPr>
          <w:rFonts w:ascii="Calibri" w:eastAsia="Times New Roman" w:hAnsi="Calibri"/>
          <w:b w:val="0"/>
          <w:color w:val="auto"/>
          <w:lang w:eastAsia="en-GB"/>
        </w:rPr>
      </w:pPr>
      <w:r w:rsidRPr="006C0823">
        <w:rPr>
          <w:noProof w:val="0"/>
          <w:color w:val="auto"/>
        </w:rPr>
        <w:fldChar w:fldCharType="begin"/>
      </w:r>
      <w:r w:rsidRPr="006C0823">
        <w:rPr>
          <w:noProof w:val="0"/>
          <w:color w:val="auto"/>
        </w:rPr>
        <w:instrText xml:space="preserve"> TOC \h \z \t "Heading 1,2,Heading 0 (Part),1" </w:instrText>
      </w:r>
      <w:r w:rsidRPr="006C0823">
        <w:rPr>
          <w:noProof w:val="0"/>
          <w:color w:val="auto"/>
        </w:rPr>
        <w:fldChar w:fldCharType="separate"/>
      </w:r>
      <w:hyperlink w:anchor="_Toc523924872" w:history="1">
        <w:r w:rsidR="00BC54B2" w:rsidRPr="00A93CDD">
          <w:rPr>
            <w:rStyle w:val="Hyperlink"/>
          </w:rPr>
          <w:t>Part 1: Overview</w:t>
        </w:r>
        <w:r w:rsidR="00BC54B2">
          <w:rPr>
            <w:webHidden/>
          </w:rPr>
          <w:tab/>
        </w:r>
        <w:r w:rsidR="00BC54B2">
          <w:rPr>
            <w:webHidden/>
          </w:rPr>
          <w:fldChar w:fldCharType="begin"/>
        </w:r>
        <w:r w:rsidR="00BC54B2">
          <w:rPr>
            <w:webHidden/>
          </w:rPr>
          <w:instrText xml:space="preserve"> PAGEREF _Toc523924872 \h </w:instrText>
        </w:r>
        <w:r w:rsidR="00BC54B2">
          <w:rPr>
            <w:webHidden/>
          </w:rPr>
        </w:r>
        <w:r w:rsidR="00BC54B2">
          <w:rPr>
            <w:webHidden/>
          </w:rPr>
          <w:fldChar w:fldCharType="separate"/>
        </w:r>
        <w:r w:rsidR="00030A2B">
          <w:rPr>
            <w:webHidden/>
          </w:rPr>
          <w:t>9</w:t>
        </w:r>
        <w:r w:rsidR="00BC54B2">
          <w:rPr>
            <w:webHidden/>
          </w:rPr>
          <w:fldChar w:fldCharType="end"/>
        </w:r>
      </w:hyperlink>
    </w:p>
    <w:p w14:paraId="413F14AE" w14:textId="5C77213A" w:rsidR="00BC54B2" w:rsidRPr="008F1455" w:rsidRDefault="00B34FE6">
      <w:pPr>
        <w:pStyle w:val="TOC2"/>
        <w:rPr>
          <w:rFonts w:ascii="Calibri" w:eastAsia="Times New Roman" w:hAnsi="Calibri"/>
          <w:sz w:val="22"/>
          <w:szCs w:val="22"/>
          <w:lang w:eastAsia="en-GB"/>
        </w:rPr>
      </w:pPr>
      <w:hyperlink w:anchor="_Toc523924873" w:history="1">
        <w:r w:rsidR="00BC54B2" w:rsidRPr="00A93CDD">
          <w:rPr>
            <w:rStyle w:val="Hyperlink"/>
          </w:rPr>
          <w:t>Message from the Chair of the Board</w:t>
        </w:r>
        <w:r w:rsidR="00BC54B2">
          <w:rPr>
            <w:webHidden/>
          </w:rPr>
          <w:tab/>
        </w:r>
        <w:r w:rsidR="00BC54B2">
          <w:rPr>
            <w:webHidden/>
          </w:rPr>
          <w:fldChar w:fldCharType="begin"/>
        </w:r>
        <w:r w:rsidR="00BC54B2">
          <w:rPr>
            <w:webHidden/>
          </w:rPr>
          <w:instrText xml:space="preserve"> PAGEREF _Toc523924873 \h </w:instrText>
        </w:r>
        <w:r w:rsidR="00BC54B2">
          <w:rPr>
            <w:webHidden/>
          </w:rPr>
        </w:r>
        <w:r w:rsidR="00BC54B2">
          <w:rPr>
            <w:webHidden/>
          </w:rPr>
          <w:fldChar w:fldCharType="separate"/>
        </w:r>
        <w:r w:rsidR="00030A2B">
          <w:rPr>
            <w:webHidden/>
          </w:rPr>
          <w:t>9</w:t>
        </w:r>
        <w:r w:rsidR="00BC54B2">
          <w:rPr>
            <w:webHidden/>
          </w:rPr>
          <w:fldChar w:fldCharType="end"/>
        </w:r>
      </w:hyperlink>
    </w:p>
    <w:p w14:paraId="2C093FBD" w14:textId="06139CBE" w:rsidR="00BC54B2" w:rsidRPr="008F1455" w:rsidRDefault="00B34FE6">
      <w:pPr>
        <w:pStyle w:val="TOC2"/>
        <w:rPr>
          <w:rFonts w:ascii="Calibri" w:eastAsia="Times New Roman" w:hAnsi="Calibri"/>
          <w:sz w:val="22"/>
          <w:szCs w:val="22"/>
          <w:lang w:eastAsia="en-GB"/>
        </w:rPr>
      </w:pPr>
      <w:hyperlink w:anchor="_Toc523924874" w:history="1">
        <w:r w:rsidR="00BC54B2" w:rsidRPr="00A93CDD">
          <w:rPr>
            <w:rStyle w:val="Hyperlink"/>
          </w:rPr>
          <w:t>Review by the Director of Aviation Safety</w:t>
        </w:r>
        <w:r w:rsidR="00BC54B2">
          <w:rPr>
            <w:webHidden/>
          </w:rPr>
          <w:tab/>
        </w:r>
        <w:r w:rsidR="00BC54B2">
          <w:rPr>
            <w:webHidden/>
          </w:rPr>
          <w:fldChar w:fldCharType="begin"/>
        </w:r>
        <w:r w:rsidR="00BC54B2">
          <w:rPr>
            <w:webHidden/>
          </w:rPr>
          <w:instrText xml:space="preserve"> PAGEREF _Toc523924874 \h </w:instrText>
        </w:r>
        <w:r w:rsidR="00BC54B2">
          <w:rPr>
            <w:webHidden/>
          </w:rPr>
        </w:r>
        <w:r w:rsidR="00BC54B2">
          <w:rPr>
            <w:webHidden/>
          </w:rPr>
          <w:fldChar w:fldCharType="separate"/>
        </w:r>
        <w:r w:rsidR="00030A2B">
          <w:rPr>
            <w:webHidden/>
          </w:rPr>
          <w:t>11</w:t>
        </w:r>
        <w:r w:rsidR="00BC54B2">
          <w:rPr>
            <w:webHidden/>
          </w:rPr>
          <w:fldChar w:fldCharType="end"/>
        </w:r>
      </w:hyperlink>
    </w:p>
    <w:p w14:paraId="79DEF80B" w14:textId="464894F2" w:rsidR="00BC54B2" w:rsidRPr="008F1455" w:rsidRDefault="00B34FE6">
      <w:pPr>
        <w:pStyle w:val="TOC2"/>
        <w:rPr>
          <w:rFonts w:ascii="Calibri" w:eastAsia="Times New Roman" w:hAnsi="Calibri"/>
          <w:sz w:val="22"/>
          <w:szCs w:val="22"/>
          <w:lang w:eastAsia="en-GB"/>
        </w:rPr>
      </w:pPr>
      <w:hyperlink w:anchor="_Toc523924875" w:history="1">
        <w:r w:rsidR="00BC54B2" w:rsidRPr="00A93CDD">
          <w:rPr>
            <w:rStyle w:val="Hyperlink"/>
          </w:rPr>
          <w:t>Financial summary</w:t>
        </w:r>
        <w:r w:rsidR="00BC54B2">
          <w:rPr>
            <w:webHidden/>
          </w:rPr>
          <w:tab/>
        </w:r>
        <w:r w:rsidR="00BC54B2">
          <w:rPr>
            <w:webHidden/>
          </w:rPr>
          <w:fldChar w:fldCharType="begin"/>
        </w:r>
        <w:r w:rsidR="00BC54B2">
          <w:rPr>
            <w:webHidden/>
          </w:rPr>
          <w:instrText xml:space="preserve"> PAGEREF _Toc523924875 \h </w:instrText>
        </w:r>
        <w:r w:rsidR="00BC54B2">
          <w:rPr>
            <w:webHidden/>
          </w:rPr>
        </w:r>
        <w:r w:rsidR="00BC54B2">
          <w:rPr>
            <w:webHidden/>
          </w:rPr>
          <w:fldChar w:fldCharType="separate"/>
        </w:r>
        <w:r w:rsidR="00030A2B">
          <w:rPr>
            <w:webHidden/>
          </w:rPr>
          <w:t>17</w:t>
        </w:r>
        <w:r w:rsidR="00BC54B2">
          <w:rPr>
            <w:webHidden/>
          </w:rPr>
          <w:fldChar w:fldCharType="end"/>
        </w:r>
      </w:hyperlink>
    </w:p>
    <w:p w14:paraId="79DEBBA6" w14:textId="18AE572F" w:rsidR="00BC54B2" w:rsidRPr="008F1455" w:rsidRDefault="00B34FE6">
      <w:pPr>
        <w:pStyle w:val="TOC1"/>
        <w:rPr>
          <w:rFonts w:ascii="Calibri" w:eastAsia="Times New Roman" w:hAnsi="Calibri"/>
          <w:b w:val="0"/>
          <w:color w:val="auto"/>
          <w:lang w:eastAsia="en-GB"/>
        </w:rPr>
      </w:pPr>
      <w:hyperlink w:anchor="_Toc523924876" w:history="1">
        <w:r w:rsidR="00BC54B2" w:rsidRPr="00A93CDD">
          <w:rPr>
            <w:rStyle w:val="Hyperlink"/>
          </w:rPr>
          <w:t>Part 2: Annual performance statement</w:t>
        </w:r>
        <w:r w:rsidR="00BC54B2">
          <w:rPr>
            <w:webHidden/>
          </w:rPr>
          <w:tab/>
        </w:r>
        <w:r w:rsidR="00BC54B2">
          <w:rPr>
            <w:webHidden/>
          </w:rPr>
          <w:fldChar w:fldCharType="begin"/>
        </w:r>
        <w:r w:rsidR="00BC54B2">
          <w:rPr>
            <w:webHidden/>
          </w:rPr>
          <w:instrText xml:space="preserve"> PAGEREF _Toc523924876 \h </w:instrText>
        </w:r>
        <w:r w:rsidR="00BC54B2">
          <w:rPr>
            <w:webHidden/>
          </w:rPr>
        </w:r>
        <w:r w:rsidR="00BC54B2">
          <w:rPr>
            <w:webHidden/>
          </w:rPr>
          <w:fldChar w:fldCharType="separate"/>
        </w:r>
        <w:r w:rsidR="00030A2B">
          <w:rPr>
            <w:webHidden/>
          </w:rPr>
          <w:t>22</w:t>
        </w:r>
        <w:r w:rsidR="00BC54B2">
          <w:rPr>
            <w:webHidden/>
          </w:rPr>
          <w:fldChar w:fldCharType="end"/>
        </w:r>
      </w:hyperlink>
    </w:p>
    <w:p w14:paraId="70D1C0AB" w14:textId="2415244B" w:rsidR="00BC54B2" w:rsidRPr="008F1455" w:rsidRDefault="00B34FE6">
      <w:pPr>
        <w:pStyle w:val="TOC2"/>
        <w:rPr>
          <w:rFonts w:ascii="Calibri" w:eastAsia="Times New Roman" w:hAnsi="Calibri"/>
          <w:sz w:val="22"/>
          <w:szCs w:val="22"/>
          <w:lang w:eastAsia="en-GB"/>
        </w:rPr>
      </w:pPr>
      <w:hyperlink w:anchor="_Toc523924877" w:history="1">
        <w:r w:rsidR="00BC54B2" w:rsidRPr="00A93CDD">
          <w:rPr>
            <w:rStyle w:val="Hyperlink"/>
          </w:rPr>
          <w:t>Statement of preparation</w:t>
        </w:r>
        <w:r w:rsidR="00BC54B2">
          <w:rPr>
            <w:webHidden/>
          </w:rPr>
          <w:tab/>
        </w:r>
        <w:r w:rsidR="00BC54B2">
          <w:rPr>
            <w:webHidden/>
          </w:rPr>
          <w:fldChar w:fldCharType="begin"/>
        </w:r>
        <w:r w:rsidR="00BC54B2">
          <w:rPr>
            <w:webHidden/>
          </w:rPr>
          <w:instrText xml:space="preserve"> PAGEREF _Toc523924877 \h </w:instrText>
        </w:r>
        <w:r w:rsidR="00BC54B2">
          <w:rPr>
            <w:webHidden/>
          </w:rPr>
        </w:r>
        <w:r w:rsidR="00BC54B2">
          <w:rPr>
            <w:webHidden/>
          </w:rPr>
          <w:fldChar w:fldCharType="separate"/>
        </w:r>
        <w:r w:rsidR="00030A2B">
          <w:rPr>
            <w:webHidden/>
          </w:rPr>
          <w:t>22</w:t>
        </w:r>
        <w:r w:rsidR="00BC54B2">
          <w:rPr>
            <w:webHidden/>
          </w:rPr>
          <w:fldChar w:fldCharType="end"/>
        </w:r>
      </w:hyperlink>
    </w:p>
    <w:p w14:paraId="39D95995" w14:textId="10C05A90" w:rsidR="00BC54B2" w:rsidRPr="008F1455" w:rsidRDefault="00B34FE6">
      <w:pPr>
        <w:pStyle w:val="TOC2"/>
        <w:rPr>
          <w:rFonts w:ascii="Calibri" w:eastAsia="Times New Roman" w:hAnsi="Calibri"/>
          <w:sz w:val="22"/>
          <w:szCs w:val="22"/>
          <w:lang w:eastAsia="en-GB"/>
        </w:rPr>
      </w:pPr>
      <w:hyperlink w:anchor="_Toc523924878" w:history="1">
        <w:r w:rsidR="00BC54B2" w:rsidRPr="00A93CDD">
          <w:rPr>
            <w:rStyle w:val="Hyperlink"/>
          </w:rPr>
          <w:t>Performance framework</w:t>
        </w:r>
        <w:r w:rsidR="00BC54B2">
          <w:rPr>
            <w:webHidden/>
          </w:rPr>
          <w:tab/>
        </w:r>
        <w:r w:rsidR="00BC54B2">
          <w:rPr>
            <w:webHidden/>
          </w:rPr>
          <w:fldChar w:fldCharType="begin"/>
        </w:r>
        <w:r w:rsidR="00BC54B2">
          <w:rPr>
            <w:webHidden/>
          </w:rPr>
          <w:instrText xml:space="preserve"> PAGEREF _Toc523924878 \h </w:instrText>
        </w:r>
        <w:r w:rsidR="00BC54B2">
          <w:rPr>
            <w:webHidden/>
          </w:rPr>
        </w:r>
        <w:r w:rsidR="00BC54B2">
          <w:rPr>
            <w:webHidden/>
          </w:rPr>
          <w:fldChar w:fldCharType="separate"/>
        </w:r>
        <w:r w:rsidR="00030A2B">
          <w:rPr>
            <w:webHidden/>
          </w:rPr>
          <w:t>22</w:t>
        </w:r>
        <w:r w:rsidR="00BC54B2">
          <w:rPr>
            <w:webHidden/>
          </w:rPr>
          <w:fldChar w:fldCharType="end"/>
        </w:r>
      </w:hyperlink>
    </w:p>
    <w:p w14:paraId="624E6D89" w14:textId="3E6DB28A" w:rsidR="00BC54B2" w:rsidRPr="008F1455" w:rsidRDefault="00B34FE6">
      <w:pPr>
        <w:pStyle w:val="TOC2"/>
        <w:rPr>
          <w:rFonts w:ascii="Calibri" w:eastAsia="Times New Roman" w:hAnsi="Calibri"/>
          <w:sz w:val="22"/>
          <w:szCs w:val="22"/>
          <w:lang w:eastAsia="en-GB"/>
        </w:rPr>
      </w:pPr>
      <w:hyperlink w:anchor="_Toc523924879" w:history="1">
        <w:r w:rsidR="00BC54B2" w:rsidRPr="00A93CDD">
          <w:rPr>
            <w:rStyle w:val="Hyperlink"/>
          </w:rPr>
          <w:t>Portfolio outcome</w:t>
        </w:r>
        <w:r w:rsidR="00BC54B2">
          <w:rPr>
            <w:webHidden/>
          </w:rPr>
          <w:tab/>
        </w:r>
        <w:r w:rsidR="00BC54B2">
          <w:rPr>
            <w:webHidden/>
          </w:rPr>
          <w:fldChar w:fldCharType="begin"/>
        </w:r>
        <w:r w:rsidR="00BC54B2">
          <w:rPr>
            <w:webHidden/>
          </w:rPr>
          <w:instrText xml:space="preserve"> PAGEREF _Toc523924879 \h </w:instrText>
        </w:r>
        <w:r w:rsidR="00BC54B2">
          <w:rPr>
            <w:webHidden/>
          </w:rPr>
        </w:r>
        <w:r w:rsidR="00BC54B2">
          <w:rPr>
            <w:webHidden/>
          </w:rPr>
          <w:fldChar w:fldCharType="separate"/>
        </w:r>
        <w:r w:rsidR="00030A2B">
          <w:rPr>
            <w:webHidden/>
          </w:rPr>
          <w:t>24</w:t>
        </w:r>
        <w:r w:rsidR="00BC54B2">
          <w:rPr>
            <w:webHidden/>
          </w:rPr>
          <w:fldChar w:fldCharType="end"/>
        </w:r>
      </w:hyperlink>
    </w:p>
    <w:p w14:paraId="75CD1AC0" w14:textId="1A66F5A6" w:rsidR="00BC54B2" w:rsidRPr="008F1455" w:rsidRDefault="00B34FE6">
      <w:pPr>
        <w:pStyle w:val="TOC2"/>
        <w:rPr>
          <w:rFonts w:ascii="Calibri" w:eastAsia="Times New Roman" w:hAnsi="Calibri"/>
          <w:sz w:val="22"/>
          <w:szCs w:val="22"/>
          <w:lang w:eastAsia="en-GB"/>
        </w:rPr>
      </w:pPr>
      <w:hyperlink w:anchor="_Toc523924880" w:history="1">
        <w:r w:rsidR="00BC54B2" w:rsidRPr="00A93CDD">
          <w:rPr>
            <w:rStyle w:val="Hyperlink"/>
          </w:rPr>
          <w:t>Corporate plan objectives</w:t>
        </w:r>
        <w:r w:rsidR="00BC54B2">
          <w:rPr>
            <w:webHidden/>
          </w:rPr>
          <w:tab/>
        </w:r>
        <w:r w:rsidR="00BC54B2">
          <w:rPr>
            <w:webHidden/>
          </w:rPr>
          <w:fldChar w:fldCharType="begin"/>
        </w:r>
        <w:r w:rsidR="00BC54B2">
          <w:rPr>
            <w:webHidden/>
          </w:rPr>
          <w:instrText xml:space="preserve"> PAGEREF _Toc523924880 \h </w:instrText>
        </w:r>
        <w:r w:rsidR="00BC54B2">
          <w:rPr>
            <w:webHidden/>
          </w:rPr>
        </w:r>
        <w:r w:rsidR="00BC54B2">
          <w:rPr>
            <w:webHidden/>
          </w:rPr>
          <w:fldChar w:fldCharType="separate"/>
        </w:r>
        <w:r w:rsidR="00030A2B">
          <w:rPr>
            <w:webHidden/>
          </w:rPr>
          <w:t>26</w:t>
        </w:r>
        <w:r w:rsidR="00BC54B2">
          <w:rPr>
            <w:webHidden/>
          </w:rPr>
          <w:fldChar w:fldCharType="end"/>
        </w:r>
      </w:hyperlink>
    </w:p>
    <w:p w14:paraId="58882CDD" w14:textId="04D29D30" w:rsidR="00BC54B2" w:rsidRPr="008F1455" w:rsidRDefault="00B34FE6">
      <w:pPr>
        <w:pStyle w:val="TOC1"/>
        <w:rPr>
          <w:rFonts w:ascii="Calibri" w:eastAsia="Times New Roman" w:hAnsi="Calibri"/>
          <w:b w:val="0"/>
          <w:color w:val="auto"/>
          <w:lang w:eastAsia="en-GB"/>
        </w:rPr>
      </w:pPr>
      <w:hyperlink w:anchor="_Toc523924881" w:history="1">
        <w:r w:rsidR="00BC54B2" w:rsidRPr="00A93CDD">
          <w:rPr>
            <w:rStyle w:val="Hyperlink"/>
          </w:rPr>
          <w:t>Part 3: Corporate governance and management</w:t>
        </w:r>
        <w:r w:rsidR="00BC54B2">
          <w:rPr>
            <w:webHidden/>
          </w:rPr>
          <w:tab/>
        </w:r>
        <w:r w:rsidR="00BC54B2">
          <w:rPr>
            <w:webHidden/>
          </w:rPr>
          <w:fldChar w:fldCharType="begin"/>
        </w:r>
        <w:r w:rsidR="00BC54B2">
          <w:rPr>
            <w:webHidden/>
          </w:rPr>
          <w:instrText xml:space="preserve"> PAGEREF _Toc523924881 \h </w:instrText>
        </w:r>
        <w:r w:rsidR="00BC54B2">
          <w:rPr>
            <w:webHidden/>
          </w:rPr>
        </w:r>
        <w:r w:rsidR="00BC54B2">
          <w:rPr>
            <w:webHidden/>
          </w:rPr>
          <w:fldChar w:fldCharType="separate"/>
        </w:r>
        <w:r w:rsidR="00030A2B">
          <w:rPr>
            <w:webHidden/>
          </w:rPr>
          <w:t>55</w:t>
        </w:r>
        <w:r w:rsidR="00BC54B2">
          <w:rPr>
            <w:webHidden/>
          </w:rPr>
          <w:fldChar w:fldCharType="end"/>
        </w:r>
      </w:hyperlink>
    </w:p>
    <w:p w14:paraId="7B2DF086" w14:textId="59BEBAF7" w:rsidR="00BC54B2" w:rsidRPr="008F1455" w:rsidRDefault="00B34FE6">
      <w:pPr>
        <w:pStyle w:val="TOC2"/>
        <w:rPr>
          <w:rFonts w:ascii="Calibri" w:eastAsia="Times New Roman" w:hAnsi="Calibri"/>
          <w:sz w:val="22"/>
          <w:szCs w:val="22"/>
          <w:lang w:eastAsia="en-GB"/>
        </w:rPr>
      </w:pPr>
      <w:hyperlink w:anchor="_Toc523924882" w:history="1">
        <w:r w:rsidR="00BC54B2" w:rsidRPr="00A93CDD">
          <w:rPr>
            <w:rStyle w:val="Hyperlink"/>
          </w:rPr>
          <w:t>Corporate governance</w:t>
        </w:r>
        <w:r w:rsidR="00BC54B2">
          <w:rPr>
            <w:webHidden/>
          </w:rPr>
          <w:tab/>
        </w:r>
        <w:r w:rsidR="00BC54B2">
          <w:rPr>
            <w:webHidden/>
          </w:rPr>
          <w:fldChar w:fldCharType="begin"/>
        </w:r>
        <w:r w:rsidR="00BC54B2">
          <w:rPr>
            <w:webHidden/>
          </w:rPr>
          <w:instrText xml:space="preserve"> PAGEREF _Toc523924882 \h </w:instrText>
        </w:r>
        <w:r w:rsidR="00BC54B2">
          <w:rPr>
            <w:webHidden/>
          </w:rPr>
        </w:r>
        <w:r w:rsidR="00BC54B2">
          <w:rPr>
            <w:webHidden/>
          </w:rPr>
          <w:fldChar w:fldCharType="separate"/>
        </w:r>
        <w:r w:rsidR="00030A2B">
          <w:rPr>
            <w:webHidden/>
          </w:rPr>
          <w:t>55</w:t>
        </w:r>
        <w:r w:rsidR="00BC54B2">
          <w:rPr>
            <w:webHidden/>
          </w:rPr>
          <w:fldChar w:fldCharType="end"/>
        </w:r>
      </w:hyperlink>
    </w:p>
    <w:p w14:paraId="2C714782" w14:textId="3FC02845" w:rsidR="00BC54B2" w:rsidRPr="008F1455" w:rsidRDefault="00B34FE6">
      <w:pPr>
        <w:pStyle w:val="TOC2"/>
        <w:rPr>
          <w:rFonts w:ascii="Calibri" w:eastAsia="Times New Roman" w:hAnsi="Calibri"/>
          <w:sz w:val="22"/>
          <w:szCs w:val="22"/>
          <w:lang w:eastAsia="en-GB"/>
        </w:rPr>
      </w:pPr>
      <w:hyperlink w:anchor="_Toc523924883" w:history="1">
        <w:r w:rsidR="00BC54B2" w:rsidRPr="00A93CDD">
          <w:rPr>
            <w:rStyle w:val="Hyperlink"/>
          </w:rPr>
          <w:t>People management</w:t>
        </w:r>
        <w:r w:rsidR="00BC54B2">
          <w:rPr>
            <w:webHidden/>
          </w:rPr>
          <w:tab/>
        </w:r>
        <w:r w:rsidR="00BC54B2">
          <w:rPr>
            <w:webHidden/>
          </w:rPr>
          <w:fldChar w:fldCharType="begin"/>
        </w:r>
        <w:r w:rsidR="00BC54B2">
          <w:rPr>
            <w:webHidden/>
          </w:rPr>
          <w:instrText xml:space="preserve"> PAGEREF _Toc523924883 \h </w:instrText>
        </w:r>
        <w:r w:rsidR="00BC54B2">
          <w:rPr>
            <w:webHidden/>
          </w:rPr>
        </w:r>
        <w:r w:rsidR="00BC54B2">
          <w:rPr>
            <w:webHidden/>
          </w:rPr>
          <w:fldChar w:fldCharType="separate"/>
        </w:r>
        <w:r w:rsidR="00030A2B">
          <w:rPr>
            <w:webHidden/>
          </w:rPr>
          <w:t>73</w:t>
        </w:r>
        <w:r w:rsidR="00BC54B2">
          <w:rPr>
            <w:webHidden/>
          </w:rPr>
          <w:fldChar w:fldCharType="end"/>
        </w:r>
      </w:hyperlink>
    </w:p>
    <w:p w14:paraId="10D0FF66" w14:textId="32800EA1" w:rsidR="00BC54B2" w:rsidRPr="008F1455" w:rsidRDefault="00B34FE6">
      <w:pPr>
        <w:pStyle w:val="TOC2"/>
        <w:rPr>
          <w:rFonts w:ascii="Calibri" w:eastAsia="Times New Roman" w:hAnsi="Calibri"/>
          <w:sz w:val="22"/>
          <w:szCs w:val="22"/>
          <w:lang w:eastAsia="en-GB"/>
        </w:rPr>
      </w:pPr>
      <w:hyperlink w:anchor="_Toc523924884" w:history="1">
        <w:r w:rsidR="00BC54B2" w:rsidRPr="00A93CDD">
          <w:rPr>
            <w:rStyle w:val="Hyperlink"/>
          </w:rPr>
          <w:t>Work health and safety</w:t>
        </w:r>
        <w:r w:rsidR="00BC54B2">
          <w:rPr>
            <w:webHidden/>
          </w:rPr>
          <w:tab/>
        </w:r>
        <w:r w:rsidR="00BC54B2">
          <w:rPr>
            <w:webHidden/>
          </w:rPr>
          <w:fldChar w:fldCharType="begin"/>
        </w:r>
        <w:r w:rsidR="00BC54B2">
          <w:rPr>
            <w:webHidden/>
          </w:rPr>
          <w:instrText xml:space="preserve"> PAGEREF _Toc523924884 \h </w:instrText>
        </w:r>
        <w:r w:rsidR="00BC54B2">
          <w:rPr>
            <w:webHidden/>
          </w:rPr>
        </w:r>
        <w:r w:rsidR="00BC54B2">
          <w:rPr>
            <w:webHidden/>
          </w:rPr>
          <w:fldChar w:fldCharType="separate"/>
        </w:r>
        <w:r w:rsidR="00030A2B">
          <w:rPr>
            <w:webHidden/>
          </w:rPr>
          <w:t>80</w:t>
        </w:r>
        <w:r w:rsidR="00BC54B2">
          <w:rPr>
            <w:webHidden/>
          </w:rPr>
          <w:fldChar w:fldCharType="end"/>
        </w:r>
      </w:hyperlink>
    </w:p>
    <w:p w14:paraId="3CE2B63C" w14:textId="2D9DB7D4" w:rsidR="00BC54B2" w:rsidRPr="008F1455" w:rsidRDefault="00B34FE6">
      <w:pPr>
        <w:pStyle w:val="TOC2"/>
        <w:rPr>
          <w:rFonts w:ascii="Calibri" w:eastAsia="Times New Roman" w:hAnsi="Calibri"/>
          <w:sz w:val="22"/>
          <w:szCs w:val="22"/>
          <w:lang w:eastAsia="en-GB"/>
        </w:rPr>
      </w:pPr>
      <w:hyperlink w:anchor="_Toc523924885" w:history="1">
        <w:r w:rsidR="00BC54B2" w:rsidRPr="00A93CDD">
          <w:rPr>
            <w:rStyle w:val="Hyperlink"/>
            <w:lang w:val="en-AU"/>
          </w:rPr>
          <w:t>External engagement</w:t>
        </w:r>
        <w:r w:rsidR="00BC54B2">
          <w:rPr>
            <w:webHidden/>
          </w:rPr>
          <w:tab/>
        </w:r>
        <w:r w:rsidR="00BC54B2">
          <w:rPr>
            <w:webHidden/>
          </w:rPr>
          <w:fldChar w:fldCharType="begin"/>
        </w:r>
        <w:r w:rsidR="00BC54B2">
          <w:rPr>
            <w:webHidden/>
          </w:rPr>
          <w:instrText xml:space="preserve"> PAGEREF _Toc523924885 \h </w:instrText>
        </w:r>
        <w:r w:rsidR="00BC54B2">
          <w:rPr>
            <w:webHidden/>
          </w:rPr>
        </w:r>
        <w:r w:rsidR="00BC54B2">
          <w:rPr>
            <w:webHidden/>
          </w:rPr>
          <w:fldChar w:fldCharType="separate"/>
        </w:r>
        <w:r w:rsidR="00030A2B">
          <w:rPr>
            <w:webHidden/>
          </w:rPr>
          <w:t>86</w:t>
        </w:r>
        <w:r w:rsidR="00BC54B2">
          <w:rPr>
            <w:webHidden/>
          </w:rPr>
          <w:fldChar w:fldCharType="end"/>
        </w:r>
      </w:hyperlink>
    </w:p>
    <w:p w14:paraId="6075EEE4" w14:textId="5BDAC435" w:rsidR="00BC54B2" w:rsidRPr="008F1455" w:rsidRDefault="00B34FE6">
      <w:pPr>
        <w:pStyle w:val="TOC2"/>
        <w:rPr>
          <w:rFonts w:ascii="Calibri" w:eastAsia="Times New Roman" w:hAnsi="Calibri"/>
          <w:sz w:val="22"/>
          <w:szCs w:val="22"/>
          <w:lang w:eastAsia="en-GB"/>
        </w:rPr>
      </w:pPr>
      <w:hyperlink w:anchor="_Toc523924886" w:history="1">
        <w:r w:rsidR="00BC54B2" w:rsidRPr="00A93CDD">
          <w:rPr>
            <w:rStyle w:val="Hyperlink"/>
            <w:lang w:val="en-AU"/>
          </w:rPr>
          <w:t>External scrutiny</w:t>
        </w:r>
        <w:r w:rsidR="00BC54B2">
          <w:rPr>
            <w:webHidden/>
          </w:rPr>
          <w:tab/>
        </w:r>
        <w:r w:rsidR="00BC54B2">
          <w:rPr>
            <w:webHidden/>
          </w:rPr>
          <w:fldChar w:fldCharType="begin"/>
        </w:r>
        <w:r w:rsidR="00BC54B2">
          <w:rPr>
            <w:webHidden/>
          </w:rPr>
          <w:instrText xml:space="preserve"> PAGEREF _Toc523924886 \h </w:instrText>
        </w:r>
        <w:r w:rsidR="00BC54B2">
          <w:rPr>
            <w:webHidden/>
          </w:rPr>
        </w:r>
        <w:r w:rsidR="00BC54B2">
          <w:rPr>
            <w:webHidden/>
          </w:rPr>
          <w:fldChar w:fldCharType="separate"/>
        </w:r>
        <w:r w:rsidR="00030A2B">
          <w:rPr>
            <w:webHidden/>
          </w:rPr>
          <w:t>94</w:t>
        </w:r>
        <w:r w:rsidR="00BC54B2">
          <w:rPr>
            <w:webHidden/>
          </w:rPr>
          <w:fldChar w:fldCharType="end"/>
        </w:r>
      </w:hyperlink>
    </w:p>
    <w:p w14:paraId="275A8B87" w14:textId="12C12AA1" w:rsidR="00BC54B2" w:rsidRPr="008F1455" w:rsidRDefault="00B34FE6">
      <w:pPr>
        <w:pStyle w:val="TOC1"/>
        <w:rPr>
          <w:rFonts w:ascii="Calibri" w:eastAsia="Times New Roman" w:hAnsi="Calibri"/>
          <w:b w:val="0"/>
          <w:color w:val="auto"/>
          <w:lang w:eastAsia="en-GB"/>
        </w:rPr>
      </w:pPr>
      <w:hyperlink w:anchor="_Toc523924887" w:history="1">
        <w:r w:rsidR="00BC54B2" w:rsidRPr="00A93CDD">
          <w:rPr>
            <w:rStyle w:val="Hyperlink"/>
          </w:rPr>
          <w:t>Part 4: Other accountability reporting</w:t>
        </w:r>
        <w:r w:rsidR="00BC54B2">
          <w:rPr>
            <w:webHidden/>
          </w:rPr>
          <w:tab/>
        </w:r>
        <w:r w:rsidR="00BC54B2">
          <w:rPr>
            <w:webHidden/>
          </w:rPr>
          <w:fldChar w:fldCharType="begin"/>
        </w:r>
        <w:r w:rsidR="00BC54B2">
          <w:rPr>
            <w:webHidden/>
          </w:rPr>
          <w:instrText xml:space="preserve"> PAGEREF _Toc523924887 \h </w:instrText>
        </w:r>
        <w:r w:rsidR="00BC54B2">
          <w:rPr>
            <w:webHidden/>
          </w:rPr>
        </w:r>
        <w:r w:rsidR="00BC54B2">
          <w:rPr>
            <w:webHidden/>
          </w:rPr>
          <w:fldChar w:fldCharType="separate"/>
        </w:r>
        <w:r w:rsidR="00030A2B">
          <w:rPr>
            <w:webHidden/>
          </w:rPr>
          <w:t>113</w:t>
        </w:r>
        <w:r w:rsidR="00BC54B2">
          <w:rPr>
            <w:webHidden/>
          </w:rPr>
          <w:fldChar w:fldCharType="end"/>
        </w:r>
      </w:hyperlink>
    </w:p>
    <w:p w14:paraId="57A786B2" w14:textId="503E154D" w:rsidR="00BC54B2" w:rsidRPr="008F1455" w:rsidRDefault="00B34FE6">
      <w:pPr>
        <w:pStyle w:val="TOC2"/>
        <w:rPr>
          <w:rFonts w:ascii="Calibri" w:eastAsia="Times New Roman" w:hAnsi="Calibri"/>
          <w:sz w:val="22"/>
          <w:szCs w:val="22"/>
          <w:lang w:eastAsia="en-GB"/>
        </w:rPr>
      </w:pPr>
      <w:hyperlink w:anchor="_Toc523924888" w:history="1">
        <w:r w:rsidR="00BC54B2" w:rsidRPr="00A93CDD">
          <w:rPr>
            <w:rStyle w:val="Hyperlink"/>
            <w:lang w:val="en-AU"/>
          </w:rPr>
          <w:t>Freedom of information</w:t>
        </w:r>
        <w:r w:rsidR="00BC54B2">
          <w:rPr>
            <w:webHidden/>
          </w:rPr>
          <w:tab/>
        </w:r>
        <w:r w:rsidR="00BC54B2">
          <w:rPr>
            <w:webHidden/>
          </w:rPr>
          <w:fldChar w:fldCharType="begin"/>
        </w:r>
        <w:r w:rsidR="00BC54B2">
          <w:rPr>
            <w:webHidden/>
          </w:rPr>
          <w:instrText xml:space="preserve"> PAGEREF _Toc523924888 \h </w:instrText>
        </w:r>
        <w:r w:rsidR="00BC54B2">
          <w:rPr>
            <w:webHidden/>
          </w:rPr>
        </w:r>
        <w:r w:rsidR="00BC54B2">
          <w:rPr>
            <w:webHidden/>
          </w:rPr>
          <w:fldChar w:fldCharType="separate"/>
        </w:r>
        <w:r w:rsidR="00030A2B">
          <w:rPr>
            <w:webHidden/>
          </w:rPr>
          <w:t>113</w:t>
        </w:r>
        <w:r w:rsidR="00BC54B2">
          <w:rPr>
            <w:webHidden/>
          </w:rPr>
          <w:fldChar w:fldCharType="end"/>
        </w:r>
      </w:hyperlink>
    </w:p>
    <w:p w14:paraId="50E72D89" w14:textId="39DEDFB5" w:rsidR="00BC54B2" w:rsidRPr="008F1455" w:rsidRDefault="00B34FE6">
      <w:pPr>
        <w:pStyle w:val="TOC2"/>
        <w:rPr>
          <w:rFonts w:ascii="Calibri" w:eastAsia="Times New Roman" w:hAnsi="Calibri"/>
          <w:sz w:val="22"/>
          <w:szCs w:val="22"/>
          <w:lang w:eastAsia="en-GB"/>
        </w:rPr>
      </w:pPr>
      <w:hyperlink w:anchor="_Toc523924889" w:history="1">
        <w:r w:rsidR="00BC54B2" w:rsidRPr="00A93CDD">
          <w:rPr>
            <w:rStyle w:val="Hyperlink"/>
            <w:lang w:val="en-AU"/>
          </w:rPr>
          <w:t>Enforcement actions</w:t>
        </w:r>
        <w:r w:rsidR="00BC54B2">
          <w:rPr>
            <w:webHidden/>
          </w:rPr>
          <w:tab/>
        </w:r>
        <w:r w:rsidR="00BC54B2">
          <w:rPr>
            <w:webHidden/>
          </w:rPr>
          <w:fldChar w:fldCharType="begin"/>
        </w:r>
        <w:r w:rsidR="00BC54B2">
          <w:rPr>
            <w:webHidden/>
          </w:rPr>
          <w:instrText xml:space="preserve"> PAGEREF _Toc523924889 \h </w:instrText>
        </w:r>
        <w:r w:rsidR="00BC54B2">
          <w:rPr>
            <w:webHidden/>
          </w:rPr>
        </w:r>
        <w:r w:rsidR="00BC54B2">
          <w:rPr>
            <w:webHidden/>
          </w:rPr>
          <w:fldChar w:fldCharType="separate"/>
        </w:r>
        <w:r w:rsidR="00030A2B">
          <w:rPr>
            <w:webHidden/>
          </w:rPr>
          <w:t>114</w:t>
        </w:r>
        <w:r w:rsidR="00BC54B2">
          <w:rPr>
            <w:webHidden/>
          </w:rPr>
          <w:fldChar w:fldCharType="end"/>
        </w:r>
      </w:hyperlink>
    </w:p>
    <w:p w14:paraId="4FCAB690" w14:textId="50CA9BB4" w:rsidR="00BC54B2" w:rsidRPr="008F1455" w:rsidRDefault="00B34FE6">
      <w:pPr>
        <w:pStyle w:val="TOC2"/>
        <w:rPr>
          <w:rFonts w:ascii="Calibri" w:eastAsia="Times New Roman" w:hAnsi="Calibri"/>
          <w:sz w:val="22"/>
          <w:szCs w:val="22"/>
          <w:lang w:eastAsia="en-GB"/>
        </w:rPr>
      </w:pPr>
      <w:hyperlink w:anchor="_Toc523924890" w:history="1">
        <w:r w:rsidR="00BC54B2" w:rsidRPr="00A93CDD">
          <w:rPr>
            <w:rStyle w:val="Hyperlink"/>
            <w:lang w:val="en-AU"/>
          </w:rPr>
          <w:t>Environmental sustainability performance</w:t>
        </w:r>
        <w:r w:rsidR="00BC54B2">
          <w:rPr>
            <w:webHidden/>
          </w:rPr>
          <w:tab/>
        </w:r>
        <w:r w:rsidR="00BC54B2">
          <w:rPr>
            <w:webHidden/>
          </w:rPr>
          <w:fldChar w:fldCharType="begin"/>
        </w:r>
        <w:r w:rsidR="00BC54B2">
          <w:rPr>
            <w:webHidden/>
          </w:rPr>
          <w:instrText xml:space="preserve"> PAGEREF _Toc523924890 \h </w:instrText>
        </w:r>
        <w:r w:rsidR="00BC54B2">
          <w:rPr>
            <w:webHidden/>
          </w:rPr>
        </w:r>
        <w:r w:rsidR="00BC54B2">
          <w:rPr>
            <w:webHidden/>
          </w:rPr>
          <w:fldChar w:fldCharType="separate"/>
        </w:r>
        <w:r w:rsidR="00030A2B">
          <w:rPr>
            <w:webHidden/>
          </w:rPr>
          <w:t>114</w:t>
        </w:r>
        <w:r w:rsidR="00BC54B2">
          <w:rPr>
            <w:webHidden/>
          </w:rPr>
          <w:fldChar w:fldCharType="end"/>
        </w:r>
      </w:hyperlink>
    </w:p>
    <w:p w14:paraId="2ECA8B54" w14:textId="321D7093" w:rsidR="00BC54B2" w:rsidRPr="008F1455" w:rsidRDefault="00B34FE6">
      <w:pPr>
        <w:pStyle w:val="TOC2"/>
        <w:rPr>
          <w:rFonts w:ascii="Calibri" w:eastAsia="Times New Roman" w:hAnsi="Calibri"/>
          <w:sz w:val="22"/>
          <w:szCs w:val="22"/>
          <w:lang w:eastAsia="en-GB"/>
        </w:rPr>
      </w:pPr>
      <w:hyperlink w:anchor="_Toc523924891" w:history="1">
        <w:r w:rsidR="00BC54B2" w:rsidRPr="00A93CDD">
          <w:rPr>
            <w:rStyle w:val="Hyperlink"/>
            <w:lang w:val="en-AU"/>
          </w:rPr>
          <w:t>Purchasing</w:t>
        </w:r>
        <w:r w:rsidR="00BC54B2">
          <w:rPr>
            <w:webHidden/>
          </w:rPr>
          <w:tab/>
        </w:r>
        <w:r w:rsidR="00BC54B2">
          <w:rPr>
            <w:webHidden/>
          </w:rPr>
          <w:fldChar w:fldCharType="begin"/>
        </w:r>
        <w:r w:rsidR="00BC54B2">
          <w:rPr>
            <w:webHidden/>
          </w:rPr>
          <w:instrText xml:space="preserve"> PAGEREF _Toc523924891 \h </w:instrText>
        </w:r>
        <w:r w:rsidR="00BC54B2">
          <w:rPr>
            <w:webHidden/>
          </w:rPr>
        </w:r>
        <w:r w:rsidR="00BC54B2">
          <w:rPr>
            <w:webHidden/>
          </w:rPr>
          <w:fldChar w:fldCharType="separate"/>
        </w:r>
        <w:r w:rsidR="00030A2B">
          <w:rPr>
            <w:webHidden/>
          </w:rPr>
          <w:t>117</w:t>
        </w:r>
        <w:r w:rsidR="00BC54B2">
          <w:rPr>
            <w:webHidden/>
          </w:rPr>
          <w:fldChar w:fldCharType="end"/>
        </w:r>
      </w:hyperlink>
    </w:p>
    <w:p w14:paraId="2B4FE744" w14:textId="0632855F" w:rsidR="00BC54B2" w:rsidRPr="008F1455" w:rsidRDefault="00B34FE6">
      <w:pPr>
        <w:pStyle w:val="TOC2"/>
        <w:rPr>
          <w:rFonts w:ascii="Calibri" w:eastAsia="Times New Roman" w:hAnsi="Calibri"/>
          <w:sz w:val="22"/>
          <w:szCs w:val="22"/>
          <w:lang w:eastAsia="en-GB"/>
        </w:rPr>
      </w:pPr>
      <w:hyperlink w:anchor="_Toc523924892" w:history="1">
        <w:r w:rsidR="00BC54B2" w:rsidRPr="00A93CDD">
          <w:rPr>
            <w:rStyle w:val="Hyperlink"/>
            <w:lang w:val="en-AU"/>
          </w:rPr>
          <w:t>Advertising</w:t>
        </w:r>
        <w:r w:rsidR="00BC54B2">
          <w:rPr>
            <w:webHidden/>
          </w:rPr>
          <w:tab/>
        </w:r>
        <w:r w:rsidR="00BC54B2">
          <w:rPr>
            <w:webHidden/>
          </w:rPr>
          <w:fldChar w:fldCharType="begin"/>
        </w:r>
        <w:r w:rsidR="00BC54B2">
          <w:rPr>
            <w:webHidden/>
          </w:rPr>
          <w:instrText xml:space="preserve"> PAGEREF _Toc523924892 \h </w:instrText>
        </w:r>
        <w:r w:rsidR="00BC54B2">
          <w:rPr>
            <w:webHidden/>
          </w:rPr>
        </w:r>
        <w:r w:rsidR="00BC54B2">
          <w:rPr>
            <w:webHidden/>
          </w:rPr>
          <w:fldChar w:fldCharType="separate"/>
        </w:r>
        <w:r w:rsidR="00030A2B">
          <w:rPr>
            <w:webHidden/>
          </w:rPr>
          <w:t>118</w:t>
        </w:r>
        <w:r w:rsidR="00BC54B2">
          <w:rPr>
            <w:webHidden/>
          </w:rPr>
          <w:fldChar w:fldCharType="end"/>
        </w:r>
      </w:hyperlink>
    </w:p>
    <w:p w14:paraId="3367D5B3" w14:textId="0A452B9F" w:rsidR="00BC54B2" w:rsidRPr="008F1455" w:rsidRDefault="00B34FE6">
      <w:pPr>
        <w:pStyle w:val="TOC2"/>
        <w:rPr>
          <w:rFonts w:ascii="Calibri" w:eastAsia="Times New Roman" w:hAnsi="Calibri"/>
          <w:sz w:val="22"/>
          <w:szCs w:val="22"/>
          <w:lang w:eastAsia="en-GB"/>
        </w:rPr>
      </w:pPr>
      <w:hyperlink w:anchor="_Toc523924893" w:history="1">
        <w:r w:rsidR="00BC54B2" w:rsidRPr="00A93CDD">
          <w:rPr>
            <w:rStyle w:val="Hyperlink"/>
            <w:lang w:val="en-AU"/>
          </w:rPr>
          <w:t>Sponsorships and grants</w:t>
        </w:r>
        <w:r w:rsidR="00BC54B2">
          <w:rPr>
            <w:webHidden/>
          </w:rPr>
          <w:tab/>
        </w:r>
        <w:r w:rsidR="00BC54B2">
          <w:rPr>
            <w:webHidden/>
          </w:rPr>
          <w:fldChar w:fldCharType="begin"/>
        </w:r>
        <w:r w:rsidR="00BC54B2">
          <w:rPr>
            <w:webHidden/>
          </w:rPr>
          <w:instrText xml:space="preserve"> PAGEREF _Toc523924893 \h </w:instrText>
        </w:r>
        <w:r w:rsidR="00BC54B2">
          <w:rPr>
            <w:webHidden/>
          </w:rPr>
        </w:r>
        <w:r w:rsidR="00BC54B2">
          <w:rPr>
            <w:webHidden/>
          </w:rPr>
          <w:fldChar w:fldCharType="separate"/>
        </w:r>
        <w:r w:rsidR="00030A2B">
          <w:rPr>
            <w:webHidden/>
          </w:rPr>
          <w:t>118</w:t>
        </w:r>
        <w:r w:rsidR="00BC54B2">
          <w:rPr>
            <w:webHidden/>
          </w:rPr>
          <w:fldChar w:fldCharType="end"/>
        </w:r>
      </w:hyperlink>
    </w:p>
    <w:p w14:paraId="317DFE22" w14:textId="37A1C230" w:rsidR="00BC54B2" w:rsidRPr="008F1455" w:rsidRDefault="00B34FE6">
      <w:pPr>
        <w:pStyle w:val="TOC2"/>
        <w:rPr>
          <w:rFonts w:ascii="Calibri" w:eastAsia="Times New Roman" w:hAnsi="Calibri"/>
          <w:sz w:val="22"/>
          <w:szCs w:val="22"/>
          <w:lang w:eastAsia="en-GB"/>
        </w:rPr>
      </w:pPr>
      <w:hyperlink w:anchor="_Toc523924894" w:history="1">
        <w:r w:rsidR="00BC54B2" w:rsidRPr="00A93CDD">
          <w:rPr>
            <w:rStyle w:val="Hyperlink"/>
            <w:lang w:val="en-AU"/>
          </w:rPr>
          <w:t>Consultancy services</w:t>
        </w:r>
        <w:r w:rsidR="00BC54B2">
          <w:rPr>
            <w:webHidden/>
          </w:rPr>
          <w:tab/>
        </w:r>
        <w:r w:rsidR="00BC54B2">
          <w:rPr>
            <w:webHidden/>
          </w:rPr>
          <w:fldChar w:fldCharType="begin"/>
        </w:r>
        <w:r w:rsidR="00BC54B2">
          <w:rPr>
            <w:webHidden/>
          </w:rPr>
          <w:instrText xml:space="preserve"> PAGEREF _Toc523924894 \h </w:instrText>
        </w:r>
        <w:r w:rsidR="00BC54B2">
          <w:rPr>
            <w:webHidden/>
          </w:rPr>
        </w:r>
        <w:r w:rsidR="00BC54B2">
          <w:rPr>
            <w:webHidden/>
          </w:rPr>
          <w:fldChar w:fldCharType="separate"/>
        </w:r>
        <w:r w:rsidR="00030A2B">
          <w:rPr>
            <w:webHidden/>
          </w:rPr>
          <w:t>118</w:t>
        </w:r>
        <w:r w:rsidR="00BC54B2">
          <w:rPr>
            <w:webHidden/>
          </w:rPr>
          <w:fldChar w:fldCharType="end"/>
        </w:r>
      </w:hyperlink>
    </w:p>
    <w:p w14:paraId="498B2A7A" w14:textId="7DE307AE" w:rsidR="00BC54B2" w:rsidRPr="008F1455" w:rsidRDefault="00B34FE6">
      <w:pPr>
        <w:pStyle w:val="TOC2"/>
        <w:rPr>
          <w:rFonts w:ascii="Calibri" w:eastAsia="Times New Roman" w:hAnsi="Calibri"/>
          <w:sz w:val="22"/>
          <w:szCs w:val="22"/>
          <w:lang w:eastAsia="en-GB"/>
        </w:rPr>
      </w:pPr>
      <w:hyperlink w:anchor="_Toc523924895" w:history="1">
        <w:r w:rsidR="00BC54B2" w:rsidRPr="00A93CDD">
          <w:rPr>
            <w:rStyle w:val="Hyperlink"/>
            <w:lang w:val="en-AU"/>
          </w:rPr>
          <w:t>Related entity transactions</w:t>
        </w:r>
        <w:r w:rsidR="00BC54B2">
          <w:rPr>
            <w:webHidden/>
          </w:rPr>
          <w:tab/>
        </w:r>
        <w:r w:rsidR="00BC54B2">
          <w:rPr>
            <w:webHidden/>
          </w:rPr>
          <w:fldChar w:fldCharType="begin"/>
        </w:r>
        <w:r w:rsidR="00BC54B2">
          <w:rPr>
            <w:webHidden/>
          </w:rPr>
          <w:instrText xml:space="preserve"> PAGEREF _Toc523924895 \h </w:instrText>
        </w:r>
        <w:r w:rsidR="00BC54B2">
          <w:rPr>
            <w:webHidden/>
          </w:rPr>
        </w:r>
        <w:r w:rsidR="00BC54B2">
          <w:rPr>
            <w:webHidden/>
          </w:rPr>
          <w:fldChar w:fldCharType="separate"/>
        </w:r>
        <w:r w:rsidR="00030A2B">
          <w:rPr>
            <w:webHidden/>
          </w:rPr>
          <w:t>118</w:t>
        </w:r>
        <w:r w:rsidR="00BC54B2">
          <w:rPr>
            <w:webHidden/>
          </w:rPr>
          <w:fldChar w:fldCharType="end"/>
        </w:r>
      </w:hyperlink>
    </w:p>
    <w:p w14:paraId="7AE97923" w14:textId="13B12A5C" w:rsidR="00BC54B2" w:rsidRPr="008F1455" w:rsidRDefault="00B34FE6">
      <w:pPr>
        <w:pStyle w:val="TOC2"/>
        <w:rPr>
          <w:rFonts w:ascii="Calibri" w:eastAsia="Times New Roman" w:hAnsi="Calibri"/>
          <w:sz w:val="22"/>
          <w:szCs w:val="22"/>
          <w:lang w:eastAsia="en-GB"/>
        </w:rPr>
      </w:pPr>
      <w:hyperlink w:anchor="_Toc523924896" w:history="1">
        <w:r w:rsidR="00BC54B2" w:rsidRPr="00A93CDD">
          <w:rPr>
            <w:rStyle w:val="Hyperlink"/>
            <w:lang w:val="en-AU"/>
          </w:rPr>
          <w:t>Insurance and indemnities</w:t>
        </w:r>
        <w:r w:rsidR="00BC54B2">
          <w:rPr>
            <w:webHidden/>
          </w:rPr>
          <w:tab/>
        </w:r>
        <w:r w:rsidR="00BC54B2">
          <w:rPr>
            <w:webHidden/>
          </w:rPr>
          <w:fldChar w:fldCharType="begin"/>
        </w:r>
        <w:r w:rsidR="00BC54B2">
          <w:rPr>
            <w:webHidden/>
          </w:rPr>
          <w:instrText xml:space="preserve"> PAGEREF _Toc523924896 \h </w:instrText>
        </w:r>
        <w:r w:rsidR="00BC54B2">
          <w:rPr>
            <w:webHidden/>
          </w:rPr>
        </w:r>
        <w:r w:rsidR="00BC54B2">
          <w:rPr>
            <w:webHidden/>
          </w:rPr>
          <w:fldChar w:fldCharType="separate"/>
        </w:r>
        <w:r w:rsidR="00030A2B">
          <w:rPr>
            <w:webHidden/>
          </w:rPr>
          <w:t>118</w:t>
        </w:r>
        <w:r w:rsidR="00BC54B2">
          <w:rPr>
            <w:webHidden/>
          </w:rPr>
          <w:fldChar w:fldCharType="end"/>
        </w:r>
      </w:hyperlink>
    </w:p>
    <w:p w14:paraId="69D9265A" w14:textId="21682F85" w:rsidR="00BC54B2" w:rsidRPr="008F1455" w:rsidRDefault="00B34FE6">
      <w:pPr>
        <w:pStyle w:val="TOC1"/>
        <w:rPr>
          <w:rFonts w:ascii="Calibri" w:eastAsia="Times New Roman" w:hAnsi="Calibri"/>
          <w:b w:val="0"/>
          <w:color w:val="auto"/>
          <w:lang w:eastAsia="en-GB"/>
        </w:rPr>
      </w:pPr>
      <w:hyperlink w:anchor="_Toc523924897" w:history="1">
        <w:r w:rsidR="00BC54B2" w:rsidRPr="00A93CDD">
          <w:rPr>
            <w:rStyle w:val="Hyperlink"/>
          </w:rPr>
          <w:t>Part 5: Financial statements</w:t>
        </w:r>
        <w:r w:rsidR="00BC54B2">
          <w:rPr>
            <w:webHidden/>
          </w:rPr>
          <w:tab/>
        </w:r>
        <w:r w:rsidR="00BC54B2">
          <w:rPr>
            <w:webHidden/>
          </w:rPr>
          <w:fldChar w:fldCharType="begin"/>
        </w:r>
        <w:r w:rsidR="00BC54B2">
          <w:rPr>
            <w:webHidden/>
          </w:rPr>
          <w:instrText xml:space="preserve"> PAGEREF _Toc523924897 \h </w:instrText>
        </w:r>
        <w:r w:rsidR="00BC54B2">
          <w:rPr>
            <w:webHidden/>
          </w:rPr>
        </w:r>
        <w:r w:rsidR="00BC54B2">
          <w:rPr>
            <w:webHidden/>
          </w:rPr>
          <w:fldChar w:fldCharType="separate"/>
        </w:r>
        <w:r w:rsidR="00030A2B">
          <w:rPr>
            <w:webHidden/>
          </w:rPr>
          <w:t>120</w:t>
        </w:r>
        <w:r w:rsidR="00BC54B2">
          <w:rPr>
            <w:webHidden/>
          </w:rPr>
          <w:fldChar w:fldCharType="end"/>
        </w:r>
      </w:hyperlink>
    </w:p>
    <w:p w14:paraId="4AA1479A" w14:textId="4CE1F66F" w:rsidR="00BC54B2" w:rsidRPr="008F1455" w:rsidRDefault="00B34FE6">
      <w:pPr>
        <w:pStyle w:val="TOC2"/>
        <w:rPr>
          <w:rFonts w:ascii="Calibri" w:eastAsia="Times New Roman" w:hAnsi="Calibri"/>
          <w:sz w:val="22"/>
          <w:szCs w:val="22"/>
          <w:lang w:eastAsia="en-GB"/>
        </w:rPr>
      </w:pPr>
      <w:hyperlink w:anchor="_Toc523924898" w:history="1">
        <w:r w:rsidR="00BC54B2" w:rsidRPr="00A93CDD">
          <w:rPr>
            <w:rStyle w:val="Hyperlink"/>
          </w:rPr>
          <w:t>Independent auditor’s report</w:t>
        </w:r>
        <w:r w:rsidR="00BC54B2">
          <w:rPr>
            <w:webHidden/>
          </w:rPr>
          <w:tab/>
        </w:r>
        <w:r w:rsidR="00BC54B2">
          <w:rPr>
            <w:webHidden/>
          </w:rPr>
          <w:fldChar w:fldCharType="begin"/>
        </w:r>
        <w:r w:rsidR="00BC54B2">
          <w:rPr>
            <w:webHidden/>
          </w:rPr>
          <w:instrText xml:space="preserve"> PAGEREF _Toc523924898 \h </w:instrText>
        </w:r>
        <w:r w:rsidR="00BC54B2">
          <w:rPr>
            <w:webHidden/>
          </w:rPr>
        </w:r>
        <w:r w:rsidR="00BC54B2">
          <w:rPr>
            <w:webHidden/>
          </w:rPr>
          <w:fldChar w:fldCharType="separate"/>
        </w:r>
        <w:r w:rsidR="00030A2B">
          <w:rPr>
            <w:webHidden/>
          </w:rPr>
          <w:t>121</w:t>
        </w:r>
        <w:r w:rsidR="00BC54B2">
          <w:rPr>
            <w:webHidden/>
          </w:rPr>
          <w:fldChar w:fldCharType="end"/>
        </w:r>
      </w:hyperlink>
    </w:p>
    <w:p w14:paraId="2844B0EB" w14:textId="3C809094" w:rsidR="00BC54B2" w:rsidRPr="008F1455" w:rsidRDefault="00B34FE6">
      <w:pPr>
        <w:pStyle w:val="TOC2"/>
        <w:rPr>
          <w:rFonts w:ascii="Calibri" w:eastAsia="Times New Roman" w:hAnsi="Calibri"/>
          <w:sz w:val="22"/>
          <w:szCs w:val="22"/>
          <w:lang w:eastAsia="en-GB"/>
        </w:rPr>
      </w:pPr>
      <w:hyperlink w:anchor="_Toc523924899" w:history="1">
        <w:r w:rsidR="00BC54B2" w:rsidRPr="00A93CDD">
          <w:rPr>
            <w:rStyle w:val="Hyperlink"/>
          </w:rPr>
          <w:t xml:space="preserve">Statement by the Chair of the Board, </w:t>
        </w:r>
        <w:r w:rsidR="007C5728">
          <w:rPr>
            <w:rStyle w:val="Hyperlink"/>
          </w:rPr>
          <w:t xml:space="preserve">Chief Executive Officer and </w:t>
        </w:r>
        <w:r w:rsidR="00BC54B2" w:rsidRPr="00A93CDD">
          <w:rPr>
            <w:rStyle w:val="Hyperlink"/>
          </w:rPr>
          <w:t>Director of Aviation Safety and Chief Financial Officer</w:t>
        </w:r>
        <w:r w:rsidR="00BC54B2">
          <w:rPr>
            <w:webHidden/>
          </w:rPr>
          <w:tab/>
        </w:r>
        <w:r w:rsidR="00BC54B2">
          <w:rPr>
            <w:webHidden/>
          </w:rPr>
          <w:fldChar w:fldCharType="begin"/>
        </w:r>
        <w:r w:rsidR="00BC54B2">
          <w:rPr>
            <w:webHidden/>
          </w:rPr>
          <w:instrText xml:space="preserve"> PAGEREF _Toc523924899 \h </w:instrText>
        </w:r>
        <w:r w:rsidR="00BC54B2">
          <w:rPr>
            <w:webHidden/>
          </w:rPr>
        </w:r>
        <w:r w:rsidR="00BC54B2">
          <w:rPr>
            <w:webHidden/>
          </w:rPr>
          <w:fldChar w:fldCharType="separate"/>
        </w:r>
        <w:r w:rsidR="00030A2B">
          <w:rPr>
            <w:webHidden/>
          </w:rPr>
          <w:t>121</w:t>
        </w:r>
        <w:r w:rsidR="00BC54B2">
          <w:rPr>
            <w:webHidden/>
          </w:rPr>
          <w:fldChar w:fldCharType="end"/>
        </w:r>
      </w:hyperlink>
    </w:p>
    <w:p w14:paraId="6E43F645" w14:textId="5035C934" w:rsidR="00BC54B2" w:rsidRPr="008F1455" w:rsidRDefault="00B34FE6">
      <w:pPr>
        <w:pStyle w:val="TOC1"/>
        <w:rPr>
          <w:rFonts w:ascii="Calibri" w:eastAsia="Times New Roman" w:hAnsi="Calibri"/>
          <w:b w:val="0"/>
          <w:color w:val="auto"/>
          <w:lang w:eastAsia="en-GB"/>
        </w:rPr>
      </w:pPr>
      <w:hyperlink w:anchor="_Toc523924900" w:history="1">
        <w:r w:rsidR="00BC54B2" w:rsidRPr="00A93CDD">
          <w:rPr>
            <w:rStyle w:val="Hyperlink"/>
          </w:rPr>
          <w:t>Part 6: Appendices and references</w:t>
        </w:r>
        <w:r w:rsidR="00BC54B2">
          <w:rPr>
            <w:webHidden/>
          </w:rPr>
          <w:tab/>
        </w:r>
        <w:r w:rsidR="00BC54B2">
          <w:rPr>
            <w:webHidden/>
          </w:rPr>
          <w:fldChar w:fldCharType="begin"/>
        </w:r>
        <w:r w:rsidR="00BC54B2">
          <w:rPr>
            <w:webHidden/>
          </w:rPr>
          <w:instrText xml:space="preserve"> PAGEREF _Toc523924900 \h </w:instrText>
        </w:r>
        <w:r w:rsidR="00BC54B2">
          <w:rPr>
            <w:webHidden/>
          </w:rPr>
        </w:r>
        <w:r w:rsidR="00BC54B2">
          <w:rPr>
            <w:webHidden/>
          </w:rPr>
          <w:fldChar w:fldCharType="separate"/>
        </w:r>
        <w:r w:rsidR="00030A2B">
          <w:rPr>
            <w:webHidden/>
          </w:rPr>
          <w:t>121</w:t>
        </w:r>
        <w:r w:rsidR="00BC54B2">
          <w:rPr>
            <w:webHidden/>
          </w:rPr>
          <w:fldChar w:fldCharType="end"/>
        </w:r>
      </w:hyperlink>
    </w:p>
    <w:p w14:paraId="404B992C" w14:textId="53D311C5" w:rsidR="00BC54B2" w:rsidRPr="008F1455" w:rsidRDefault="00B34FE6">
      <w:pPr>
        <w:pStyle w:val="TOC2"/>
        <w:rPr>
          <w:rFonts w:ascii="Calibri" w:eastAsia="Times New Roman" w:hAnsi="Calibri"/>
          <w:sz w:val="22"/>
          <w:szCs w:val="22"/>
          <w:lang w:eastAsia="en-GB"/>
        </w:rPr>
      </w:pPr>
      <w:hyperlink w:anchor="_Toc523924901" w:history="1">
        <w:r w:rsidR="00BC54B2" w:rsidRPr="00A93CDD">
          <w:rPr>
            <w:rStyle w:val="Hyperlink"/>
          </w:rPr>
          <w:t>Appendix A: Operating statistics</w:t>
        </w:r>
        <w:r w:rsidR="00BC54B2">
          <w:rPr>
            <w:webHidden/>
          </w:rPr>
          <w:tab/>
        </w:r>
        <w:r w:rsidR="00BC54B2">
          <w:rPr>
            <w:webHidden/>
          </w:rPr>
          <w:fldChar w:fldCharType="begin"/>
        </w:r>
        <w:r w:rsidR="00BC54B2">
          <w:rPr>
            <w:webHidden/>
          </w:rPr>
          <w:instrText xml:space="preserve"> PAGEREF _Toc523924901 \h </w:instrText>
        </w:r>
        <w:r w:rsidR="00BC54B2">
          <w:rPr>
            <w:webHidden/>
          </w:rPr>
        </w:r>
        <w:r w:rsidR="00BC54B2">
          <w:rPr>
            <w:webHidden/>
          </w:rPr>
          <w:fldChar w:fldCharType="separate"/>
        </w:r>
        <w:r w:rsidR="00030A2B">
          <w:rPr>
            <w:webHidden/>
          </w:rPr>
          <w:t>121</w:t>
        </w:r>
        <w:r w:rsidR="00BC54B2">
          <w:rPr>
            <w:webHidden/>
          </w:rPr>
          <w:fldChar w:fldCharType="end"/>
        </w:r>
      </w:hyperlink>
    </w:p>
    <w:p w14:paraId="2F3FFA3D" w14:textId="6D63FFE0" w:rsidR="00BC54B2" w:rsidRPr="008F1455" w:rsidRDefault="00B34FE6">
      <w:pPr>
        <w:pStyle w:val="TOC2"/>
        <w:rPr>
          <w:rFonts w:ascii="Calibri" w:eastAsia="Times New Roman" w:hAnsi="Calibri"/>
          <w:sz w:val="22"/>
          <w:szCs w:val="22"/>
          <w:lang w:eastAsia="en-GB"/>
        </w:rPr>
      </w:pPr>
      <w:hyperlink w:anchor="_Toc523924902" w:history="1">
        <w:r w:rsidR="00BC54B2" w:rsidRPr="00A93CDD">
          <w:rPr>
            <w:rStyle w:val="Hyperlink"/>
          </w:rPr>
          <w:t>Appendix B</w:t>
        </w:r>
        <w:r w:rsidR="00BC54B2" w:rsidRPr="00A93CDD">
          <w:rPr>
            <w:rStyle w:val="Hyperlink"/>
            <w:lang w:val="en-AU"/>
          </w:rPr>
          <w:t>: Management and accountability data</w:t>
        </w:r>
        <w:r w:rsidR="00BC54B2">
          <w:rPr>
            <w:webHidden/>
          </w:rPr>
          <w:tab/>
        </w:r>
        <w:r w:rsidR="00BC54B2">
          <w:rPr>
            <w:webHidden/>
          </w:rPr>
          <w:fldChar w:fldCharType="begin"/>
        </w:r>
        <w:r w:rsidR="00BC54B2">
          <w:rPr>
            <w:webHidden/>
          </w:rPr>
          <w:instrText xml:space="preserve"> PAGEREF _Toc523924902 \h </w:instrText>
        </w:r>
        <w:r w:rsidR="00BC54B2">
          <w:rPr>
            <w:webHidden/>
          </w:rPr>
        </w:r>
        <w:r w:rsidR="00BC54B2">
          <w:rPr>
            <w:webHidden/>
          </w:rPr>
          <w:fldChar w:fldCharType="separate"/>
        </w:r>
        <w:r w:rsidR="00030A2B">
          <w:rPr>
            <w:webHidden/>
          </w:rPr>
          <w:t>136</w:t>
        </w:r>
        <w:r w:rsidR="00BC54B2">
          <w:rPr>
            <w:webHidden/>
          </w:rPr>
          <w:fldChar w:fldCharType="end"/>
        </w:r>
      </w:hyperlink>
    </w:p>
    <w:p w14:paraId="446FB40D" w14:textId="4A50167D" w:rsidR="00BC54B2" w:rsidRPr="008F1455" w:rsidRDefault="00B34FE6">
      <w:pPr>
        <w:pStyle w:val="TOC2"/>
        <w:rPr>
          <w:rFonts w:ascii="Calibri" w:eastAsia="Times New Roman" w:hAnsi="Calibri"/>
          <w:sz w:val="22"/>
          <w:szCs w:val="22"/>
          <w:lang w:eastAsia="en-GB"/>
        </w:rPr>
      </w:pPr>
      <w:hyperlink w:anchor="_Toc523924903" w:history="1">
        <w:r w:rsidR="00BC54B2" w:rsidRPr="00A93CDD">
          <w:rPr>
            <w:rStyle w:val="Hyperlink"/>
          </w:rPr>
          <w:t>Abbreviations list</w:t>
        </w:r>
        <w:r w:rsidR="00BC54B2">
          <w:rPr>
            <w:webHidden/>
          </w:rPr>
          <w:tab/>
        </w:r>
        <w:r w:rsidR="00BC54B2">
          <w:rPr>
            <w:webHidden/>
          </w:rPr>
          <w:fldChar w:fldCharType="begin"/>
        </w:r>
        <w:r w:rsidR="00BC54B2">
          <w:rPr>
            <w:webHidden/>
          </w:rPr>
          <w:instrText xml:space="preserve"> PAGEREF _Toc523924903 \h </w:instrText>
        </w:r>
        <w:r w:rsidR="00BC54B2">
          <w:rPr>
            <w:webHidden/>
          </w:rPr>
        </w:r>
        <w:r w:rsidR="00BC54B2">
          <w:rPr>
            <w:webHidden/>
          </w:rPr>
          <w:fldChar w:fldCharType="separate"/>
        </w:r>
        <w:r w:rsidR="00030A2B">
          <w:rPr>
            <w:webHidden/>
          </w:rPr>
          <w:t>147</w:t>
        </w:r>
        <w:r w:rsidR="00BC54B2">
          <w:rPr>
            <w:webHidden/>
          </w:rPr>
          <w:fldChar w:fldCharType="end"/>
        </w:r>
      </w:hyperlink>
    </w:p>
    <w:p w14:paraId="0C5B31EA" w14:textId="1061C97B" w:rsidR="00BC54B2" w:rsidRPr="008F1455" w:rsidRDefault="00B34FE6">
      <w:pPr>
        <w:pStyle w:val="TOC2"/>
        <w:rPr>
          <w:rFonts w:ascii="Calibri" w:eastAsia="Times New Roman" w:hAnsi="Calibri"/>
          <w:sz w:val="22"/>
          <w:szCs w:val="22"/>
          <w:lang w:eastAsia="en-GB"/>
        </w:rPr>
      </w:pPr>
      <w:hyperlink w:anchor="_Toc523924904" w:history="1">
        <w:r w:rsidR="00BC54B2" w:rsidRPr="00A93CDD">
          <w:rPr>
            <w:rStyle w:val="Hyperlink"/>
          </w:rPr>
          <w:t xml:space="preserve">Compliance index </w:t>
        </w:r>
        <w:r w:rsidR="00BC54B2">
          <w:rPr>
            <w:webHidden/>
          </w:rPr>
          <w:tab/>
        </w:r>
        <w:r w:rsidR="00BC54B2">
          <w:rPr>
            <w:webHidden/>
          </w:rPr>
          <w:fldChar w:fldCharType="begin"/>
        </w:r>
        <w:r w:rsidR="00BC54B2">
          <w:rPr>
            <w:webHidden/>
          </w:rPr>
          <w:instrText xml:space="preserve"> PAGEREF _Toc523924904 \h </w:instrText>
        </w:r>
        <w:r w:rsidR="00BC54B2">
          <w:rPr>
            <w:webHidden/>
          </w:rPr>
        </w:r>
        <w:r w:rsidR="00BC54B2">
          <w:rPr>
            <w:webHidden/>
          </w:rPr>
          <w:fldChar w:fldCharType="separate"/>
        </w:r>
        <w:r w:rsidR="00030A2B">
          <w:rPr>
            <w:webHidden/>
          </w:rPr>
          <w:t>149</w:t>
        </w:r>
        <w:r w:rsidR="00BC54B2">
          <w:rPr>
            <w:webHidden/>
          </w:rPr>
          <w:fldChar w:fldCharType="end"/>
        </w:r>
      </w:hyperlink>
    </w:p>
    <w:p w14:paraId="219693A9" w14:textId="370EC0BE" w:rsidR="00BC54B2" w:rsidRPr="008F1455" w:rsidRDefault="00B34FE6">
      <w:pPr>
        <w:pStyle w:val="TOC2"/>
        <w:rPr>
          <w:rFonts w:ascii="Calibri" w:eastAsia="Times New Roman" w:hAnsi="Calibri"/>
          <w:sz w:val="22"/>
          <w:szCs w:val="22"/>
          <w:lang w:eastAsia="en-GB"/>
        </w:rPr>
      </w:pPr>
      <w:hyperlink w:anchor="_Toc523924905" w:history="1">
        <w:r w:rsidR="00BC54B2" w:rsidRPr="00A93CDD">
          <w:rPr>
            <w:rStyle w:val="Hyperlink"/>
          </w:rPr>
          <w:t>Alphabetical index</w:t>
        </w:r>
        <w:r w:rsidR="00BC54B2">
          <w:rPr>
            <w:webHidden/>
          </w:rPr>
          <w:tab/>
        </w:r>
        <w:r w:rsidR="00BC54B2">
          <w:rPr>
            <w:webHidden/>
          </w:rPr>
          <w:fldChar w:fldCharType="begin"/>
        </w:r>
        <w:r w:rsidR="00BC54B2">
          <w:rPr>
            <w:webHidden/>
          </w:rPr>
          <w:instrText xml:space="preserve"> PAGEREF _Toc523924905 \h </w:instrText>
        </w:r>
        <w:r w:rsidR="00BC54B2">
          <w:rPr>
            <w:webHidden/>
          </w:rPr>
        </w:r>
        <w:r w:rsidR="00BC54B2">
          <w:rPr>
            <w:webHidden/>
          </w:rPr>
          <w:fldChar w:fldCharType="separate"/>
        </w:r>
        <w:r w:rsidR="00030A2B">
          <w:rPr>
            <w:webHidden/>
          </w:rPr>
          <w:t>150</w:t>
        </w:r>
        <w:r w:rsidR="00BC54B2">
          <w:rPr>
            <w:webHidden/>
          </w:rPr>
          <w:fldChar w:fldCharType="end"/>
        </w:r>
      </w:hyperlink>
    </w:p>
    <w:p w14:paraId="28AB6FF8" w14:textId="38155AF3" w:rsidR="00F50078" w:rsidRPr="006C0823" w:rsidRDefault="00F50078" w:rsidP="00F50078">
      <w:r w:rsidRPr="006C0823">
        <w:fldChar w:fldCharType="end"/>
      </w:r>
    </w:p>
    <w:p w14:paraId="53F35210" w14:textId="77777777" w:rsidR="00F50078" w:rsidRPr="006C0823" w:rsidRDefault="00F50078" w:rsidP="00F50078">
      <w:pPr>
        <w:rPr>
          <w:szCs w:val="24"/>
        </w:rPr>
        <w:sectPr w:rsidR="00F50078" w:rsidRPr="006C0823" w:rsidSect="00466E01">
          <w:footerReference w:type="even" r:id="rId12"/>
          <w:footerReference w:type="first" r:id="rId13"/>
          <w:pgSz w:w="11907" w:h="16840" w:code="9"/>
          <w:pgMar w:top="1440" w:right="1440" w:bottom="1440" w:left="1440" w:header="709" w:footer="709" w:gutter="0"/>
          <w:pgNumType w:start="1"/>
          <w:cols w:space="708"/>
          <w:titlePg/>
          <w:docGrid w:linePitch="360"/>
        </w:sectPr>
      </w:pPr>
    </w:p>
    <w:p w14:paraId="38A008E7" w14:textId="77777777" w:rsidR="00F50078" w:rsidRDefault="00F50078" w:rsidP="00F50078">
      <w:pPr>
        <w:pStyle w:val="Heading1noTOC"/>
        <w:rPr>
          <w:lang w:val="en-GB"/>
        </w:rPr>
      </w:pPr>
      <w:r w:rsidRPr="006C0823">
        <w:rPr>
          <w:lang w:val="en-GB"/>
        </w:rPr>
        <w:lastRenderedPageBreak/>
        <w:t>Snapshot of performance</w:t>
      </w:r>
    </w:p>
    <w:p w14:paraId="6E825EA1" w14:textId="77777777" w:rsidR="008D09A0" w:rsidRDefault="008D09A0" w:rsidP="00D65506">
      <w:pPr>
        <w:pStyle w:val="Heading2noTOC"/>
      </w:pPr>
      <w:r w:rsidRPr="006C0823">
        <w:t>Goal 1: Maintain and enhance a fair, effective and efficient aviation safety regulation system</w:t>
      </w:r>
    </w:p>
    <w:p w14:paraId="1A754917" w14:textId="77777777" w:rsidR="008D09A0" w:rsidRDefault="008D09A0" w:rsidP="00AA0BD6">
      <w:pPr>
        <w:pStyle w:val="Heading3"/>
      </w:pPr>
      <w:r w:rsidRPr="006C0823">
        <w:t>Goal 1 measures</w:t>
      </w:r>
    </w:p>
    <w:p w14:paraId="2081C1E9" w14:textId="77777777" w:rsidR="008D09A0" w:rsidRDefault="008D09A0" w:rsidP="009A6C3B">
      <w:pPr>
        <w:pStyle w:val="ListParagraph"/>
        <w:numPr>
          <w:ilvl w:val="0"/>
          <w:numId w:val="30"/>
        </w:numPr>
      </w:pPr>
      <w:r>
        <w:t>75</w:t>
      </w:r>
      <w:r w:rsidRPr="006C0823">
        <w:t>% completed</w:t>
      </w:r>
    </w:p>
    <w:p w14:paraId="2CF8D738" w14:textId="77777777" w:rsidR="008D09A0" w:rsidRDefault="008D09A0" w:rsidP="009A6C3B">
      <w:pPr>
        <w:pStyle w:val="ListParagraph"/>
        <w:numPr>
          <w:ilvl w:val="0"/>
          <w:numId w:val="30"/>
        </w:numPr>
      </w:pPr>
      <w:r>
        <w:t>21</w:t>
      </w:r>
      <w:r w:rsidRPr="006C0823">
        <w:t>% substantially completed</w:t>
      </w:r>
    </w:p>
    <w:p w14:paraId="6165556F" w14:textId="77777777" w:rsidR="008D09A0" w:rsidRDefault="008D09A0" w:rsidP="009A6C3B">
      <w:pPr>
        <w:pStyle w:val="ListParagraph"/>
        <w:numPr>
          <w:ilvl w:val="0"/>
          <w:numId w:val="30"/>
        </w:numPr>
      </w:pPr>
      <w:r>
        <w:t>4</w:t>
      </w:r>
      <w:r w:rsidRPr="006C0823">
        <w:t>% delayed</w:t>
      </w:r>
    </w:p>
    <w:p w14:paraId="078B7837" w14:textId="77777777" w:rsidR="008D09A0" w:rsidRDefault="008D09A0" w:rsidP="008D09A0">
      <w:r w:rsidRPr="006C0823">
        <w:t>Key achievements in 201</w:t>
      </w:r>
      <w:r>
        <w:t>7</w:t>
      </w:r>
      <w:r w:rsidRPr="006C0823">
        <w:t>–1</w:t>
      </w:r>
      <w:r>
        <w:t>8</w:t>
      </w:r>
      <w:r w:rsidRPr="006C0823">
        <w:t xml:space="preserve"> included:</w:t>
      </w:r>
    </w:p>
    <w:p w14:paraId="0C8F973F" w14:textId="77777777" w:rsidR="008D09A0" w:rsidRPr="008D09A0" w:rsidRDefault="008D09A0" w:rsidP="009A6C3B">
      <w:pPr>
        <w:pStyle w:val="ListParagraph"/>
        <w:numPr>
          <w:ilvl w:val="0"/>
          <w:numId w:val="31"/>
        </w:numPr>
        <w:rPr>
          <w:szCs w:val="20"/>
        </w:rPr>
      </w:pPr>
      <w:r>
        <w:t>Significant changes to aviation medical certification were introduced, including delegation to designated aviation medical examiners (DAMEs) of the authority to issue Class 2 medical certificates; provision for pilots to conduct flying training and non-passenger carrying commercial operations under a Class 2 medical certificate instead of a Class 1 medical certificate; and a general exemption giving effect to a new Basic Class 2 medical certificate assessed to the Austroads standard for commercial driver licences.</w:t>
      </w:r>
    </w:p>
    <w:p w14:paraId="7BAA0760" w14:textId="77777777" w:rsidR="008D09A0" w:rsidRPr="008D09A0" w:rsidRDefault="008D09A0" w:rsidP="009A6C3B">
      <w:pPr>
        <w:pStyle w:val="ListParagraph"/>
        <w:numPr>
          <w:ilvl w:val="0"/>
          <w:numId w:val="31"/>
        </w:numPr>
        <w:rPr>
          <w:szCs w:val="20"/>
        </w:rPr>
      </w:pPr>
      <w:r w:rsidRPr="0097565F">
        <w:t xml:space="preserve">CASA’s sector risk profiling methodology </w:t>
      </w:r>
      <w:r>
        <w:t>was</w:t>
      </w:r>
      <w:r w:rsidRPr="0097565F">
        <w:t xml:space="preserve"> applied to develop risk profiles for</w:t>
      </w:r>
      <w:r>
        <w:t xml:space="preserve"> seven sectors:</w:t>
      </w:r>
      <w:r w:rsidRPr="0097565F">
        <w:t xml:space="preserve"> aerial mustering</w:t>
      </w:r>
      <w:r>
        <w:t>,</w:t>
      </w:r>
      <w:r w:rsidRPr="0097565F">
        <w:t xml:space="preserve"> aerodromes</w:t>
      </w:r>
      <w:r>
        <w:t>,</w:t>
      </w:r>
      <w:r w:rsidRPr="0097565F">
        <w:t xml:space="preserve"> small aeroplane transport</w:t>
      </w:r>
      <w:r>
        <w:t>,</w:t>
      </w:r>
      <w:r w:rsidRPr="0097565F">
        <w:t xml:space="preserve"> large aeroplane (exceeding 97 seats) transport</w:t>
      </w:r>
      <w:r>
        <w:t>,</w:t>
      </w:r>
      <w:r w:rsidRPr="0097565F">
        <w:t xml:space="preserve"> aeroplane medical transport</w:t>
      </w:r>
      <w:r>
        <w:t>,</w:t>
      </w:r>
      <w:r w:rsidRPr="0097565F">
        <w:t xml:space="preserve"> helicopter medical transport</w:t>
      </w:r>
      <w:r>
        <w:t xml:space="preserve">, </w:t>
      </w:r>
      <w:r w:rsidRPr="0097565F">
        <w:t xml:space="preserve">and commercial balloon. </w:t>
      </w:r>
      <w:r>
        <w:t>The Aviation Safety Committee directed that campaign surveillance be conducted in the small aeroplane transport and commercial balloon sectors.</w:t>
      </w:r>
      <w:bookmarkStart w:id="8" w:name="_Hlk522607447"/>
    </w:p>
    <w:p w14:paraId="44E9F69F" w14:textId="77777777" w:rsidR="008D09A0" w:rsidRPr="008D09A0" w:rsidRDefault="008D09A0" w:rsidP="009A6C3B">
      <w:pPr>
        <w:pStyle w:val="ListParagraph"/>
        <w:numPr>
          <w:ilvl w:val="0"/>
          <w:numId w:val="31"/>
        </w:numPr>
        <w:rPr>
          <w:szCs w:val="20"/>
        </w:rPr>
      </w:pPr>
      <w:r w:rsidRPr="008D09A0">
        <w:rPr>
          <w:rFonts w:cs="Calibri"/>
          <w:color w:val="212121"/>
          <w:spacing w:val="3"/>
          <w:lang w:eastAsia="en-AU"/>
        </w:rPr>
        <w:t>Following the International Civil Aviation Organization (ICAO) coordinated validation mission, Australia’s effective implementation rate increased from 85% to 95%, increasing our world standing in relation to compliance with ICAO standards and recommendations practices from 44th to sixth.</w:t>
      </w:r>
    </w:p>
    <w:bookmarkEnd w:id="8"/>
    <w:p w14:paraId="5EA6F845" w14:textId="77777777" w:rsidR="008D09A0" w:rsidRDefault="008D09A0" w:rsidP="00D65506">
      <w:pPr>
        <w:pStyle w:val="Heading2noTOC"/>
      </w:pPr>
      <w:r w:rsidRPr="006C0823">
        <w:t>Goal 2: Collaborative engagement with the wider aviation community to promote and support a positive safety culture</w:t>
      </w:r>
    </w:p>
    <w:p w14:paraId="468F45FC" w14:textId="77777777" w:rsidR="008D09A0" w:rsidRPr="008D09A0" w:rsidRDefault="008D09A0" w:rsidP="00AA0BD6">
      <w:pPr>
        <w:pStyle w:val="Heading3"/>
      </w:pPr>
      <w:r w:rsidRPr="006C0823">
        <w:t>Goal 2 measures</w:t>
      </w:r>
    </w:p>
    <w:p w14:paraId="017CA300" w14:textId="77777777" w:rsidR="008D09A0" w:rsidRDefault="008D09A0" w:rsidP="009A6C3B">
      <w:pPr>
        <w:pStyle w:val="ListParagraph"/>
        <w:numPr>
          <w:ilvl w:val="0"/>
          <w:numId w:val="32"/>
        </w:numPr>
      </w:pPr>
      <w:r>
        <w:t>100</w:t>
      </w:r>
      <w:r w:rsidRPr="006C0823">
        <w:t>% completed</w:t>
      </w:r>
    </w:p>
    <w:p w14:paraId="2585F14C" w14:textId="77777777" w:rsidR="008D09A0" w:rsidRDefault="008D09A0" w:rsidP="008D09A0">
      <w:r w:rsidRPr="006C0823">
        <w:t>Key achievements in 201</w:t>
      </w:r>
      <w:r>
        <w:t>7</w:t>
      </w:r>
      <w:r w:rsidRPr="006C0823">
        <w:t>–1</w:t>
      </w:r>
      <w:r>
        <w:t>8</w:t>
      </w:r>
      <w:r w:rsidRPr="006C0823">
        <w:t xml:space="preserve"> included: </w:t>
      </w:r>
    </w:p>
    <w:p w14:paraId="1E86B03A" w14:textId="77777777" w:rsidR="008D09A0" w:rsidRPr="008D09A0" w:rsidRDefault="008D09A0" w:rsidP="009A6C3B">
      <w:pPr>
        <w:pStyle w:val="ListParagraph"/>
        <w:numPr>
          <w:ilvl w:val="0"/>
          <w:numId w:val="32"/>
        </w:numPr>
        <w:rPr>
          <w:szCs w:val="20"/>
        </w:rPr>
      </w:pPr>
      <w:r w:rsidRPr="00687E4A">
        <w:t>The</w:t>
      </w:r>
      <w:r>
        <w:t xml:space="preserve"> </w:t>
      </w:r>
      <w:r w:rsidRPr="00E935A0">
        <w:t>Aviation Safety Advisory Panel</w:t>
      </w:r>
      <w:r w:rsidRPr="00687E4A">
        <w:t xml:space="preserve"> </w:t>
      </w:r>
      <w:r>
        <w:t xml:space="preserve">(ASAP) </w:t>
      </w:r>
      <w:r w:rsidRPr="00687E4A">
        <w:t xml:space="preserve">was established </w:t>
      </w:r>
      <w:r>
        <w:t>and held</w:t>
      </w:r>
      <w:r w:rsidRPr="00687E4A">
        <w:t xml:space="preserve"> three meetings. </w:t>
      </w:r>
      <w:r>
        <w:t>Four</w:t>
      </w:r>
      <w:r w:rsidRPr="00687E4A">
        <w:t xml:space="preserve"> </w:t>
      </w:r>
      <w:r>
        <w:t>t</w:t>
      </w:r>
      <w:r w:rsidRPr="00687E4A">
        <w:t xml:space="preserve">echnical </w:t>
      </w:r>
      <w:r>
        <w:t>w</w:t>
      </w:r>
      <w:r w:rsidRPr="00687E4A">
        <w:t xml:space="preserve">orking </w:t>
      </w:r>
      <w:r>
        <w:t>gr</w:t>
      </w:r>
      <w:r w:rsidRPr="00687E4A">
        <w:t xml:space="preserve">oups were </w:t>
      </w:r>
      <w:r>
        <w:t>convened</w:t>
      </w:r>
      <w:r w:rsidRPr="00687E4A">
        <w:t xml:space="preserve"> </w:t>
      </w:r>
      <w:r>
        <w:t>to</w:t>
      </w:r>
      <w:r w:rsidRPr="00687E4A">
        <w:t xml:space="preserve"> provide </w:t>
      </w:r>
      <w:r>
        <w:t xml:space="preserve">the </w:t>
      </w:r>
      <w:r w:rsidRPr="00687E4A">
        <w:t xml:space="preserve">ASAP with specialist advice from industry representatives </w:t>
      </w:r>
      <w:r>
        <w:t xml:space="preserve">on </w:t>
      </w:r>
      <w:r w:rsidRPr="00687E4A">
        <w:t>policy and regulations</w:t>
      </w:r>
      <w:r>
        <w:t>,</w:t>
      </w:r>
      <w:r w:rsidRPr="00687E4A">
        <w:t xml:space="preserve"> enabling advice to be provided to CASA. </w:t>
      </w:r>
    </w:p>
    <w:p w14:paraId="30236837" w14:textId="77777777" w:rsidR="008D09A0" w:rsidRPr="008D09A0" w:rsidRDefault="008D09A0" w:rsidP="009A6C3B">
      <w:pPr>
        <w:pStyle w:val="ListParagraph"/>
        <w:numPr>
          <w:ilvl w:val="0"/>
          <w:numId w:val="32"/>
        </w:numPr>
        <w:rPr>
          <w:szCs w:val="20"/>
        </w:rPr>
      </w:pPr>
      <w:r>
        <w:t>A</w:t>
      </w:r>
      <w:r w:rsidRPr="006C7184">
        <w:t xml:space="preserve"> major communication</w:t>
      </w:r>
      <w:r>
        <w:t>s</w:t>
      </w:r>
      <w:r w:rsidRPr="006C7184">
        <w:t xml:space="preserve"> initiative continued to increase awareness of the </w:t>
      </w:r>
      <w:r>
        <w:t xml:space="preserve">safety rules for </w:t>
      </w:r>
      <w:r w:rsidRPr="008D09A0">
        <w:rPr>
          <w:lang w:val="en-US"/>
        </w:rPr>
        <w:t>remotely piloted aircraft systems</w:t>
      </w:r>
      <w:r w:rsidRPr="006C7184">
        <w:t xml:space="preserve"> and build public confidence in CASA’s management of drones. In October 2017,</w:t>
      </w:r>
      <w:r>
        <w:t xml:space="preserve"> CASA launched www.</w:t>
      </w:r>
      <w:r w:rsidRPr="006C7184">
        <w:t>droneflyer.gov.au</w:t>
      </w:r>
      <w:r>
        <w:t>,</w:t>
      </w:r>
      <w:r w:rsidRPr="006C7184">
        <w:t xml:space="preserve"> a website specifically </w:t>
      </w:r>
      <w:r>
        <w:t>designed for</w:t>
      </w:r>
      <w:r w:rsidRPr="006C7184">
        <w:t xml:space="preserve"> recreational drone users. CASA’s tweet promoting the website reached almost 1.5 million people.</w:t>
      </w:r>
    </w:p>
    <w:p w14:paraId="5961DE95" w14:textId="77777777" w:rsidR="008D09A0" w:rsidRPr="008D09A0" w:rsidRDefault="008D09A0" w:rsidP="009A6C3B">
      <w:pPr>
        <w:pStyle w:val="ListParagraph"/>
        <w:numPr>
          <w:ilvl w:val="0"/>
          <w:numId w:val="32"/>
        </w:numPr>
        <w:rPr>
          <w:szCs w:val="20"/>
        </w:rPr>
      </w:pPr>
      <w:r w:rsidRPr="006C7184">
        <w:t>CASA hosted the 20</w:t>
      </w:r>
      <w:r w:rsidRPr="00C91AE0">
        <w:t>th</w:t>
      </w:r>
      <w:r w:rsidRPr="006C7184">
        <w:t xml:space="preserve"> </w:t>
      </w:r>
      <w:r w:rsidRPr="008D09A0">
        <w:rPr>
          <w:rFonts w:eastAsia="MS Mincho" w:cs="Arial"/>
        </w:rPr>
        <w:t xml:space="preserve">United States Federal Aviation Administration </w:t>
      </w:r>
      <w:r w:rsidRPr="006C7184">
        <w:t xml:space="preserve">Asia-Pacific Bilateral Partners Dialogue Meeting in Canberra, with representation from </w:t>
      </w:r>
      <w:r>
        <w:t>more than</w:t>
      </w:r>
      <w:r w:rsidRPr="006C7184">
        <w:t xml:space="preserve"> 40 government and industry organisations. The plenary and side meetings strengthened regulatory ties and </w:t>
      </w:r>
      <w:r>
        <w:t>provided</w:t>
      </w:r>
      <w:r w:rsidRPr="006C7184">
        <w:t xml:space="preserve"> a valuable </w:t>
      </w:r>
      <w:r>
        <w:t>opportunity</w:t>
      </w:r>
      <w:r w:rsidRPr="006C7184">
        <w:t xml:space="preserve"> to share </w:t>
      </w:r>
      <w:r w:rsidRPr="006C7184">
        <w:lastRenderedPageBreak/>
        <w:t>expertise on emerging aviation matters such as engineering and airworthiness certification.</w:t>
      </w:r>
    </w:p>
    <w:p w14:paraId="1AA4DF19" w14:textId="77777777" w:rsidR="008D09A0" w:rsidRDefault="008D09A0" w:rsidP="00D65506">
      <w:pPr>
        <w:pStyle w:val="Heading2noTOC"/>
      </w:pPr>
      <w:r w:rsidRPr="006C0823">
        <w:t>Goal 3: Continuous improvement of organisational performance</w:t>
      </w:r>
    </w:p>
    <w:p w14:paraId="420F7F86" w14:textId="77777777" w:rsidR="008D09A0" w:rsidRDefault="008D09A0" w:rsidP="00AA0BD6">
      <w:pPr>
        <w:pStyle w:val="Heading3"/>
      </w:pPr>
      <w:r w:rsidRPr="006C0823">
        <w:t>Goal 3 measures</w:t>
      </w:r>
    </w:p>
    <w:p w14:paraId="679C0F6B" w14:textId="77777777" w:rsidR="008D09A0" w:rsidRDefault="008D09A0" w:rsidP="009A6C3B">
      <w:pPr>
        <w:pStyle w:val="ListParagraph"/>
        <w:numPr>
          <w:ilvl w:val="0"/>
          <w:numId w:val="33"/>
        </w:numPr>
      </w:pPr>
      <w:r>
        <w:t>95</w:t>
      </w:r>
      <w:r w:rsidRPr="006C0823">
        <w:t>% completed</w:t>
      </w:r>
    </w:p>
    <w:p w14:paraId="6908709B" w14:textId="77777777" w:rsidR="008D09A0" w:rsidRDefault="008D09A0" w:rsidP="009A6C3B">
      <w:pPr>
        <w:pStyle w:val="ListParagraph"/>
        <w:numPr>
          <w:ilvl w:val="0"/>
          <w:numId w:val="33"/>
        </w:numPr>
      </w:pPr>
      <w:r>
        <w:t>5</w:t>
      </w:r>
      <w:r w:rsidRPr="006C0823">
        <w:t>% substantially completed</w:t>
      </w:r>
    </w:p>
    <w:p w14:paraId="03D4EA5D" w14:textId="77777777" w:rsidR="008D09A0" w:rsidRDefault="008D09A0" w:rsidP="008D09A0">
      <w:r w:rsidRPr="006C0823">
        <w:t>Key achievements in 201</w:t>
      </w:r>
      <w:r>
        <w:t>7</w:t>
      </w:r>
      <w:r w:rsidRPr="006C0823">
        <w:t>–1</w:t>
      </w:r>
      <w:r>
        <w:t>8</w:t>
      </w:r>
      <w:r w:rsidRPr="006C0823">
        <w:t xml:space="preserve"> included:</w:t>
      </w:r>
    </w:p>
    <w:p w14:paraId="1A2FB586" w14:textId="77777777" w:rsidR="008D09A0" w:rsidRDefault="008D09A0" w:rsidP="009A6C3B">
      <w:pPr>
        <w:pStyle w:val="ListParagraph"/>
        <w:numPr>
          <w:ilvl w:val="0"/>
          <w:numId w:val="33"/>
        </w:numPr>
      </w:pPr>
      <w:r>
        <w:t>L</w:t>
      </w:r>
      <w:r w:rsidRPr="004E3ACF">
        <w:t xml:space="preserve">eadership development courses were delivered </w:t>
      </w:r>
      <w:r>
        <w:t>in</w:t>
      </w:r>
      <w:r w:rsidRPr="004E3ACF">
        <w:t xml:space="preserve"> all CASA regions and a new performance and communication scheme was released to assist with staff development.</w:t>
      </w:r>
    </w:p>
    <w:p w14:paraId="335390F3" w14:textId="77777777" w:rsidR="008D09A0" w:rsidRDefault="008D09A0" w:rsidP="009A6C3B">
      <w:pPr>
        <w:pStyle w:val="ListParagraph"/>
        <w:numPr>
          <w:ilvl w:val="0"/>
          <w:numId w:val="33"/>
        </w:numPr>
      </w:pPr>
      <w:r w:rsidRPr="004E3ACF">
        <w:t>A staff exchange program was successfully implemented</w:t>
      </w:r>
      <w:r>
        <w:t>:</w:t>
      </w:r>
      <w:r w:rsidRPr="004E3ACF">
        <w:t xml:space="preserve"> a CASA staff member </w:t>
      </w:r>
      <w:r>
        <w:t xml:space="preserve">was </w:t>
      </w:r>
      <w:r w:rsidRPr="004E3ACF">
        <w:t>placed in the Australian Association for Unmanned Systems for an agreed period.</w:t>
      </w:r>
    </w:p>
    <w:p w14:paraId="27EC87C1" w14:textId="77777777" w:rsidR="008445D6" w:rsidRDefault="008D09A0" w:rsidP="008445D6">
      <w:pPr>
        <w:pStyle w:val="ListParagraph"/>
        <w:numPr>
          <w:ilvl w:val="0"/>
          <w:numId w:val="33"/>
        </w:numPr>
      </w:pPr>
      <w:r w:rsidRPr="004E3ACF">
        <w:t xml:space="preserve">CASA established </w:t>
      </w:r>
      <w:r>
        <w:t>the</w:t>
      </w:r>
      <w:r w:rsidRPr="004E3ACF">
        <w:t xml:space="preserve"> Training Branch in July 2017 to centralise and further improve training and professional development activities for staff</w:t>
      </w:r>
      <w:r w:rsidRPr="006C0823">
        <w:t>.</w:t>
      </w:r>
    </w:p>
    <w:p w14:paraId="3820C9E9" w14:textId="77777777" w:rsidR="00F50078" w:rsidRPr="008445D6" w:rsidRDefault="00F50078" w:rsidP="008445D6">
      <w:pPr>
        <w:pStyle w:val="Heading1noTOC"/>
      </w:pPr>
      <w:r w:rsidRPr="008445D6">
        <w:t xml:space="preserve">The Civil Aviation Safety Authority </w:t>
      </w:r>
    </w:p>
    <w:p w14:paraId="5CEEBE78" w14:textId="77777777" w:rsidR="00DC2A9D" w:rsidRDefault="00F50078" w:rsidP="00F50078">
      <w:pPr>
        <w:keepNext/>
      </w:pPr>
      <w:r w:rsidRPr="006C0823">
        <w:t xml:space="preserve">CASA, Australia’s civil </w:t>
      </w:r>
      <w:r w:rsidR="00F474B1">
        <w:t>aviation</w:t>
      </w:r>
      <w:r w:rsidRPr="006C0823">
        <w:t xml:space="preserve"> safety regulator, was established on 6 July 1995 as an independent statutory authority under the </w:t>
      </w:r>
      <w:hyperlink r:id="rId14" w:history="1">
        <w:r w:rsidRPr="006C0823">
          <w:rPr>
            <w:i/>
          </w:rPr>
          <w:t>Civil Aviation Act 1988</w:t>
        </w:r>
      </w:hyperlink>
      <w:r w:rsidRPr="006C0823">
        <w:t>.</w:t>
      </w:r>
    </w:p>
    <w:p w14:paraId="4E0DDEBB" w14:textId="77777777" w:rsidR="00DC2A9D" w:rsidRPr="00687E4A" w:rsidRDefault="00DC2A9D" w:rsidP="00DC2A9D">
      <w:pPr>
        <w:pStyle w:val="Heading2noTOC"/>
        <w:rPr>
          <w:lang w:val="en-GB"/>
        </w:rPr>
      </w:pPr>
      <w:r w:rsidRPr="00687E4A">
        <w:rPr>
          <w:lang w:val="en-GB"/>
        </w:rPr>
        <w:t>Key role</w:t>
      </w:r>
    </w:p>
    <w:p w14:paraId="05267D4F" w14:textId="77777777" w:rsidR="00DC2A9D" w:rsidRDefault="00DC2A9D" w:rsidP="00DC2A9D">
      <w:r w:rsidRPr="00CC54E5">
        <w:t xml:space="preserve">CASA’s key </w:t>
      </w:r>
      <w:r>
        <w:t>function</w:t>
      </w:r>
      <w:r w:rsidRPr="00CC54E5">
        <w:t xml:space="preserve"> is to conduct the safety regulation of civil air operations in Australian territory and the operation of Australian aircraft outside Australian territory. </w:t>
      </w:r>
      <w:r>
        <w:t xml:space="preserve">Subject to the overriding considerations of safety, </w:t>
      </w:r>
      <w:r w:rsidRPr="00CC54E5">
        <w:t xml:space="preserve">CASA is also responsible for </w:t>
      </w:r>
      <w:r>
        <w:t xml:space="preserve">fostering </w:t>
      </w:r>
      <w:r w:rsidRPr="00CC54E5">
        <w:t>th</w:t>
      </w:r>
      <w:r>
        <w:t xml:space="preserve">e efficient use of, and equitable access to, </w:t>
      </w:r>
      <w:r w:rsidRPr="00CC54E5">
        <w:t>Australian-administered airspace.</w:t>
      </w:r>
    </w:p>
    <w:p w14:paraId="30A1FD37" w14:textId="77777777" w:rsidR="00DC2A9D" w:rsidRDefault="00DC2A9D" w:rsidP="00DC2A9D">
      <w:r w:rsidRPr="00CC54E5">
        <w:t xml:space="preserve">CASA, the </w:t>
      </w:r>
      <w:r>
        <w:t xml:space="preserve">Australian Transport Safety Bureau, the </w:t>
      </w:r>
      <w:r w:rsidRPr="00CC54E5">
        <w:t>Department of Infrastructure</w:t>
      </w:r>
      <w:r>
        <w:t>,</w:t>
      </w:r>
      <w:r w:rsidRPr="00CC54E5">
        <w:t xml:space="preserve"> </w:t>
      </w:r>
      <w:r>
        <w:t>Regional Development</w:t>
      </w:r>
      <w:r w:rsidRPr="00CC54E5">
        <w:t xml:space="preserve"> </w:t>
      </w:r>
      <w:r>
        <w:t xml:space="preserve">and Cities, </w:t>
      </w:r>
      <w:r w:rsidRPr="00CC54E5">
        <w:t xml:space="preserve">Airservices Australia </w:t>
      </w:r>
      <w:r>
        <w:t xml:space="preserve">and the Department of Defence constitute Australia’s </w:t>
      </w:r>
      <w:r w:rsidRPr="00CC54E5">
        <w:t xml:space="preserve">aviation </w:t>
      </w:r>
      <w:r>
        <w:t>safety framework</w:t>
      </w:r>
      <w:r w:rsidRPr="00CC54E5">
        <w:t xml:space="preserve">, each with separate and distinct functions, but working together as </w:t>
      </w:r>
      <w:r>
        <w:t xml:space="preserve">parts of </w:t>
      </w:r>
      <w:r w:rsidRPr="00CC54E5">
        <w:t xml:space="preserve">an integrated system. </w:t>
      </w:r>
    </w:p>
    <w:p w14:paraId="517C05B0" w14:textId="77777777" w:rsidR="00DC2A9D" w:rsidRDefault="00DC2A9D" w:rsidP="00930075">
      <w:r w:rsidRPr="0089211B">
        <w:t xml:space="preserve">In keeping with CASA’s fundamental obligations, </w:t>
      </w:r>
      <w:r>
        <w:t>efforts are maintained and promoted at all times</w:t>
      </w:r>
      <w:r w:rsidRPr="0089211B">
        <w:t xml:space="preserve"> to ensure our decision-making and actions are lawful, fair, reasonable and consistent, and in all cases con</w:t>
      </w:r>
      <w:r>
        <w:t>tribut</w:t>
      </w:r>
      <w:r w:rsidRPr="0089211B">
        <w:t>e</w:t>
      </w:r>
      <w:r>
        <w:t xml:space="preserve"> </w:t>
      </w:r>
      <w:r w:rsidRPr="0089211B">
        <w:t xml:space="preserve">to optimal safety outcomes, while </w:t>
      </w:r>
      <w:r>
        <w:t xml:space="preserve">not </w:t>
      </w:r>
      <w:r w:rsidRPr="002F204B">
        <w:t>unnecessarily impeding the efficien</w:t>
      </w:r>
      <w:r>
        <w:t>cy</w:t>
      </w:r>
      <w:r w:rsidRPr="002F204B">
        <w:t xml:space="preserve"> </w:t>
      </w:r>
      <w:r>
        <w:t xml:space="preserve">of the </w:t>
      </w:r>
      <w:r w:rsidRPr="002F204B">
        <w:t>operation</w:t>
      </w:r>
      <w:r>
        <w:t>s</w:t>
      </w:r>
      <w:r w:rsidRPr="002F204B">
        <w:t xml:space="preserve"> </w:t>
      </w:r>
      <w:r>
        <w:t xml:space="preserve">we </w:t>
      </w:r>
      <w:r w:rsidRPr="002F204B">
        <w:t>regulate</w:t>
      </w:r>
      <w:r>
        <w:t>.</w:t>
      </w:r>
    </w:p>
    <w:p w14:paraId="1DF3218F" w14:textId="77777777" w:rsidR="00930075" w:rsidRPr="00687E4A" w:rsidRDefault="00930075" w:rsidP="00930075">
      <w:pPr>
        <w:pStyle w:val="Heading2noTOC"/>
        <w:rPr>
          <w:lang w:val="en-GB"/>
        </w:rPr>
      </w:pPr>
      <w:r w:rsidRPr="00687E4A">
        <w:rPr>
          <w:lang w:val="en-GB"/>
        </w:rPr>
        <w:t xml:space="preserve">Portfolio outcome </w:t>
      </w:r>
    </w:p>
    <w:p w14:paraId="135B1EA7" w14:textId="77777777" w:rsidR="00930075" w:rsidRPr="00687E4A" w:rsidRDefault="00930075" w:rsidP="00930075">
      <w:r w:rsidRPr="00687E4A">
        <w:t>CASA has a single portfolio outcome, which is set by the Australian Government and outlined in the Portfolio Budget Statements:</w:t>
      </w:r>
    </w:p>
    <w:p w14:paraId="29B3ACE2" w14:textId="77777777" w:rsidR="00930075" w:rsidRPr="00687E4A" w:rsidRDefault="00930075" w:rsidP="00930075">
      <w:pPr>
        <w:rPr>
          <w:i/>
        </w:rPr>
      </w:pPr>
      <w:r w:rsidRPr="00687E4A">
        <w:rPr>
          <w:i/>
        </w:rPr>
        <w:t>Maximise aviation safety through a regulatory regime, detailed technical material on safety standards, comprehensive aviation industry oversight, risk analysis, industry consultation, education and training.</w:t>
      </w:r>
    </w:p>
    <w:p w14:paraId="6CFC2720" w14:textId="77777777" w:rsidR="00930075" w:rsidRPr="00687E4A" w:rsidRDefault="00930075" w:rsidP="00930075">
      <w:pPr>
        <w:pStyle w:val="Heading2noTOC"/>
        <w:rPr>
          <w:lang w:val="en-GB"/>
        </w:rPr>
      </w:pPr>
      <w:r w:rsidRPr="00687E4A">
        <w:rPr>
          <w:lang w:val="en-GB"/>
        </w:rPr>
        <w:t>People</w:t>
      </w:r>
    </w:p>
    <w:p w14:paraId="2075EC57" w14:textId="77777777" w:rsidR="00930075" w:rsidRPr="00687E4A" w:rsidRDefault="00930075" w:rsidP="00930075">
      <w:r w:rsidRPr="00687E4A">
        <w:t>At 30 June 2018, CASA employed 832 ongoing and non-ongoing employees in offices around Australia.</w:t>
      </w:r>
    </w:p>
    <w:p w14:paraId="66F886DE" w14:textId="77777777" w:rsidR="00930075" w:rsidRPr="00687E4A" w:rsidRDefault="00930075" w:rsidP="00930075">
      <w:pPr>
        <w:pStyle w:val="Heading2noTOC"/>
        <w:rPr>
          <w:lang w:val="en-GB"/>
        </w:rPr>
      </w:pPr>
      <w:r w:rsidRPr="00687E4A">
        <w:rPr>
          <w:lang w:val="en-GB"/>
        </w:rPr>
        <w:lastRenderedPageBreak/>
        <w:t>Operating environment</w:t>
      </w:r>
    </w:p>
    <w:p w14:paraId="675AD481" w14:textId="77777777" w:rsidR="00930075" w:rsidRPr="00687E4A" w:rsidRDefault="00930075" w:rsidP="00930075">
      <w:pPr>
        <w:pStyle w:val="BulletIntro"/>
        <w:rPr>
          <w:rFonts w:eastAsia="Times New Roman"/>
          <w:lang w:val="en-GB"/>
        </w:rPr>
      </w:pPr>
      <w:r w:rsidRPr="00687E4A">
        <w:rPr>
          <w:rFonts w:eastAsia="Times New Roman"/>
          <w:lang w:val="en-GB"/>
        </w:rPr>
        <w:t>CASA has a direct regulatory relationship with approximately:</w:t>
      </w:r>
    </w:p>
    <w:p w14:paraId="22973B3F" w14:textId="77777777" w:rsidR="00930075" w:rsidRPr="00687E4A" w:rsidRDefault="00930075" w:rsidP="00930075">
      <w:pPr>
        <w:pStyle w:val="Bullet"/>
      </w:pPr>
      <w:r w:rsidRPr="00687E4A">
        <w:t>31,140 pilots</w:t>
      </w:r>
    </w:p>
    <w:p w14:paraId="1EC8A652" w14:textId="77777777" w:rsidR="00930075" w:rsidRPr="00687E4A" w:rsidRDefault="00930075" w:rsidP="00930075">
      <w:pPr>
        <w:pStyle w:val="Bullet"/>
      </w:pPr>
      <w:r w:rsidRPr="00687E4A">
        <w:t xml:space="preserve">15,530 registered aircraft </w:t>
      </w:r>
    </w:p>
    <w:p w14:paraId="12A167BE" w14:textId="77777777" w:rsidR="00930075" w:rsidRPr="00687E4A" w:rsidRDefault="00930075" w:rsidP="00930075">
      <w:pPr>
        <w:pStyle w:val="Bullet"/>
      </w:pPr>
      <w:r w:rsidRPr="00687E4A">
        <w:t>790 air operator certificate holders</w:t>
      </w:r>
    </w:p>
    <w:p w14:paraId="5515903B" w14:textId="77777777" w:rsidR="00930075" w:rsidRPr="00687E4A" w:rsidRDefault="00930075" w:rsidP="00930075">
      <w:pPr>
        <w:pStyle w:val="Bullet"/>
      </w:pPr>
      <w:r w:rsidRPr="00687E4A">
        <w:t xml:space="preserve">1,360 remotely piloted </w:t>
      </w:r>
      <w:r w:rsidRPr="00687E4A">
        <w:rPr>
          <w:lang w:val="en-AU"/>
        </w:rPr>
        <w:t>aircraft operator certificate holders</w:t>
      </w:r>
    </w:p>
    <w:p w14:paraId="374B07B8" w14:textId="77777777" w:rsidR="00930075" w:rsidRPr="00687E4A" w:rsidRDefault="00930075" w:rsidP="00930075">
      <w:pPr>
        <w:pStyle w:val="Bullet"/>
      </w:pPr>
      <w:r w:rsidRPr="00687E4A">
        <w:t>8,910 licensed aircraft maintenance engineers</w:t>
      </w:r>
    </w:p>
    <w:p w14:paraId="5473E0FB" w14:textId="77777777" w:rsidR="00930075" w:rsidRPr="00687E4A" w:rsidRDefault="00930075" w:rsidP="00930075">
      <w:pPr>
        <w:pStyle w:val="Bullet"/>
      </w:pPr>
      <w:r w:rsidRPr="00687E4A">
        <w:t>1,100 air traffic controllers</w:t>
      </w:r>
    </w:p>
    <w:p w14:paraId="7C8ACD6E" w14:textId="77777777" w:rsidR="00930075" w:rsidRPr="00687E4A" w:rsidRDefault="00930075" w:rsidP="00930075">
      <w:pPr>
        <w:pStyle w:val="Bullet"/>
      </w:pPr>
      <w:r w:rsidRPr="00687E4A">
        <w:t>320 operators of certified and registered aerodromes</w:t>
      </w:r>
    </w:p>
    <w:p w14:paraId="73F7E367" w14:textId="77777777" w:rsidR="00930075" w:rsidRPr="00687E4A" w:rsidRDefault="00930075" w:rsidP="00930075">
      <w:pPr>
        <w:pStyle w:val="Bullet"/>
      </w:pPr>
      <w:r w:rsidRPr="00687E4A">
        <w:t>630 maintenance organisations.</w:t>
      </w:r>
    </w:p>
    <w:p w14:paraId="07DBDCBC" w14:textId="77777777" w:rsidR="00930075" w:rsidRDefault="00930075" w:rsidP="00930075">
      <w:r w:rsidRPr="00687E4A">
        <w:t>CASA is also indirectly connected with more than 100,000 people who are involved in the Australian aviation industry, and with the many millions of passengers whose safety is CASA’s primary concern.</w:t>
      </w:r>
    </w:p>
    <w:p w14:paraId="18AFC495" w14:textId="77777777" w:rsidR="00930075" w:rsidRPr="00687E4A" w:rsidRDefault="00930075" w:rsidP="00930075">
      <w:pPr>
        <w:pStyle w:val="Heading2noTOC"/>
        <w:rPr>
          <w:lang w:val="en-GB"/>
        </w:rPr>
      </w:pPr>
      <w:r w:rsidRPr="00687E4A">
        <w:rPr>
          <w:lang w:val="en-GB"/>
        </w:rPr>
        <w:t>Corporate objectives</w:t>
      </w:r>
    </w:p>
    <w:p w14:paraId="2A154905" w14:textId="77777777" w:rsidR="00930075" w:rsidRPr="00687E4A" w:rsidRDefault="00930075" w:rsidP="00930075">
      <w:r w:rsidRPr="00687E4A">
        <w:t xml:space="preserve">CASA’s objectives for 2017–18 were identified in the </w:t>
      </w:r>
      <w:r w:rsidRPr="00687E4A">
        <w:rPr>
          <w:i/>
        </w:rPr>
        <w:t>Corporate Plan 2017–18 to 2020–21</w:t>
      </w:r>
      <w:r w:rsidRPr="00687E4A">
        <w:t>.</w:t>
      </w:r>
    </w:p>
    <w:p w14:paraId="0D9F03D6" w14:textId="77777777" w:rsidR="00930075" w:rsidRPr="00687E4A" w:rsidRDefault="00930075" w:rsidP="00930075">
      <w:pPr>
        <w:pStyle w:val="Heading3"/>
        <w:rPr>
          <w:lang w:val="en-GB"/>
        </w:rPr>
      </w:pPr>
      <w:r w:rsidRPr="00687E4A">
        <w:rPr>
          <w:lang w:val="en-GB"/>
        </w:rPr>
        <w:t>Vision</w:t>
      </w:r>
    </w:p>
    <w:p w14:paraId="2862D301" w14:textId="77777777" w:rsidR="00930075" w:rsidRPr="008445D6" w:rsidRDefault="00930075" w:rsidP="00930075">
      <w:pPr>
        <w:rPr>
          <w:b/>
        </w:rPr>
      </w:pPr>
      <w:r w:rsidRPr="008445D6">
        <w:rPr>
          <w:b/>
        </w:rPr>
        <w:t>Safe skies for all</w:t>
      </w:r>
    </w:p>
    <w:p w14:paraId="724591EC" w14:textId="77777777" w:rsidR="00930075" w:rsidRPr="00120B2C" w:rsidRDefault="00930075" w:rsidP="00120B2C">
      <w:pPr>
        <w:pStyle w:val="Heading3"/>
      </w:pPr>
      <w:r w:rsidRPr="00120B2C">
        <w:t>Mission</w:t>
      </w:r>
    </w:p>
    <w:p w14:paraId="71FBEC4A" w14:textId="77777777" w:rsidR="00930075" w:rsidRPr="00687E4A" w:rsidRDefault="00930075" w:rsidP="00930075">
      <w:r w:rsidRPr="00687E4A">
        <w:t>To promote a positive and collaborative safety culture through a fair, effective and efficient aviation safety regulatory system, supporting our aviation community.</w:t>
      </w:r>
    </w:p>
    <w:p w14:paraId="68A4BFE7" w14:textId="77777777" w:rsidR="00930075" w:rsidRPr="00687E4A" w:rsidRDefault="00930075" w:rsidP="00930075">
      <w:pPr>
        <w:pStyle w:val="Heading3"/>
        <w:rPr>
          <w:lang w:val="en-GB"/>
        </w:rPr>
      </w:pPr>
      <w:bookmarkStart w:id="9" w:name="_Toc267471706"/>
      <w:bookmarkStart w:id="10" w:name="_Toc267485804"/>
      <w:r w:rsidRPr="00687E4A">
        <w:rPr>
          <w:lang w:val="en-GB"/>
        </w:rPr>
        <w:t>Values</w:t>
      </w:r>
      <w:bookmarkEnd w:id="9"/>
      <w:bookmarkEnd w:id="10"/>
    </w:p>
    <w:p w14:paraId="1362E5D9" w14:textId="77777777" w:rsidR="00930075" w:rsidRPr="00687E4A" w:rsidRDefault="00930075" w:rsidP="00930075">
      <w:pPr>
        <w:pStyle w:val="Bullet"/>
      </w:pPr>
      <w:r w:rsidRPr="00687E4A">
        <w:t>Teamwork – to work together to promote a strong, cohesive and highly effective workforce.</w:t>
      </w:r>
    </w:p>
    <w:p w14:paraId="54188302" w14:textId="77777777" w:rsidR="00930075" w:rsidRPr="00687E4A" w:rsidRDefault="00930075" w:rsidP="00930075">
      <w:pPr>
        <w:pStyle w:val="Bullet"/>
      </w:pPr>
      <w:r w:rsidRPr="00687E4A">
        <w:t>Excellence – to strive to excel in all we do.</w:t>
      </w:r>
    </w:p>
    <w:p w14:paraId="4B66C103" w14:textId="77777777" w:rsidR="00930075" w:rsidRDefault="00930075" w:rsidP="00930075">
      <w:pPr>
        <w:pStyle w:val="Bullet"/>
      </w:pPr>
      <w:r w:rsidRPr="00687E4A">
        <w:t xml:space="preserve">Respect – </w:t>
      </w:r>
      <w:r>
        <w:t xml:space="preserve">to </w:t>
      </w:r>
      <w:r w:rsidRPr="00687E4A">
        <w:t>engage with our peers, colleagues and the wider aviation community i</w:t>
      </w:r>
      <w:r>
        <w:t>n a</w:t>
      </w:r>
      <w:r w:rsidRPr="00687E4A">
        <w:t xml:space="preserve"> clear, concise and respectful </w:t>
      </w:r>
      <w:r>
        <w:t xml:space="preserve">manner </w:t>
      </w:r>
      <w:r w:rsidRPr="00687E4A">
        <w:t>at all times.</w:t>
      </w:r>
    </w:p>
    <w:p w14:paraId="40076F66" w14:textId="77777777" w:rsidR="00930075" w:rsidRPr="00687E4A" w:rsidRDefault="00930075" w:rsidP="00930075">
      <w:pPr>
        <w:pStyle w:val="Bullet"/>
      </w:pPr>
      <w:r w:rsidRPr="00687E4A">
        <w:t>Integrity – our actions and behaviour are open, transparent and ethical.</w:t>
      </w:r>
    </w:p>
    <w:p w14:paraId="784977B0" w14:textId="77777777" w:rsidR="00930075" w:rsidRPr="00687E4A" w:rsidRDefault="00930075" w:rsidP="00930075">
      <w:pPr>
        <w:pStyle w:val="Bullet"/>
      </w:pPr>
      <w:r w:rsidRPr="00687E4A">
        <w:t>Fairness – to ensure our actions and decisions are informed, consistent, risk-based, evidence driven and without bias.</w:t>
      </w:r>
    </w:p>
    <w:p w14:paraId="3581A0C3" w14:textId="77777777" w:rsidR="00930075" w:rsidRPr="00687E4A" w:rsidRDefault="00930075" w:rsidP="00930075">
      <w:pPr>
        <w:pStyle w:val="Bullet"/>
      </w:pPr>
      <w:r w:rsidRPr="00687E4A">
        <w:t>Innovation – to challenge existing practices and look for opportunities to support effective continuous improvement.</w:t>
      </w:r>
    </w:p>
    <w:p w14:paraId="49011C33" w14:textId="77777777" w:rsidR="00930075" w:rsidRPr="00687E4A" w:rsidRDefault="00930075" w:rsidP="00930075">
      <w:pPr>
        <w:pStyle w:val="Bullet"/>
      </w:pPr>
      <w:r w:rsidRPr="00687E4A">
        <w:t>Courage – to act with strength of character and conviction while being accountable for our actions.</w:t>
      </w:r>
    </w:p>
    <w:p w14:paraId="4AA3B5AE" w14:textId="77777777" w:rsidR="00930075" w:rsidRPr="00687E4A" w:rsidRDefault="00930075" w:rsidP="00930075">
      <w:pPr>
        <w:pStyle w:val="Heading3"/>
        <w:rPr>
          <w:lang w:val="en-GB"/>
        </w:rPr>
      </w:pPr>
      <w:r w:rsidRPr="00687E4A">
        <w:rPr>
          <w:lang w:val="en-GB"/>
        </w:rPr>
        <w:t>Goals</w:t>
      </w:r>
    </w:p>
    <w:p w14:paraId="057DB64C" w14:textId="77777777" w:rsidR="00930075" w:rsidRPr="00687E4A" w:rsidRDefault="00930075" w:rsidP="009A6C3B">
      <w:pPr>
        <w:pStyle w:val="Bullet"/>
        <w:numPr>
          <w:ilvl w:val="0"/>
          <w:numId w:val="28"/>
        </w:numPr>
      </w:pPr>
      <w:r w:rsidRPr="00687E4A">
        <w:t>Maintain and enhance a fair, effective and efficient aviation safety regulation system.</w:t>
      </w:r>
    </w:p>
    <w:p w14:paraId="42C72C2B" w14:textId="77777777" w:rsidR="00930075" w:rsidRPr="00687E4A" w:rsidRDefault="00930075" w:rsidP="009A6C3B">
      <w:pPr>
        <w:pStyle w:val="Bullet"/>
        <w:numPr>
          <w:ilvl w:val="0"/>
          <w:numId w:val="28"/>
        </w:numPr>
      </w:pPr>
      <w:r w:rsidRPr="00687E4A">
        <w:t>Collaborative engagement with the wider aviation community to promote and support a positive safety culture.</w:t>
      </w:r>
    </w:p>
    <w:p w14:paraId="6DF64E0D" w14:textId="77777777" w:rsidR="00930075" w:rsidRPr="00687E4A" w:rsidRDefault="00930075" w:rsidP="009A6C3B">
      <w:pPr>
        <w:pStyle w:val="Bullet"/>
        <w:numPr>
          <w:ilvl w:val="0"/>
          <w:numId w:val="28"/>
        </w:numPr>
      </w:pPr>
      <w:r w:rsidRPr="00687E4A">
        <w:lastRenderedPageBreak/>
        <w:t>Continuous improvement of organisational performance.</w:t>
      </w:r>
    </w:p>
    <w:p w14:paraId="1D1D4029" w14:textId="77777777" w:rsidR="00930075" w:rsidRPr="00687E4A" w:rsidRDefault="00930075" w:rsidP="00930075">
      <w:pPr>
        <w:pStyle w:val="Heading2noTOC"/>
        <w:rPr>
          <w:lang w:val="en-GB"/>
        </w:rPr>
      </w:pPr>
      <w:r w:rsidRPr="00687E4A">
        <w:rPr>
          <w:lang w:val="en-GB"/>
        </w:rPr>
        <w:t>Results</w:t>
      </w:r>
    </w:p>
    <w:p w14:paraId="06332D0E" w14:textId="77777777" w:rsidR="00930075" w:rsidRPr="006C0823" w:rsidRDefault="00930075" w:rsidP="00930075">
      <w:r w:rsidRPr="00687E4A">
        <w:t>Against the three corporate goals for 2017–18</w:t>
      </w:r>
      <w:r w:rsidRPr="008170B9">
        <w:t xml:space="preserve">, 89 per cent of targets were met, </w:t>
      </w:r>
      <w:r>
        <w:rPr>
          <w:lang w:val="en-AU"/>
        </w:rPr>
        <w:t>10 per cent were substantially completed and 1 per cent were delayed.</w:t>
      </w:r>
    </w:p>
    <w:p w14:paraId="7454227D" w14:textId="77777777" w:rsidR="00F50078" w:rsidRPr="006C0823" w:rsidRDefault="00F50078" w:rsidP="00F50078">
      <w:pPr>
        <w:pStyle w:val="Heading2noTOC"/>
        <w:rPr>
          <w:lang w:val="en-GB"/>
        </w:rPr>
      </w:pPr>
      <w:bookmarkStart w:id="11" w:name="OLE_LINK5"/>
      <w:r w:rsidRPr="006C0823">
        <w:rPr>
          <w:lang w:val="en-GB"/>
        </w:rPr>
        <w:t xml:space="preserve">Financial result </w:t>
      </w:r>
    </w:p>
    <w:p w14:paraId="5ABBFC49" w14:textId="51681975" w:rsidR="00F50078" w:rsidRDefault="00F50078" w:rsidP="00F50078">
      <w:r w:rsidRPr="006C0823">
        <w:t xml:space="preserve">CASA recorded an operating </w:t>
      </w:r>
      <w:r>
        <w:t>surplus</w:t>
      </w:r>
      <w:r w:rsidRPr="006C0823">
        <w:t xml:space="preserve"> of </w:t>
      </w:r>
      <w:r w:rsidRPr="00CF0E35">
        <w:t>$</w:t>
      </w:r>
      <w:r w:rsidR="00552E22" w:rsidRPr="00CF0E35">
        <w:t>0.5</w:t>
      </w:r>
      <w:r w:rsidR="00C360B3">
        <w:t xml:space="preserve"> million</w:t>
      </w:r>
      <w:r w:rsidR="00552E22" w:rsidRPr="00CF0E35">
        <w:t xml:space="preserve"> </w:t>
      </w:r>
      <w:r w:rsidRPr="00CF0E35">
        <w:t>in</w:t>
      </w:r>
      <w:r w:rsidRPr="006C0823">
        <w:t xml:space="preserve"> 201</w:t>
      </w:r>
      <w:r>
        <w:t>7</w:t>
      </w:r>
      <w:r w:rsidRPr="006C0823">
        <w:t>–1</w:t>
      </w:r>
      <w:r>
        <w:t>8</w:t>
      </w:r>
      <w:r w:rsidRPr="006C0823">
        <w:t>, compared to a $</w:t>
      </w:r>
      <w:r>
        <w:t>6.9</w:t>
      </w:r>
      <w:r w:rsidRPr="006C0823">
        <w:t xml:space="preserve"> million operating </w:t>
      </w:r>
      <w:r>
        <w:t>surplus in 2016–17</w:t>
      </w:r>
      <w:r w:rsidRPr="006C0823">
        <w:t>.</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2650"/>
        <w:gridCol w:w="2174"/>
        <w:gridCol w:w="2174"/>
        <w:gridCol w:w="1028"/>
        <w:gridCol w:w="1023"/>
      </w:tblGrid>
      <w:tr w:rsidR="00F50078" w:rsidRPr="00A029BD" w14:paraId="7AADC457" w14:textId="77777777" w:rsidTr="00DA71E3">
        <w:trPr>
          <w:tblHeader/>
        </w:trPr>
        <w:tc>
          <w:tcPr>
            <w:tcW w:w="1465" w:type="pct"/>
            <w:vAlign w:val="bottom"/>
          </w:tcPr>
          <w:p w14:paraId="78CA657E" w14:textId="77777777" w:rsidR="00F50078" w:rsidRPr="000035D2" w:rsidRDefault="00F50078" w:rsidP="000035D2">
            <w:pPr>
              <w:rPr>
                <w:b/>
                <w:lang w:val="en-AU"/>
              </w:rPr>
            </w:pPr>
            <w:r w:rsidRPr="000035D2">
              <w:rPr>
                <w:b/>
                <w:lang w:val="en-AU"/>
              </w:rPr>
              <w:t>Key indicator</w:t>
            </w:r>
          </w:p>
        </w:tc>
        <w:tc>
          <w:tcPr>
            <w:tcW w:w="1201" w:type="pct"/>
          </w:tcPr>
          <w:p w14:paraId="07A47EF9" w14:textId="77777777" w:rsidR="00F50078" w:rsidRPr="000035D2" w:rsidRDefault="00F50078" w:rsidP="000035D2">
            <w:pPr>
              <w:rPr>
                <w:b/>
                <w:lang w:val="en-AU"/>
              </w:rPr>
            </w:pPr>
            <w:r w:rsidRPr="000035D2">
              <w:rPr>
                <w:b/>
                <w:lang w:val="en-AU"/>
              </w:rPr>
              <w:t>2016–17 ($m)</w:t>
            </w:r>
          </w:p>
        </w:tc>
        <w:tc>
          <w:tcPr>
            <w:tcW w:w="1201" w:type="pct"/>
          </w:tcPr>
          <w:p w14:paraId="4CA7D506" w14:textId="77777777" w:rsidR="00F50078" w:rsidRPr="000035D2" w:rsidRDefault="00F50078" w:rsidP="000035D2">
            <w:pPr>
              <w:rPr>
                <w:b/>
                <w:lang w:val="en-AU"/>
              </w:rPr>
            </w:pPr>
            <w:r w:rsidRPr="000035D2">
              <w:rPr>
                <w:b/>
                <w:lang w:val="en-AU"/>
              </w:rPr>
              <w:t>2017–18 ($m)</w:t>
            </w:r>
          </w:p>
        </w:tc>
        <w:tc>
          <w:tcPr>
            <w:tcW w:w="1133" w:type="pct"/>
            <w:gridSpan w:val="2"/>
          </w:tcPr>
          <w:p w14:paraId="5DA4145B" w14:textId="77777777" w:rsidR="00F50078" w:rsidRPr="000035D2" w:rsidRDefault="00F50078" w:rsidP="000035D2">
            <w:pPr>
              <w:rPr>
                <w:b/>
                <w:lang w:val="en-AU"/>
              </w:rPr>
            </w:pPr>
            <w:r w:rsidRPr="000035D2">
              <w:rPr>
                <w:b/>
                <w:lang w:val="en-AU"/>
              </w:rPr>
              <w:t>Change (%)</w:t>
            </w:r>
          </w:p>
        </w:tc>
      </w:tr>
      <w:tr w:rsidR="00F50078" w:rsidRPr="00A029BD" w14:paraId="740A9603" w14:textId="77777777" w:rsidTr="003604F5">
        <w:tc>
          <w:tcPr>
            <w:tcW w:w="1465" w:type="pct"/>
          </w:tcPr>
          <w:p w14:paraId="77524346" w14:textId="77777777" w:rsidR="00F50078" w:rsidRPr="00A029BD" w:rsidRDefault="00F50078" w:rsidP="000035D2">
            <w:pPr>
              <w:rPr>
                <w:lang w:val="en-AU"/>
              </w:rPr>
            </w:pPr>
            <w:r w:rsidRPr="00A029BD">
              <w:rPr>
                <w:lang w:val="en-AU"/>
              </w:rPr>
              <w:t xml:space="preserve">Operating revenue </w:t>
            </w:r>
          </w:p>
        </w:tc>
        <w:tc>
          <w:tcPr>
            <w:tcW w:w="1201" w:type="pct"/>
          </w:tcPr>
          <w:p w14:paraId="29EBD66F" w14:textId="77777777" w:rsidR="00F50078" w:rsidRPr="00A029BD" w:rsidRDefault="00F50078" w:rsidP="000035D2">
            <w:pPr>
              <w:rPr>
                <w:lang w:val="en-AU"/>
              </w:rPr>
            </w:pPr>
            <w:r w:rsidRPr="00A029BD">
              <w:rPr>
                <w:lang w:val="en-AU"/>
              </w:rPr>
              <w:t>180.3</w:t>
            </w:r>
          </w:p>
        </w:tc>
        <w:tc>
          <w:tcPr>
            <w:tcW w:w="1201" w:type="pct"/>
          </w:tcPr>
          <w:p w14:paraId="578E197E" w14:textId="77777777" w:rsidR="00F50078" w:rsidRPr="00A029BD" w:rsidRDefault="00552E22" w:rsidP="000035D2">
            <w:pPr>
              <w:rPr>
                <w:lang w:val="en-AU"/>
              </w:rPr>
            </w:pPr>
            <w:r>
              <w:rPr>
                <w:lang w:val="en-AU"/>
              </w:rPr>
              <w:t>180.4</w:t>
            </w:r>
          </w:p>
        </w:tc>
        <w:tc>
          <w:tcPr>
            <w:tcW w:w="568" w:type="pct"/>
          </w:tcPr>
          <w:p w14:paraId="0174E752" w14:textId="77777777" w:rsidR="00F50078" w:rsidRPr="00A029BD" w:rsidRDefault="00552E22" w:rsidP="000035D2">
            <w:pPr>
              <w:rPr>
                <w:noProof/>
                <w:lang w:val="en-AU" w:eastAsia="en-AU"/>
              </w:rPr>
            </w:pPr>
            <w:r>
              <w:rPr>
                <w:noProof/>
                <w:lang w:val="en-AU" w:eastAsia="en-AU"/>
              </w:rPr>
              <w:t>0.</w:t>
            </w:r>
            <w:r w:rsidR="00641EB7">
              <w:rPr>
                <w:noProof/>
                <w:lang w:val="en-AU" w:eastAsia="en-AU"/>
              </w:rPr>
              <w:t>1</w:t>
            </w:r>
          </w:p>
        </w:tc>
        <w:tc>
          <w:tcPr>
            <w:tcW w:w="565" w:type="pct"/>
          </w:tcPr>
          <w:p w14:paraId="7CDAE185" w14:textId="2FBBAFAB" w:rsidR="00F50078" w:rsidRPr="003604F5" w:rsidRDefault="00EA2E42" w:rsidP="003604F5">
            <w:pPr>
              <w:pStyle w:val="TableText"/>
              <w:jc w:val="center"/>
              <w:rPr>
                <w:lang w:val="en-AU"/>
              </w:rPr>
            </w:pPr>
            <w:r w:rsidRPr="003604F5">
              <w:rPr>
                <w:lang w:val="en-AU"/>
              </w:rPr>
              <w:t>↑</w:t>
            </w:r>
          </w:p>
        </w:tc>
      </w:tr>
      <w:tr w:rsidR="00F50078" w:rsidRPr="00A029BD" w14:paraId="5C3482DD" w14:textId="77777777" w:rsidTr="003604F5">
        <w:tc>
          <w:tcPr>
            <w:tcW w:w="1465" w:type="pct"/>
          </w:tcPr>
          <w:p w14:paraId="5529EFA5" w14:textId="77777777" w:rsidR="00F50078" w:rsidRPr="00A029BD" w:rsidRDefault="00F50078" w:rsidP="000035D2">
            <w:pPr>
              <w:rPr>
                <w:lang w:val="en-AU"/>
              </w:rPr>
            </w:pPr>
            <w:r w:rsidRPr="00A029BD">
              <w:rPr>
                <w:lang w:val="en-AU"/>
              </w:rPr>
              <w:t>Operating expenses</w:t>
            </w:r>
          </w:p>
        </w:tc>
        <w:tc>
          <w:tcPr>
            <w:tcW w:w="1201" w:type="pct"/>
          </w:tcPr>
          <w:p w14:paraId="44DB5ED7" w14:textId="77777777" w:rsidR="00F50078" w:rsidRPr="00A029BD" w:rsidRDefault="00F50078" w:rsidP="000035D2">
            <w:pPr>
              <w:rPr>
                <w:lang w:val="en-AU"/>
              </w:rPr>
            </w:pPr>
            <w:r w:rsidRPr="00A029BD">
              <w:rPr>
                <w:lang w:val="en-AU"/>
              </w:rPr>
              <w:t>173.4</w:t>
            </w:r>
          </w:p>
        </w:tc>
        <w:tc>
          <w:tcPr>
            <w:tcW w:w="1201" w:type="pct"/>
          </w:tcPr>
          <w:p w14:paraId="2ED2260A" w14:textId="77777777" w:rsidR="00F50078" w:rsidRPr="00A029BD" w:rsidRDefault="00552E22" w:rsidP="000035D2">
            <w:pPr>
              <w:rPr>
                <w:lang w:val="en-AU"/>
              </w:rPr>
            </w:pPr>
            <w:r>
              <w:rPr>
                <w:lang w:val="en-AU"/>
              </w:rPr>
              <w:t>179.9</w:t>
            </w:r>
          </w:p>
        </w:tc>
        <w:tc>
          <w:tcPr>
            <w:tcW w:w="568" w:type="pct"/>
          </w:tcPr>
          <w:p w14:paraId="4F0A0F7F" w14:textId="77777777" w:rsidR="00F50078" w:rsidRPr="00A029BD" w:rsidRDefault="00552E22" w:rsidP="000035D2">
            <w:pPr>
              <w:rPr>
                <w:noProof/>
                <w:lang w:val="en-AU" w:eastAsia="en-AU"/>
              </w:rPr>
            </w:pPr>
            <w:r>
              <w:rPr>
                <w:noProof/>
                <w:lang w:val="en-AU" w:eastAsia="en-AU"/>
              </w:rPr>
              <w:t>3.</w:t>
            </w:r>
            <w:r w:rsidR="00C360B3">
              <w:rPr>
                <w:noProof/>
                <w:lang w:val="en-AU" w:eastAsia="en-AU"/>
              </w:rPr>
              <w:t>7</w:t>
            </w:r>
          </w:p>
        </w:tc>
        <w:tc>
          <w:tcPr>
            <w:tcW w:w="565" w:type="pct"/>
          </w:tcPr>
          <w:p w14:paraId="50014803" w14:textId="36B63DE8" w:rsidR="00F50078" w:rsidRPr="00A54622" w:rsidRDefault="00EA2E42" w:rsidP="003604F5">
            <w:pPr>
              <w:pStyle w:val="TableText"/>
              <w:ind w:hanging="23"/>
              <w:jc w:val="center"/>
              <w:rPr>
                <w:highlight w:val="yellow"/>
                <w:lang w:val="en-AU"/>
              </w:rPr>
            </w:pPr>
            <w:r w:rsidRPr="003604F5">
              <w:rPr>
                <w:lang w:val="en-AU"/>
              </w:rPr>
              <w:t>↑</w:t>
            </w:r>
          </w:p>
        </w:tc>
      </w:tr>
      <w:tr w:rsidR="00F50078" w:rsidRPr="008744BD" w14:paraId="7D3A43FF" w14:textId="77777777" w:rsidTr="00EA2E42">
        <w:tc>
          <w:tcPr>
            <w:tcW w:w="1465" w:type="pct"/>
          </w:tcPr>
          <w:p w14:paraId="658D4814" w14:textId="77777777" w:rsidR="00F50078" w:rsidRPr="00A029BD" w:rsidRDefault="00F50078" w:rsidP="000035D2">
            <w:pPr>
              <w:rPr>
                <w:lang w:val="en-AU"/>
              </w:rPr>
            </w:pPr>
            <w:r w:rsidRPr="00A029BD">
              <w:rPr>
                <w:lang w:val="en-AU"/>
              </w:rPr>
              <w:t>Operating surplus (deficit)</w:t>
            </w:r>
          </w:p>
        </w:tc>
        <w:tc>
          <w:tcPr>
            <w:tcW w:w="1201" w:type="pct"/>
          </w:tcPr>
          <w:p w14:paraId="78130167" w14:textId="77777777" w:rsidR="00F50078" w:rsidRPr="00A029BD" w:rsidRDefault="00F50078" w:rsidP="000035D2">
            <w:pPr>
              <w:rPr>
                <w:lang w:val="en-AU"/>
              </w:rPr>
            </w:pPr>
            <w:r w:rsidRPr="00A029BD">
              <w:rPr>
                <w:lang w:val="en-AU"/>
              </w:rPr>
              <w:t>6.9</w:t>
            </w:r>
          </w:p>
        </w:tc>
        <w:tc>
          <w:tcPr>
            <w:tcW w:w="1201" w:type="pct"/>
          </w:tcPr>
          <w:p w14:paraId="0C29B9F7" w14:textId="77777777" w:rsidR="00F50078" w:rsidRPr="00A029BD" w:rsidRDefault="00552E22" w:rsidP="000035D2">
            <w:pPr>
              <w:rPr>
                <w:lang w:val="en-AU"/>
              </w:rPr>
            </w:pPr>
            <w:r>
              <w:rPr>
                <w:lang w:val="en-AU"/>
              </w:rPr>
              <w:t>0.5</w:t>
            </w:r>
          </w:p>
        </w:tc>
        <w:tc>
          <w:tcPr>
            <w:tcW w:w="568" w:type="pct"/>
          </w:tcPr>
          <w:p w14:paraId="37D001C9" w14:textId="77777777" w:rsidR="00F50078" w:rsidRPr="00A029BD" w:rsidRDefault="00552E22" w:rsidP="000035D2">
            <w:pPr>
              <w:rPr>
                <w:noProof/>
                <w:lang w:val="en-AU" w:eastAsia="en-AU"/>
              </w:rPr>
            </w:pPr>
            <w:r>
              <w:rPr>
                <w:noProof/>
                <w:lang w:val="en-AU" w:eastAsia="en-AU"/>
              </w:rPr>
              <w:t>(92.</w:t>
            </w:r>
            <w:r w:rsidR="00641EB7">
              <w:rPr>
                <w:noProof/>
                <w:lang w:val="en-AU" w:eastAsia="en-AU"/>
              </w:rPr>
              <w:t>8</w:t>
            </w:r>
            <w:r>
              <w:rPr>
                <w:noProof/>
                <w:lang w:val="en-AU" w:eastAsia="en-AU"/>
              </w:rPr>
              <w:t>)</w:t>
            </w:r>
          </w:p>
        </w:tc>
        <w:tc>
          <w:tcPr>
            <w:tcW w:w="565" w:type="pct"/>
            <w:shd w:val="clear" w:color="auto" w:fill="auto"/>
          </w:tcPr>
          <w:p w14:paraId="41E159AE" w14:textId="3CCB7427" w:rsidR="00F50078" w:rsidRPr="00A54622" w:rsidRDefault="00EA2E42" w:rsidP="003604F5">
            <w:pPr>
              <w:pStyle w:val="TableText"/>
              <w:jc w:val="center"/>
              <w:rPr>
                <w:highlight w:val="yellow"/>
                <w:lang w:val="en-AU"/>
              </w:rPr>
            </w:pPr>
            <w:r w:rsidRPr="003604F5">
              <w:rPr>
                <w:lang w:val="en-AU"/>
              </w:rPr>
              <w:t>↓</w:t>
            </w:r>
          </w:p>
        </w:tc>
      </w:tr>
    </w:tbl>
    <w:bookmarkEnd w:id="11"/>
    <w:p w14:paraId="3F4F7B08" w14:textId="77777777" w:rsidR="00930075" w:rsidRDefault="00930075" w:rsidP="00D81C80">
      <w:pPr>
        <w:pStyle w:val="Heading1noTOC"/>
      </w:pPr>
      <w:r w:rsidRPr="00687E4A">
        <w:t>CASA enhances aviation safety by:</w:t>
      </w:r>
    </w:p>
    <w:p w14:paraId="672FC33C" w14:textId="77777777" w:rsidR="00930075" w:rsidRDefault="00930075" w:rsidP="009A6C3B">
      <w:pPr>
        <w:pStyle w:val="ListParagraph"/>
        <w:numPr>
          <w:ilvl w:val="0"/>
          <w:numId w:val="38"/>
        </w:numPr>
      </w:pPr>
      <w:r w:rsidRPr="00687E4A">
        <w:t>Conducting entry control assessments, regulatory surveillance and oversight, providing regulatory services, and taking appropriate enforcement actions when necessary.</w:t>
      </w:r>
    </w:p>
    <w:p w14:paraId="2E61D321" w14:textId="77777777" w:rsidR="00930075" w:rsidRDefault="00930075" w:rsidP="009A6C3B">
      <w:pPr>
        <w:pStyle w:val="ListParagraph"/>
        <w:numPr>
          <w:ilvl w:val="0"/>
          <w:numId w:val="38"/>
        </w:numPr>
      </w:pPr>
      <w:r w:rsidRPr="00687E4A">
        <w:t>Developing aviation safety standards and guidance material, and implementing regulatory changes</w:t>
      </w:r>
    </w:p>
    <w:p w14:paraId="79ED55E7" w14:textId="77777777" w:rsidR="00930075" w:rsidRDefault="00930075" w:rsidP="009A6C3B">
      <w:pPr>
        <w:pStyle w:val="ListParagraph"/>
        <w:numPr>
          <w:ilvl w:val="0"/>
          <w:numId w:val="38"/>
        </w:numPr>
      </w:pPr>
      <w:r w:rsidRPr="00687E4A">
        <w:t>Developing effective enforcement strategies to secure compliance with aviation safety standards.</w:t>
      </w:r>
    </w:p>
    <w:p w14:paraId="2105729C" w14:textId="77777777" w:rsidR="00930075" w:rsidRDefault="00930075" w:rsidP="009A6C3B">
      <w:pPr>
        <w:pStyle w:val="ListParagraph"/>
        <w:numPr>
          <w:ilvl w:val="0"/>
          <w:numId w:val="38"/>
        </w:numPr>
      </w:pPr>
      <w:r w:rsidRPr="00687E4A">
        <w:t>Regulating Australian-administered airspace, registered and certified aerodromes, aerodrome rescue and firefighting services and civilian air traffic control services, and overseeing designers of instrument approach procedures.</w:t>
      </w:r>
    </w:p>
    <w:p w14:paraId="690A8F87" w14:textId="77777777" w:rsidR="00930075" w:rsidRDefault="00930075" w:rsidP="009A6C3B">
      <w:pPr>
        <w:pStyle w:val="ListParagraph"/>
        <w:numPr>
          <w:ilvl w:val="0"/>
          <w:numId w:val="38"/>
        </w:numPr>
      </w:pPr>
      <w:r w:rsidRPr="00687E4A">
        <w:t>Issuing licences, certificates, authorisations, approvals and other permissions required by persons undertaking a range of aviation-related activities in Australia.</w:t>
      </w:r>
    </w:p>
    <w:p w14:paraId="55312B79" w14:textId="77777777" w:rsidR="00930075" w:rsidRDefault="00930075" w:rsidP="009A6C3B">
      <w:pPr>
        <w:pStyle w:val="ListParagraph"/>
        <w:numPr>
          <w:ilvl w:val="0"/>
          <w:numId w:val="38"/>
        </w:numPr>
      </w:pPr>
      <w:r w:rsidRPr="00687E4A">
        <w:t>Encouraging a greater acceptance by the aviation industry of its obligation to maintain high standards of aviation safety.</w:t>
      </w:r>
    </w:p>
    <w:p w14:paraId="5A5D9D58" w14:textId="77777777" w:rsidR="00930075" w:rsidRDefault="00930075" w:rsidP="009A6C3B">
      <w:pPr>
        <w:pStyle w:val="ListParagraph"/>
        <w:numPr>
          <w:ilvl w:val="0"/>
          <w:numId w:val="38"/>
        </w:numPr>
      </w:pPr>
      <w:r w:rsidRPr="00687E4A">
        <w:t>Conducting regulatory oversight of operators’ drug and alcohol management plans, conducting drug and alcohol testing, and carrying out certain aviation security assessment functions.</w:t>
      </w:r>
    </w:p>
    <w:p w14:paraId="546A1162" w14:textId="77777777" w:rsidR="00930075" w:rsidRDefault="00930075" w:rsidP="009A6C3B">
      <w:pPr>
        <w:pStyle w:val="ListParagraph"/>
        <w:numPr>
          <w:ilvl w:val="0"/>
          <w:numId w:val="38"/>
        </w:numPr>
      </w:pPr>
      <w:r w:rsidRPr="00687E4A">
        <w:t>Analysing data, providing advice and making the appropriate interventions to maintain and improve Australian aviation safety performance.</w:t>
      </w:r>
    </w:p>
    <w:p w14:paraId="0429C355" w14:textId="77777777" w:rsidR="00930075" w:rsidRDefault="00930075" w:rsidP="009A6C3B">
      <w:pPr>
        <w:pStyle w:val="ListParagraph"/>
        <w:numPr>
          <w:ilvl w:val="0"/>
          <w:numId w:val="38"/>
        </w:numPr>
      </w:pPr>
      <w:r w:rsidRPr="00687E4A">
        <w:t>Providing a rapid response service for authorities requiring protected airspace at short notice.</w:t>
      </w:r>
    </w:p>
    <w:p w14:paraId="5137487A" w14:textId="77777777" w:rsidR="00930075" w:rsidRDefault="00930075" w:rsidP="009A6C3B">
      <w:pPr>
        <w:pStyle w:val="ListParagraph"/>
        <w:numPr>
          <w:ilvl w:val="0"/>
          <w:numId w:val="38"/>
        </w:numPr>
      </w:pPr>
      <w:r w:rsidRPr="00687E4A">
        <w:t>Providing advice and support to delegates and authorised persons in the aviation industry, and administering medical standards applicable to licence holders.</w:t>
      </w:r>
    </w:p>
    <w:p w14:paraId="50E45DCA" w14:textId="77777777" w:rsidR="00930075" w:rsidRDefault="00930075" w:rsidP="009A6C3B">
      <w:pPr>
        <w:pStyle w:val="ListParagraph"/>
        <w:numPr>
          <w:ilvl w:val="0"/>
          <w:numId w:val="38"/>
        </w:numPr>
      </w:pPr>
      <w:r w:rsidRPr="00687E4A">
        <w:t>Providing regulatory and other appropriate training for CASA staff and industry.</w:t>
      </w:r>
    </w:p>
    <w:p w14:paraId="63EEF6AE" w14:textId="77777777" w:rsidR="00930075" w:rsidRDefault="00930075" w:rsidP="009A6C3B">
      <w:pPr>
        <w:pStyle w:val="ListParagraph"/>
        <w:numPr>
          <w:ilvl w:val="0"/>
          <w:numId w:val="38"/>
        </w:numPr>
      </w:pPr>
      <w:r w:rsidRPr="00AA0BD6">
        <w:rPr>
          <w:rFonts w:cs="Arial"/>
          <w:color w:val="000000"/>
          <w:lang w:eastAsia="en-AU"/>
        </w:rPr>
        <w:t>Carrying out oversight of aircraft, maintenance and flying operations through surveillance of passenger-carrying, charter and freight operations and maintenance organisations</w:t>
      </w:r>
      <w:r w:rsidRPr="00687E4A">
        <w:t>.</w:t>
      </w:r>
    </w:p>
    <w:p w14:paraId="617A6B6B" w14:textId="77777777" w:rsidR="00930075" w:rsidRPr="00930075" w:rsidRDefault="00930075" w:rsidP="009A6C3B">
      <w:pPr>
        <w:pStyle w:val="ListParagraph"/>
        <w:numPr>
          <w:ilvl w:val="0"/>
          <w:numId w:val="38"/>
        </w:numPr>
      </w:pPr>
      <w:r w:rsidRPr="00AA0BD6">
        <w:rPr>
          <w:rFonts w:cs="Segoe UI"/>
          <w:color w:val="000000"/>
          <w:lang w:eastAsia="en-AU"/>
        </w:rPr>
        <w:t>Conducting oversight of foreign aircraft operations within Australian territory.</w:t>
      </w:r>
    </w:p>
    <w:p w14:paraId="3077CB87" w14:textId="77777777" w:rsidR="00930075" w:rsidRDefault="00930075" w:rsidP="009A6C3B">
      <w:pPr>
        <w:pStyle w:val="ListParagraph"/>
        <w:numPr>
          <w:ilvl w:val="0"/>
          <w:numId w:val="38"/>
        </w:numPr>
      </w:pPr>
      <w:r w:rsidRPr="00AA0BD6">
        <w:rPr>
          <w:rFonts w:cs="Segoe UI"/>
          <w:color w:val="000000"/>
          <w:lang w:eastAsia="en-AU"/>
        </w:rPr>
        <w:lastRenderedPageBreak/>
        <w:t>Developing, establishing, and monitoring the instructional standards for the flying training industry and the flying standards and competency of CASA flying operations inspectors.</w:t>
      </w:r>
    </w:p>
    <w:p w14:paraId="7EC7C3D8" w14:textId="77777777" w:rsidR="00F50078" w:rsidRPr="00687E4A" w:rsidRDefault="00F50078" w:rsidP="000D79EF">
      <w:pPr>
        <w:pStyle w:val="Heading1noTOC"/>
      </w:pPr>
      <w:bookmarkStart w:id="12" w:name="_Hlk519582504"/>
      <w:r w:rsidRPr="00687E4A">
        <w:t>Interesting facts in 2017–18</w:t>
      </w:r>
    </w:p>
    <w:p w14:paraId="50B13273" w14:textId="77777777" w:rsidR="00F50078" w:rsidRPr="00687E4A" w:rsidRDefault="00F50078" w:rsidP="00AA0BD6">
      <w:pPr>
        <w:rPr>
          <w:color w:val="0070C0"/>
        </w:rPr>
      </w:pPr>
      <w:bookmarkStart w:id="13" w:name="_Hlk519583061"/>
      <w:r w:rsidRPr="00687E4A">
        <w:rPr>
          <w:b/>
        </w:rPr>
        <w:t xml:space="preserve">422 </w:t>
      </w:r>
      <w:r w:rsidRPr="00687E4A">
        <w:t xml:space="preserve">additional aircraft were </w:t>
      </w:r>
      <w:r>
        <w:t>registered</w:t>
      </w:r>
      <w:r w:rsidRPr="00687E4A">
        <w:t xml:space="preserve">, bringing the total to </w:t>
      </w:r>
      <w:r w:rsidRPr="00687E4A">
        <w:rPr>
          <w:b/>
        </w:rPr>
        <w:t>15,529</w:t>
      </w:r>
    </w:p>
    <w:p w14:paraId="38E93EB8" w14:textId="77777777" w:rsidR="00F50078" w:rsidRPr="00687E4A" w:rsidRDefault="00F50078" w:rsidP="00AA0BD6">
      <w:r w:rsidRPr="00687E4A">
        <w:rPr>
          <w:b/>
        </w:rPr>
        <w:t>3,720</w:t>
      </w:r>
      <w:r w:rsidRPr="00687E4A">
        <w:t xml:space="preserve"> new flight crew licences were issued, bringing the total to </w:t>
      </w:r>
      <w:r w:rsidRPr="00687E4A">
        <w:rPr>
          <w:b/>
        </w:rPr>
        <w:t>31,145</w:t>
      </w:r>
      <w:r w:rsidRPr="00687E4A">
        <w:t xml:space="preserve"> </w:t>
      </w:r>
    </w:p>
    <w:p w14:paraId="6717E39F" w14:textId="77777777" w:rsidR="00F50078" w:rsidRPr="00687E4A" w:rsidRDefault="00F50078" w:rsidP="00AA0BD6">
      <w:r w:rsidRPr="00687E4A">
        <w:rPr>
          <w:b/>
        </w:rPr>
        <w:t>4,146</w:t>
      </w:r>
      <w:r w:rsidRPr="00687E4A">
        <w:t xml:space="preserve"> people </w:t>
      </w:r>
      <w:r>
        <w:t xml:space="preserve">received their first </w:t>
      </w:r>
      <w:r w:rsidRPr="00687E4A">
        <w:t xml:space="preserve">medical certificate </w:t>
      </w:r>
      <w:r>
        <w:t>–</w:t>
      </w:r>
      <w:r w:rsidRPr="00687E4A">
        <w:t xml:space="preserve"> </w:t>
      </w:r>
      <w:r w:rsidRPr="00687E4A">
        <w:rPr>
          <w:b/>
        </w:rPr>
        <w:t>2,137</w:t>
      </w:r>
      <w:r w:rsidRPr="00687E4A">
        <w:t xml:space="preserve"> received their first Class 1 medical certificate</w:t>
      </w:r>
    </w:p>
    <w:p w14:paraId="1A842F3E" w14:textId="77777777" w:rsidR="00F50078" w:rsidRPr="00687E4A" w:rsidRDefault="00F50078" w:rsidP="00AA0BD6">
      <w:r w:rsidRPr="00687E4A">
        <w:rPr>
          <w:b/>
        </w:rPr>
        <w:t>51,942</w:t>
      </w:r>
      <w:r w:rsidRPr="00687E4A">
        <w:t xml:space="preserve"> flight crew licensing applications and notifications were </w:t>
      </w:r>
      <w:r w:rsidR="00852351">
        <w:t>processed</w:t>
      </w:r>
    </w:p>
    <w:p w14:paraId="5C152740" w14:textId="77777777" w:rsidR="00E41F3E" w:rsidRPr="00B85284" w:rsidRDefault="00E41F3E" w:rsidP="00AA0BD6">
      <w:pPr>
        <w:rPr>
          <w:b/>
          <w:bCs/>
          <w:lang w:val="en-AU"/>
        </w:rPr>
      </w:pPr>
      <w:r w:rsidRPr="00B85284">
        <w:rPr>
          <w:b/>
          <w:bCs/>
        </w:rPr>
        <w:t xml:space="preserve">332 </w:t>
      </w:r>
      <w:r w:rsidRPr="00B85284">
        <w:rPr>
          <w:bCs/>
        </w:rPr>
        <w:t xml:space="preserve">new remotely piloted aircraft operator certificates were issued, an increase of </w:t>
      </w:r>
      <w:r w:rsidRPr="00B85284">
        <w:rPr>
          <w:b/>
          <w:bCs/>
        </w:rPr>
        <w:t xml:space="preserve">27% </w:t>
      </w:r>
      <w:r w:rsidRPr="00B85284">
        <w:rPr>
          <w:bCs/>
        </w:rPr>
        <w:t>from last year, bringing the total to</w:t>
      </w:r>
      <w:r w:rsidRPr="00B85284">
        <w:rPr>
          <w:b/>
          <w:bCs/>
        </w:rPr>
        <w:t xml:space="preserve"> 1,357</w:t>
      </w:r>
    </w:p>
    <w:p w14:paraId="328FB843" w14:textId="77777777" w:rsidR="00D21213" w:rsidRDefault="00E41F3E" w:rsidP="00AA0BD6">
      <w:pPr>
        <w:rPr>
          <w:bCs/>
        </w:rPr>
      </w:pPr>
      <w:r w:rsidRPr="00B85284">
        <w:rPr>
          <w:b/>
          <w:bCs/>
        </w:rPr>
        <w:t xml:space="preserve">3,020 </w:t>
      </w:r>
      <w:r w:rsidRPr="00B85284">
        <w:rPr>
          <w:bCs/>
        </w:rPr>
        <w:t>remote pilot licences were issued, an increase of</w:t>
      </w:r>
      <w:r w:rsidRPr="00B85284">
        <w:rPr>
          <w:b/>
          <w:bCs/>
        </w:rPr>
        <w:t xml:space="preserve"> 53% </w:t>
      </w:r>
      <w:r w:rsidRPr="00B85284">
        <w:rPr>
          <w:bCs/>
        </w:rPr>
        <w:t>from last year</w:t>
      </w:r>
    </w:p>
    <w:p w14:paraId="4E9CBF66" w14:textId="77777777" w:rsidR="003A1F4A" w:rsidRPr="003A1F4A" w:rsidRDefault="003A1F4A" w:rsidP="00AA0BD6">
      <w:pPr>
        <w:rPr>
          <w:lang w:val="en-AU"/>
        </w:rPr>
      </w:pPr>
      <w:r w:rsidRPr="003A1F4A">
        <w:rPr>
          <w:b/>
        </w:rPr>
        <w:t>5,173</w:t>
      </w:r>
      <w:r w:rsidRPr="003A1F4A">
        <w:t xml:space="preserve"> people/organisations notified</w:t>
      </w:r>
      <w:r w:rsidR="00630A0D">
        <w:t xml:space="preserve"> CASA</w:t>
      </w:r>
      <w:r w:rsidRPr="003A1F4A">
        <w:t xml:space="preserve"> of their intention to operate remotely piloted aircraft under CASA’s simple commercial operations known as ‘excluded RPA operations’</w:t>
      </w:r>
    </w:p>
    <w:p w14:paraId="6E679CD2" w14:textId="77777777" w:rsidR="00F50078" w:rsidRPr="00B85284" w:rsidRDefault="00F50078" w:rsidP="00AA0BD6">
      <w:r w:rsidRPr="00B85284">
        <w:rPr>
          <w:b/>
        </w:rPr>
        <w:t>9%</w:t>
      </w:r>
      <w:r w:rsidRPr="00B85284">
        <w:t xml:space="preserve"> of Australian-registered aircraft were built before 1961, while </w:t>
      </w:r>
      <w:r w:rsidRPr="00B85284">
        <w:rPr>
          <w:b/>
        </w:rPr>
        <w:t>2%</w:t>
      </w:r>
      <w:r w:rsidRPr="00B85284">
        <w:t xml:space="preserve"> were less than </w:t>
      </w:r>
      <w:r w:rsidRPr="00D21213">
        <w:t>two</w:t>
      </w:r>
      <w:r w:rsidRPr="00B85284">
        <w:t xml:space="preserve"> years old</w:t>
      </w:r>
    </w:p>
    <w:p w14:paraId="17F80C4B" w14:textId="77777777" w:rsidR="00F50078" w:rsidRPr="00687E4A" w:rsidRDefault="00F50078" w:rsidP="00AA0BD6">
      <w:r w:rsidRPr="00687E4A">
        <w:rPr>
          <w:b/>
        </w:rPr>
        <w:t>1,121</w:t>
      </w:r>
      <w:r w:rsidRPr="00687E4A">
        <w:t xml:space="preserve"> surveillance events were conducted</w:t>
      </w:r>
    </w:p>
    <w:p w14:paraId="21FC5138" w14:textId="77777777" w:rsidR="00F50078" w:rsidRPr="00687E4A" w:rsidRDefault="00F50078" w:rsidP="00AA0BD6">
      <w:r w:rsidRPr="00687E4A">
        <w:rPr>
          <w:b/>
        </w:rPr>
        <w:t>128</w:t>
      </w:r>
      <w:r w:rsidRPr="00687E4A">
        <w:t xml:space="preserve"> foreign aircraft were inspected under the </w:t>
      </w:r>
      <w:r>
        <w:t>European Union</w:t>
      </w:r>
      <w:r w:rsidRPr="00687E4A">
        <w:t xml:space="preserve"> Safety Assessment of Foreign Aircraft program</w:t>
      </w:r>
    </w:p>
    <w:p w14:paraId="67C49F1E" w14:textId="77777777" w:rsidR="00F50078" w:rsidRPr="00687E4A" w:rsidRDefault="00F50078" w:rsidP="00AA0BD6">
      <w:r w:rsidRPr="00687E4A">
        <w:rPr>
          <w:rFonts w:eastAsia="Times New Roman"/>
          <w:b/>
          <w:lang w:eastAsia="en-AU"/>
        </w:rPr>
        <w:t>2,000</w:t>
      </w:r>
      <w:r w:rsidRPr="00687E4A">
        <w:rPr>
          <w:rFonts w:eastAsia="Times New Roman"/>
          <w:lang w:eastAsia="en-AU"/>
        </w:rPr>
        <w:t xml:space="preserve"> International Civil Aviation Organization standards and recommended practices were</w:t>
      </w:r>
      <w:r w:rsidR="00A95B12">
        <w:rPr>
          <w:rFonts w:eastAsia="Times New Roman"/>
          <w:lang w:eastAsia="en-AU"/>
        </w:rPr>
        <w:t xml:space="preserve"> assessed by CASA</w:t>
      </w:r>
      <w:r w:rsidRPr="00687E4A">
        <w:rPr>
          <w:rFonts w:eastAsia="Times New Roman"/>
          <w:lang w:eastAsia="en-AU"/>
        </w:rPr>
        <w:t xml:space="preserve"> for Australian compliance in preparation for the International Civil Aviation Organization coordinated validation mission</w:t>
      </w:r>
    </w:p>
    <w:p w14:paraId="7D193090" w14:textId="77777777" w:rsidR="00F50078" w:rsidRDefault="00F50078" w:rsidP="00AA0BD6">
      <w:r w:rsidRPr="00687E4A">
        <w:rPr>
          <w:b/>
        </w:rPr>
        <w:t>92</w:t>
      </w:r>
      <w:r w:rsidRPr="00687E4A">
        <w:t xml:space="preserve"> new procedures </w:t>
      </w:r>
      <w:r>
        <w:t xml:space="preserve">for barometric vertical navigation </w:t>
      </w:r>
      <w:r w:rsidRPr="00687E4A">
        <w:t>were validated</w:t>
      </w:r>
    </w:p>
    <w:p w14:paraId="4A690F61" w14:textId="77777777" w:rsidR="00F50078" w:rsidRPr="00687E4A" w:rsidRDefault="00F50078" w:rsidP="00AA0BD6">
      <w:r w:rsidRPr="00687E4A">
        <w:rPr>
          <w:b/>
        </w:rPr>
        <w:t>102</w:t>
      </w:r>
      <w:r w:rsidRPr="00687E4A">
        <w:t xml:space="preserve"> </w:t>
      </w:r>
      <w:r>
        <w:t>a</w:t>
      </w:r>
      <w:r w:rsidRPr="00687E4A">
        <w:t xml:space="preserve">irspace </w:t>
      </w:r>
      <w:r>
        <w:t>c</w:t>
      </w:r>
      <w:r w:rsidRPr="00687E4A">
        <w:t xml:space="preserve">hange </w:t>
      </w:r>
      <w:r>
        <w:t>p</w:t>
      </w:r>
      <w:r w:rsidRPr="00687E4A">
        <w:t>roposals</w:t>
      </w:r>
      <w:r>
        <w:t xml:space="preserve"> were</w:t>
      </w:r>
      <w:r w:rsidRPr="00687E4A">
        <w:t xml:space="preserve"> assessed</w:t>
      </w:r>
    </w:p>
    <w:p w14:paraId="3B7FDAE0" w14:textId="77777777" w:rsidR="00F50078" w:rsidRPr="00687E4A" w:rsidRDefault="00F50078" w:rsidP="00AA0BD6">
      <w:r w:rsidRPr="00687E4A">
        <w:rPr>
          <w:b/>
        </w:rPr>
        <w:t>27</w:t>
      </w:r>
      <w:r w:rsidRPr="00687E4A">
        <w:t xml:space="preserve"> wind farm assessments were conducted</w:t>
      </w:r>
    </w:p>
    <w:p w14:paraId="32FC86A9" w14:textId="77777777" w:rsidR="00F50078" w:rsidRPr="00687E4A" w:rsidRDefault="00F50078" w:rsidP="00AA0BD6">
      <w:r w:rsidRPr="00687E4A">
        <w:rPr>
          <w:b/>
        </w:rPr>
        <w:t>116</w:t>
      </w:r>
      <w:r w:rsidRPr="00687E4A">
        <w:t xml:space="preserve"> flight (re)validations of instrument flight procedures</w:t>
      </w:r>
      <w:r>
        <w:t xml:space="preserve"> were</w:t>
      </w:r>
      <w:r w:rsidRPr="00687E4A">
        <w:t xml:space="preserve"> conducted</w:t>
      </w:r>
    </w:p>
    <w:p w14:paraId="1CC6DF95" w14:textId="77777777" w:rsidR="00F50078" w:rsidRPr="004A2CF5" w:rsidRDefault="00F50078" w:rsidP="00AA0BD6">
      <w:r w:rsidRPr="00687E4A">
        <w:rPr>
          <w:b/>
        </w:rPr>
        <w:t>4</w:t>
      </w:r>
      <w:r w:rsidRPr="00687E4A">
        <w:t xml:space="preserve"> initial issue certified aerodrome assessments were undertaken</w:t>
      </w:r>
    </w:p>
    <w:p w14:paraId="147C16F9" w14:textId="77777777" w:rsidR="00DC0058" w:rsidRPr="00687E4A" w:rsidRDefault="00DC0058" w:rsidP="00AA0BD6">
      <w:r w:rsidRPr="00687E4A">
        <w:rPr>
          <w:b/>
        </w:rPr>
        <w:t>149</w:t>
      </w:r>
      <w:r w:rsidRPr="00687E4A">
        <w:t xml:space="preserve"> </w:t>
      </w:r>
      <w:r>
        <w:t>a</w:t>
      </w:r>
      <w:r w:rsidRPr="00687E4A">
        <w:t xml:space="preserve">viation </w:t>
      </w:r>
      <w:r>
        <w:t>i</w:t>
      </w:r>
      <w:r w:rsidRPr="00687E4A">
        <w:t xml:space="preserve">nfringement </w:t>
      </w:r>
      <w:r>
        <w:t>n</w:t>
      </w:r>
      <w:r w:rsidRPr="00687E4A">
        <w:t>otices were issued</w:t>
      </w:r>
      <w:r>
        <w:t xml:space="preserve">, including </w:t>
      </w:r>
      <w:r w:rsidRPr="00687E4A">
        <w:rPr>
          <w:b/>
        </w:rPr>
        <w:t>58</w:t>
      </w:r>
      <w:r w:rsidRPr="00687E4A">
        <w:t xml:space="preserve"> for drone-related offences and </w:t>
      </w:r>
      <w:r w:rsidRPr="00687E4A">
        <w:rPr>
          <w:b/>
        </w:rPr>
        <w:t>49</w:t>
      </w:r>
      <w:r w:rsidRPr="00687E4A">
        <w:t xml:space="preserve"> </w:t>
      </w:r>
      <w:r w:rsidR="00194D55" w:rsidRPr="00194D55">
        <w:rPr>
          <w:lang w:val="en-AU"/>
        </w:rPr>
        <w:t>for prohibited behaviour by airline passengers</w:t>
      </w:r>
    </w:p>
    <w:p w14:paraId="7789F8A3" w14:textId="77777777" w:rsidR="00F50078" w:rsidRPr="00687E4A" w:rsidRDefault="00F50078" w:rsidP="00AA0BD6">
      <w:r w:rsidRPr="00687E4A">
        <w:rPr>
          <w:b/>
        </w:rPr>
        <w:t>813</w:t>
      </w:r>
      <w:r w:rsidRPr="00687E4A">
        <w:t xml:space="preserve"> industry on-site visits were conducted by aviation safety advisors, who also conducted </w:t>
      </w:r>
      <w:r w:rsidRPr="00687E4A">
        <w:rPr>
          <w:b/>
        </w:rPr>
        <w:t xml:space="preserve">162 </w:t>
      </w:r>
      <w:r w:rsidRPr="00687E4A">
        <w:t xml:space="preserve">AvSafety seminars, </w:t>
      </w:r>
      <w:r w:rsidRPr="00687E4A">
        <w:rPr>
          <w:b/>
        </w:rPr>
        <w:t>44</w:t>
      </w:r>
      <w:r w:rsidRPr="00687E4A">
        <w:t xml:space="preserve"> </w:t>
      </w:r>
      <w:r>
        <w:t>i</w:t>
      </w:r>
      <w:r w:rsidRPr="00687E4A">
        <w:t>ndustry</w:t>
      </w:r>
      <w:r>
        <w:t>-</w:t>
      </w:r>
      <w:r w:rsidRPr="00687E4A">
        <w:t xml:space="preserve">requested seminars and </w:t>
      </w:r>
      <w:r w:rsidRPr="00687E4A">
        <w:rPr>
          <w:b/>
        </w:rPr>
        <w:t>6</w:t>
      </w:r>
      <w:r w:rsidRPr="00687E4A">
        <w:t xml:space="preserve"> gateway school visits addressing </w:t>
      </w:r>
      <w:r>
        <w:t xml:space="preserve">a total of </w:t>
      </w:r>
      <w:r w:rsidRPr="00687E4A">
        <w:rPr>
          <w:b/>
        </w:rPr>
        <w:t>7,913</w:t>
      </w:r>
      <w:r w:rsidRPr="00687E4A">
        <w:t xml:space="preserve"> attendees</w:t>
      </w:r>
    </w:p>
    <w:p w14:paraId="03148F89" w14:textId="77777777" w:rsidR="00F50078" w:rsidRPr="00687E4A" w:rsidRDefault="00F50078" w:rsidP="00AA0BD6">
      <w:r w:rsidRPr="00687E4A">
        <w:rPr>
          <w:b/>
        </w:rPr>
        <w:t>1,000+</w:t>
      </w:r>
      <w:r w:rsidRPr="00687E4A">
        <w:t xml:space="preserve"> responses to the first consultation on frequency use at low level in Class G airspace were received through CASA’s new online consultation hub</w:t>
      </w:r>
      <w:r>
        <w:t>,</w:t>
      </w:r>
      <w:r w:rsidRPr="00687E4A">
        <w:t xml:space="preserve"> along with </w:t>
      </w:r>
      <w:r w:rsidRPr="00687E4A">
        <w:rPr>
          <w:b/>
        </w:rPr>
        <w:t>900</w:t>
      </w:r>
      <w:r w:rsidRPr="00687E4A">
        <w:t xml:space="preserve"> responses on CASA’s drone discussion paper</w:t>
      </w:r>
    </w:p>
    <w:p w14:paraId="46D33A3C" w14:textId="77777777" w:rsidR="00F50078" w:rsidRPr="00687E4A" w:rsidRDefault="00F50078" w:rsidP="00AA0BD6">
      <w:r w:rsidRPr="00687E4A">
        <w:rPr>
          <w:b/>
        </w:rPr>
        <w:t>500+</w:t>
      </w:r>
      <w:r w:rsidRPr="00687E4A">
        <w:t xml:space="preserve"> people registered their interest to participate in technical working groups under the Aviation Safety Advisory Panel</w:t>
      </w:r>
    </w:p>
    <w:p w14:paraId="306DE3DF" w14:textId="77777777" w:rsidR="00F50078" w:rsidRPr="00687E4A" w:rsidRDefault="00F50078" w:rsidP="00AA0BD6">
      <w:r w:rsidRPr="00687E4A">
        <w:rPr>
          <w:b/>
        </w:rPr>
        <w:t>7.7</w:t>
      </w:r>
      <w:r w:rsidRPr="00687E4A">
        <w:t xml:space="preserve"> million people visited CASA’s website, resulting in </w:t>
      </w:r>
      <w:r w:rsidRPr="00687E4A">
        <w:rPr>
          <w:b/>
        </w:rPr>
        <w:t>10.1</w:t>
      </w:r>
      <w:r w:rsidRPr="00687E4A">
        <w:t xml:space="preserve"> million page views. </w:t>
      </w:r>
      <w:r w:rsidRPr="00687E4A">
        <w:rPr>
          <w:b/>
        </w:rPr>
        <w:t>3</w:t>
      </w:r>
      <w:r w:rsidRPr="00687E4A">
        <w:t xml:space="preserve"> of the top </w:t>
      </w:r>
      <w:r w:rsidRPr="00687E4A">
        <w:rPr>
          <w:b/>
        </w:rPr>
        <w:t>10</w:t>
      </w:r>
      <w:r w:rsidRPr="00687E4A">
        <w:t xml:space="preserve"> pages related to drones, accounting for </w:t>
      </w:r>
      <w:r w:rsidRPr="00687E4A">
        <w:rPr>
          <w:b/>
        </w:rPr>
        <w:t>630,316</w:t>
      </w:r>
      <w:r w:rsidRPr="00687E4A">
        <w:t xml:space="preserve"> page views </w:t>
      </w:r>
    </w:p>
    <w:p w14:paraId="02CBA4DA" w14:textId="77777777" w:rsidR="00DC0058" w:rsidRPr="00687E4A" w:rsidRDefault="00DC0058" w:rsidP="00AA0BD6">
      <w:r w:rsidRPr="00687E4A">
        <w:rPr>
          <w:b/>
        </w:rPr>
        <w:lastRenderedPageBreak/>
        <w:t>58,001</w:t>
      </w:r>
      <w:r w:rsidRPr="00687E4A">
        <w:t xml:space="preserve"> people visited </w:t>
      </w:r>
      <w:r w:rsidR="004B486B">
        <w:t>www.</w:t>
      </w:r>
      <w:r w:rsidRPr="00687E4A">
        <w:t xml:space="preserve">droneflyer.gov.au </w:t>
      </w:r>
    </w:p>
    <w:p w14:paraId="597FF392" w14:textId="77777777" w:rsidR="00F50078" w:rsidRPr="00687E4A" w:rsidRDefault="00F50078" w:rsidP="00AA0BD6">
      <w:r w:rsidRPr="00687E4A">
        <w:rPr>
          <w:b/>
        </w:rPr>
        <w:t>3,675</w:t>
      </w:r>
      <w:r w:rsidRPr="00687E4A">
        <w:t xml:space="preserve"> orders came through CASA’s online store</w:t>
      </w:r>
      <w:r w:rsidR="00630A0D">
        <w:t>.</w:t>
      </w:r>
      <w:r w:rsidRPr="00687E4A">
        <w:t xml:space="preserve"> </w:t>
      </w:r>
      <w:r w:rsidRPr="00687E4A">
        <w:rPr>
          <w:b/>
        </w:rPr>
        <w:t>45,714</w:t>
      </w:r>
      <w:r w:rsidRPr="00687E4A">
        <w:t xml:space="preserve"> items </w:t>
      </w:r>
      <w:r>
        <w:t xml:space="preserve">were </w:t>
      </w:r>
      <w:r w:rsidRPr="00687E4A">
        <w:t>dispatched</w:t>
      </w:r>
    </w:p>
    <w:p w14:paraId="1CB0009C" w14:textId="77777777" w:rsidR="00F50078" w:rsidRPr="00687E4A" w:rsidRDefault="00F50078" w:rsidP="00AA0BD6">
      <w:r w:rsidRPr="00687E4A">
        <w:rPr>
          <w:i/>
        </w:rPr>
        <w:t>Flight Safety Australia</w:t>
      </w:r>
      <w:r w:rsidRPr="00687E4A">
        <w:t xml:space="preserve"> </w:t>
      </w:r>
      <w:r>
        <w:t xml:space="preserve">was downloaded </w:t>
      </w:r>
      <w:r w:rsidRPr="00687E4A">
        <w:rPr>
          <w:b/>
        </w:rPr>
        <w:t>24,124</w:t>
      </w:r>
      <w:r w:rsidRPr="00687E4A">
        <w:t xml:space="preserve"> </w:t>
      </w:r>
      <w:r>
        <w:t>times</w:t>
      </w:r>
      <w:r w:rsidRPr="00687E4A">
        <w:t xml:space="preserve"> via the </w:t>
      </w:r>
      <w:r>
        <w:t>magazine</w:t>
      </w:r>
      <w:r w:rsidRPr="00687E4A">
        <w:t xml:space="preserve"> app </w:t>
      </w:r>
    </w:p>
    <w:p w14:paraId="27141F9D" w14:textId="77777777" w:rsidR="00F50078" w:rsidRPr="00687E4A" w:rsidRDefault="00F50078" w:rsidP="00AA0BD6">
      <w:r w:rsidRPr="00687E4A">
        <w:rPr>
          <w:b/>
        </w:rPr>
        <w:t>1</w:t>
      </w:r>
      <w:r w:rsidRPr="00687E4A">
        <w:t xml:space="preserve"> CASA employee </w:t>
      </w:r>
      <w:r>
        <w:t xml:space="preserve">was </w:t>
      </w:r>
      <w:r w:rsidRPr="00687E4A">
        <w:t xml:space="preserve">honoured for </w:t>
      </w:r>
      <w:r w:rsidRPr="00687E4A">
        <w:rPr>
          <w:b/>
        </w:rPr>
        <w:t>35</w:t>
      </w:r>
      <w:r w:rsidRPr="00687E4A">
        <w:t xml:space="preserve"> years of service, </w:t>
      </w:r>
      <w:r w:rsidRPr="00687E4A">
        <w:rPr>
          <w:b/>
        </w:rPr>
        <w:t>3</w:t>
      </w:r>
      <w:r w:rsidRPr="00687E4A">
        <w:t xml:space="preserve"> employees </w:t>
      </w:r>
      <w:r>
        <w:t xml:space="preserve">were </w:t>
      </w:r>
      <w:r w:rsidRPr="00687E4A">
        <w:t xml:space="preserve">honoured for </w:t>
      </w:r>
      <w:r w:rsidRPr="00687E4A">
        <w:rPr>
          <w:b/>
        </w:rPr>
        <w:t>25</w:t>
      </w:r>
      <w:r w:rsidRPr="00687E4A">
        <w:t xml:space="preserve"> years of service, and </w:t>
      </w:r>
      <w:r w:rsidRPr="00687E4A">
        <w:rPr>
          <w:b/>
        </w:rPr>
        <w:t>5</w:t>
      </w:r>
      <w:r w:rsidRPr="00687E4A">
        <w:t xml:space="preserve"> employees </w:t>
      </w:r>
      <w:r>
        <w:t xml:space="preserve">were </w:t>
      </w:r>
      <w:r w:rsidRPr="00687E4A">
        <w:t xml:space="preserve">honoured for </w:t>
      </w:r>
      <w:r w:rsidRPr="00687E4A">
        <w:rPr>
          <w:b/>
        </w:rPr>
        <w:t>20</w:t>
      </w:r>
      <w:r w:rsidRPr="00687E4A">
        <w:t xml:space="preserve"> years of service</w:t>
      </w:r>
    </w:p>
    <w:bookmarkEnd w:id="12"/>
    <w:bookmarkEnd w:id="13"/>
    <w:p w14:paraId="4A0D93B0" w14:textId="77777777" w:rsidR="00F50078" w:rsidRPr="00687E4A" w:rsidRDefault="00F50078" w:rsidP="00074CFF">
      <w:pPr>
        <w:pStyle w:val="Heading1noTOC"/>
        <w:rPr>
          <w:sz w:val="22"/>
          <w:szCs w:val="22"/>
        </w:rPr>
      </w:pPr>
      <w:r w:rsidRPr="00687E4A">
        <w:t>Interesting activities for 2017–18</w:t>
      </w:r>
    </w:p>
    <w:p w14:paraId="05E7B5FC" w14:textId="77777777" w:rsidR="00F50078" w:rsidRPr="00687E4A" w:rsidRDefault="003F0CC4" w:rsidP="00DA71E3">
      <w:r w:rsidRPr="00687E4A">
        <w:t xml:space="preserve">Supported the Commonwealth Games and </w:t>
      </w:r>
      <w:r>
        <w:t xml:space="preserve">the </w:t>
      </w:r>
      <w:r w:rsidRPr="00687E4A">
        <w:t>ASEAN</w:t>
      </w:r>
      <w:r>
        <w:t>–Australia Special Summit</w:t>
      </w:r>
      <w:r w:rsidRPr="00687E4A">
        <w:t xml:space="preserve"> with </w:t>
      </w:r>
      <w:r>
        <w:t>restricted drone</w:t>
      </w:r>
      <w:r w:rsidRPr="00687E4A">
        <w:t xml:space="preserve"> </w:t>
      </w:r>
      <w:r>
        <w:t>and protective airspace</w:t>
      </w:r>
      <w:r w:rsidRPr="00687E4A">
        <w:t xml:space="preserve"> measures</w:t>
      </w:r>
    </w:p>
    <w:p w14:paraId="253D3F5E" w14:textId="77777777" w:rsidR="00F50078" w:rsidRDefault="00F50078" w:rsidP="00DA71E3">
      <w:r w:rsidRPr="00687E4A">
        <w:t>Revised agreements with the Gliding Federation of Australia for high</w:t>
      </w:r>
      <w:r>
        <w:t>-</w:t>
      </w:r>
      <w:r w:rsidRPr="00687E4A">
        <w:t xml:space="preserve">altitude gliding operations known as </w:t>
      </w:r>
      <w:r>
        <w:t>w</w:t>
      </w:r>
      <w:r w:rsidRPr="00687E4A">
        <w:t xml:space="preserve">ave </w:t>
      </w:r>
      <w:r>
        <w:t>c</w:t>
      </w:r>
      <w:r w:rsidRPr="00687E4A">
        <w:t xml:space="preserve">amps, enabling speedy exemptions </w:t>
      </w:r>
      <w:r w:rsidR="00C747E9">
        <w:t>for competitions</w:t>
      </w:r>
    </w:p>
    <w:p w14:paraId="39B4C32E" w14:textId="77777777" w:rsidR="009C004C" w:rsidRPr="00687E4A" w:rsidRDefault="009C004C" w:rsidP="00DA71E3">
      <w:r>
        <w:t xml:space="preserve">Trialled the sector campaign surveillance methodology and tools on the </w:t>
      </w:r>
      <w:r w:rsidR="00AD007F">
        <w:t>s</w:t>
      </w:r>
      <w:r>
        <w:t xml:space="preserve">mall </w:t>
      </w:r>
      <w:r w:rsidR="00AD007F">
        <w:t>a</w:t>
      </w:r>
      <w:r>
        <w:t xml:space="preserve">eroplane </w:t>
      </w:r>
      <w:r w:rsidR="00AD007F">
        <w:t>t</w:t>
      </w:r>
      <w:r>
        <w:t xml:space="preserve">ransport and </w:t>
      </w:r>
      <w:r w:rsidR="00AD007F">
        <w:t>c</w:t>
      </w:r>
      <w:r>
        <w:t xml:space="preserve">ommercial </w:t>
      </w:r>
      <w:r w:rsidR="00AD007F">
        <w:t>b</w:t>
      </w:r>
      <w:r>
        <w:t>alloon sectors</w:t>
      </w:r>
      <w:r w:rsidR="00AD007F">
        <w:t>,</w:t>
      </w:r>
      <w:r>
        <w:t xml:space="preserve"> u</w:t>
      </w:r>
      <w:r w:rsidR="00AD007F">
        <w:t>sing</w:t>
      </w:r>
      <w:r>
        <w:t xml:space="preserve"> the learnings from each campaign to continually improve the approach to future campaigns</w:t>
      </w:r>
    </w:p>
    <w:p w14:paraId="66B080DE" w14:textId="77777777" w:rsidR="00F50078" w:rsidRPr="00687E4A" w:rsidRDefault="00EF73E8" w:rsidP="00DA71E3">
      <w:r w:rsidRPr="004D2DC2">
        <w:t xml:space="preserve">Ensured that a commercial </w:t>
      </w:r>
      <w:r w:rsidRPr="00AD007F">
        <w:t>drone</w:t>
      </w:r>
      <w:r w:rsidR="00AD007F" w:rsidRPr="00AD007F">
        <w:t xml:space="preserve"> </w:t>
      </w:r>
      <w:r w:rsidRPr="00AD007F">
        <w:t>delivery service was sa</w:t>
      </w:r>
      <w:r w:rsidRPr="004D2DC2">
        <w:t xml:space="preserve">fe to operate in the Canberra suburb of Bonython, including </w:t>
      </w:r>
      <w:r w:rsidR="00AD007F">
        <w:t xml:space="preserve">by </w:t>
      </w:r>
      <w:r w:rsidRPr="004D2DC2">
        <w:t>issuing permissions to fly over populous areas and beyond visual line of sight</w:t>
      </w:r>
    </w:p>
    <w:p w14:paraId="1C4CB797" w14:textId="77777777" w:rsidR="00F50078" w:rsidRPr="00687E4A" w:rsidRDefault="00CF0E35" w:rsidP="00DA71E3">
      <w:r w:rsidRPr="00CF0E35">
        <w:t>Established updated protective airspace architecture to support international space tracking in Canberra</w:t>
      </w:r>
      <w:r w:rsidR="00AD007F">
        <w:t>,</w:t>
      </w:r>
      <w:r w:rsidRPr="00CF0E35">
        <w:t xml:space="preserve"> to protect aircraft from high-intensity frequency operations whil</w:t>
      </w:r>
      <w:r w:rsidR="00AD007F">
        <w:t>e</w:t>
      </w:r>
      <w:r w:rsidRPr="00CF0E35">
        <w:t xml:space="preserve"> enabling general aviation and </w:t>
      </w:r>
      <w:r w:rsidR="00AD007F">
        <w:t>s</w:t>
      </w:r>
      <w:r w:rsidRPr="00CF0E35">
        <w:t>port aviation operations</w:t>
      </w:r>
    </w:p>
    <w:p w14:paraId="462BE7C2" w14:textId="77777777" w:rsidR="00F50078" w:rsidRPr="00687E4A" w:rsidRDefault="00F50078" w:rsidP="00DA71E3">
      <w:r w:rsidRPr="00687E4A">
        <w:t>Established new offshore helicopter procedures to support oil rig</w:t>
      </w:r>
      <w:r>
        <w:t xml:space="preserve"> operation</w:t>
      </w:r>
      <w:r w:rsidRPr="00687E4A">
        <w:t>s</w:t>
      </w:r>
    </w:p>
    <w:p w14:paraId="1D66D765" w14:textId="77777777" w:rsidR="00F50078" w:rsidRPr="00687E4A" w:rsidRDefault="00CF0E35" w:rsidP="00DA71E3">
      <w:r w:rsidRPr="00CF0E35">
        <w:t>Delivered positive safety outcome</w:t>
      </w:r>
      <w:r w:rsidR="00AD007F">
        <w:t>s</w:t>
      </w:r>
      <w:r w:rsidRPr="00CF0E35">
        <w:t xml:space="preserve"> to enable railway tunnelling under Perth Airport and above</w:t>
      </w:r>
      <w:r w:rsidR="00AD007F">
        <w:t>-</w:t>
      </w:r>
      <w:r w:rsidRPr="00CF0E35">
        <w:t>ground monitoring using lasers</w:t>
      </w:r>
    </w:p>
    <w:p w14:paraId="0D61EFF9" w14:textId="77777777" w:rsidR="00F50078" w:rsidRPr="00687E4A" w:rsidRDefault="00E92F9E" w:rsidP="00DA71E3">
      <w:r w:rsidRPr="00687E4A">
        <w:rPr>
          <w:rFonts w:eastAsia="Times New Roman"/>
          <w:lang w:eastAsia="en-AU"/>
        </w:rPr>
        <w:t xml:space="preserve">Assisted the Department of Industry, Innovation and Science </w:t>
      </w:r>
      <w:r>
        <w:rPr>
          <w:rFonts w:eastAsia="Times New Roman"/>
          <w:lang w:eastAsia="en-AU"/>
        </w:rPr>
        <w:t>to draft amendments to</w:t>
      </w:r>
      <w:r w:rsidRPr="00687E4A">
        <w:rPr>
          <w:rFonts w:eastAsia="Times New Roman"/>
          <w:lang w:eastAsia="en-AU"/>
        </w:rPr>
        <w:t xml:space="preserve"> the </w:t>
      </w:r>
      <w:r w:rsidRPr="00687E4A">
        <w:rPr>
          <w:rFonts w:eastAsia="Times New Roman"/>
          <w:i/>
          <w:lang w:eastAsia="en-AU"/>
        </w:rPr>
        <w:t>Space Activities Act 1998</w:t>
      </w:r>
      <w:r w:rsidRPr="00687E4A">
        <w:rPr>
          <w:rFonts w:eastAsia="Times New Roman"/>
          <w:lang w:eastAsia="en-AU"/>
        </w:rPr>
        <w:t xml:space="preserve"> to </w:t>
      </w:r>
      <w:r>
        <w:rPr>
          <w:rFonts w:eastAsia="Times New Roman"/>
          <w:lang w:eastAsia="en-AU"/>
        </w:rPr>
        <w:t>deal with</w:t>
      </w:r>
      <w:r w:rsidRPr="00687E4A">
        <w:rPr>
          <w:rFonts w:eastAsia="Times New Roman"/>
          <w:lang w:eastAsia="en-AU"/>
        </w:rPr>
        <w:t xml:space="preserve"> rocket launches below the trigger height of 100 k</w:t>
      </w:r>
      <w:r>
        <w:rPr>
          <w:rFonts w:eastAsia="Times New Roman"/>
          <w:lang w:eastAsia="en-AU"/>
        </w:rPr>
        <w:t>ilo</w:t>
      </w:r>
      <w:r w:rsidRPr="00687E4A">
        <w:rPr>
          <w:rFonts w:eastAsia="Times New Roman"/>
          <w:lang w:eastAsia="en-AU"/>
        </w:rPr>
        <w:t>m</w:t>
      </w:r>
      <w:r>
        <w:rPr>
          <w:rFonts w:eastAsia="Times New Roman"/>
          <w:lang w:eastAsia="en-AU"/>
        </w:rPr>
        <w:t>etres</w:t>
      </w:r>
    </w:p>
    <w:p w14:paraId="013FD25E" w14:textId="77777777" w:rsidR="00F50078" w:rsidRPr="00687E4A" w:rsidRDefault="00EF73E8" w:rsidP="00DA71E3">
      <w:r w:rsidRPr="004D2DC2">
        <w:rPr>
          <w:rFonts w:eastAsia="Times New Roman"/>
          <w:lang w:eastAsia="en-AU"/>
        </w:rPr>
        <w:t>Conducted complex assessments on proposed high-altitude pseudo-satellite drones that operate over 18 kilometres above the earth’s surface</w:t>
      </w:r>
    </w:p>
    <w:p w14:paraId="08760863" w14:textId="77777777" w:rsidR="00F50078" w:rsidRPr="00687E4A" w:rsidRDefault="00F50078" w:rsidP="00DA71E3">
      <w:pPr>
        <w:rPr>
          <w:rFonts w:eastAsia="Times New Roman"/>
          <w:lang w:eastAsia="en-AU"/>
        </w:rPr>
      </w:pPr>
      <w:r>
        <w:rPr>
          <w:rFonts w:eastAsia="Times New Roman"/>
          <w:lang w:eastAsia="en-AU"/>
        </w:rPr>
        <w:t xml:space="preserve">Commenced development of the regulatory framework for </w:t>
      </w:r>
      <w:r w:rsidRPr="00687E4A">
        <w:rPr>
          <w:rFonts w:eastAsia="Times New Roman"/>
          <w:lang w:eastAsia="en-AU"/>
        </w:rPr>
        <w:t>tiltrotor aircraft</w:t>
      </w:r>
      <w:r>
        <w:rPr>
          <w:rFonts w:eastAsia="Times New Roman"/>
          <w:lang w:eastAsia="en-AU"/>
        </w:rPr>
        <w:t xml:space="preserve"> –</w:t>
      </w:r>
      <w:r w:rsidRPr="00687E4A">
        <w:rPr>
          <w:rFonts w:eastAsia="Times New Roman"/>
          <w:lang w:eastAsia="en-AU"/>
        </w:rPr>
        <w:t xml:space="preserve"> which can take</w:t>
      </w:r>
      <w:r>
        <w:rPr>
          <w:rFonts w:eastAsia="Times New Roman"/>
          <w:lang w:eastAsia="en-AU"/>
        </w:rPr>
        <w:t xml:space="preserve"> </w:t>
      </w:r>
      <w:r w:rsidRPr="00687E4A">
        <w:rPr>
          <w:rFonts w:eastAsia="Times New Roman"/>
          <w:lang w:eastAsia="en-AU"/>
        </w:rPr>
        <w:t>off and land like a helicopter or an aeroplane and in flight have the faster speed and longer range of an aeroplane</w:t>
      </w:r>
      <w:r>
        <w:rPr>
          <w:rFonts w:eastAsia="Times New Roman"/>
          <w:lang w:eastAsia="en-AU"/>
        </w:rPr>
        <w:t xml:space="preserve"> – through p</w:t>
      </w:r>
      <w:r w:rsidRPr="00687E4A">
        <w:rPr>
          <w:rFonts w:eastAsia="Times New Roman"/>
          <w:lang w:eastAsia="en-AU"/>
        </w:rPr>
        <w:t xml:space="preserve">roposed Civil Aviation </w:t>
      </w:r>
      <w:r>
        <w:rPr>
          <w:rFonts w:eastAsia="Times New Roman"/>
          <w:lang w:eastAsia="en-AU"/>
        </w:rPr>
        <w:t xml:space="preserve">Safety </w:t>
      </w:r>
      <w:r w:rsidRPr="00687E4A">
        <w:rPr>
          <w:rFonts w:eastAsia="Times New Roman"/>
          <w:lang w:eastAsia="en-AU"/>
        </w:rPr>
        <w:t>Regulations Part 133</w:t>
      </w:r>
    </w:p>
    <w:p w14:paraId="332C8633" w14:textId="77777777" w:rsidR="00F50078" w:rsidRPr="00687E4A" w:rsidRDefault="00F50078" w:rsidP="00DA71E3">
      <w:pPr>
        <w:rPr>
          <w:rFonts w:eastAsia="Times New Roman"/>
          <w:lang w:eastAsia="en-AU"/>
        </w:rPr>
      </w:pPr>
      <w:r w:rsidRPr="00687E4A">
        <w:rPr>
          <w:rFonts w:eastAsia="Times New Roman"/>
          <w:lang w:eastAsia="en-AU"/>
        </w:rPr>
        <w:t xml:space="preserve">Participated in the Standards Australia committee </w:t>
      </w:r>
      <w:r>
        <w:rPr>
          <w:rFonts w:eastAsia="Times New Roman"/>
          <w:lang w:eastAsia="en-AU"/>
        </w:rPr>
        <w:t>that developed</w:t>
      </w:r>
      <w:r w:rsidRPr="00687E4A">
        <w:rPr>
          <w:rFonts w:eastAsia="Times New Roman"/>
          <w:lang w:eastAsia="en-AU"/>
        </w:rPr>
        <w:t xml:space="preserve"> a new standard for the marking of electrical towers and cables affecting low</w:t>
      </w:r>
      <w:r>
        <w:rPr>
          <w:rFonts w:eastAsia="Times New Roman"/>
          <w:lang w:eastAsia="en-AU"/>
        </w:rPr>
        <w:t>-</w:t>
      </w:r>
      <w:r w:rsidRPr="00687E4A">
        <w:rPr>
          <w:rFonts w:eastAsia="Times New Roman"/>
          <w:lang w:eastAsia="en-AU"/>
        </w:rPr>
        <w:t>flying aircraft</w:t>
      </w:r>
    </w:p>
    <w:p w14:paraId="4E251566" w14:textId="77777777" w:rsidR="00F50078" w:rsidRDefault="00F50078" w:rsidP="00DA71E3">
      <w:r w:rsidRPr="00687E4A">
        <w:t xml:space="preserve">Finalised an arrangement with the European Aviation Safety Agency </w:t>
      </w:r>
      <w:r>
        <w:t>under which</w:t>
      </w:r>
      <w:r w:rsidRPr="00687E4A">
        <w:t xml:space="preserve"> CASA</w:t>
      </w:r>
      <w:r>
        <w:t>’s</w:t>
      </w:r>
      <w:r w:rsidRPr="00687E4A">
        <w:t xml:space="preserve"> production approval</w:t>
      </w:r>
      <w:r>
        <w:t>s</w:t>
      </w:r>
      <w:r w:rsidRPr="00687E4A">
        <w:t xml:space="preserve"> of certain Australian aircraft manufacturers are automatically accepted in the Europe</w:t>
      </w:r>
      <w:r w:rsidR="00567359">
        <w:t>an</w:t>
      </w:r>
      <w:r>
        <w:t xml:space="preserve"> Union</w:t>
      </w:r>
    </w:p>
    <w:p w14:paraId="7FB2DB75" w14:textId="77777777" w:rsidR="00EF73E8" w:rsidRPr="00A7188C" w:rsidRDefault="00EF73E8" w:rsidP="00DA71E3">
      <w:pPr>
        <w:rPr>
          <w:rFonts w:eastAsia="Times New Roman"/>
          <w:lang w:eastAsia="en-AU"/>
        </w:rPr>
      </w:pPr>
      <w:r>
        <w:rPr>
          <w:rFonts w:eastAsia="Times New Roman"/>
          <w:lang w:eastAsia="en-AU"/>
        </w:rPr>
        <w:t>Approved Australia</w:t>
      </w:r>
      <w:r w:rsidR="005D0167">
        <w:rPr>
          <w:rFonts w:eastAsia="Times New Roman"/>
          <w:lang w:eastAsia="en-AU"/>
        </w:rPr>
        <w:t>’s</w:t>
      </w:r>
      <w:r>
        <w:rPr>
          <w:rFonts w:eastAsia="Times New Roman"/>
          <w:lang w:eastAsia="en-AU"/>
        </w:rPr>
        <w:t xml:space="preserve"> first trial of night </w:t>
      </w:r>
      <w:r w:rsidR="005D0167">
        <w:rPr>
          <w:rFonts w:eastAsia="Times New Roman"/>
          <w:lang w:eastAsia="en-AU"/>
        </w:rPr>
        <w:t>aerial</w:t>
      </w:r>
      <w:r>
        <w:rPr>
          <w:rFonts w:eastAsia="Times New Roman"/>
          <w:lang w:eastAsia="en-AU"/>
        </w:rPr>
        <w:t xml:space="preserve"> fire</w:t>
      </w:r>
      <w:r w:rsidR="005D0167">
        <w:rPr>
          <w:rFonts w:eastAsia="Times New Roman"/>
          <w:lang w:eastAsia="en-AU"/>
        </w:rPr>
        <w:t>fighting</w:t>
      </w:r>
      <w:r>
        <w:rPr>
          <w:rFonts w:eastAsia="Times New Roman"/>
          <w:lang w:eastAsia="en-AU"/>
        </w:rPr>
        <w:t xml:space="preserve"> operations</w:t>
      </w:r>
      <w:r w:rsidR="005D0167">
        <w:rPr>
          <w:rFonts w:eastAsia="Times New Roman"/>
          <w:lang w:eastAsia="en-AU"/>
        </w:rPr>
        <w:t>, including</w:t>
      </w:r>
      <w:r>
        <w:rPr>
          <w:rFonts w:eastAsia="Times New Roman"/>
          <w:lang w:eastAsia="en-AU"/>
        </w:rPr>
        <w:t xml:space="preserve"> </w:t>
      </w:r>
      <w:r w:rsidR="00524E1A">
        <w:rPr>
          <w:rFonts w:eastAsia="Times New Roman"/>
          <w:lang w:eastAsia="en-AU"/>
        </w:rPr>
        <w:t xml:space="preserve">a </w:t>
      </w:r>
      <w:r>
        <w:rPr>
          <w:rFonts w:eastAsia="Times New Roman"/>
          <w:lang w:eastAsia="en-AU"/>
        </w:rPr>
        <w:t>world</w:t>
      </w:r>
      <w:r w:rsidR="00524E1A">
        <w:rPr>
          <w:rFonts w:eastAsia="Times New Roman"/>
          <w:lang w:eastAsia="en-AU"/>
        </w:rPr>
        <w:t>-</w:t>
      </w:r>
      <w:r>
        <w:rPr>
          <w:rFonts w:eastAsia="Times New Roman"/>
          <w:lang w:eastAsia="en-AU"/>
        </w:rPr>
        <w:t xml:space="preserve">first </w:t>
      </w:r>
      <w:r w:rsidR="005D0167">
        <w:rPr>
          <w:rFonts w:eastAsia="Times New Roman"/>
          <w:lang w:eastAsia="en-AU"/>
        </w:rPr>
        <w:t xml:space="preserve">helicopter </w:t>
      </w:r>
      <w:r>
        <w:rPr>
          <w:rFonts w:eastAsia="Times New Roman"/>
          <w:lang w:eastAsia="en-AU"/>
        </w:rPr>
        <w:t>hover</w:t>
      </w:r>
      <w:r w:rsidR="005D0167">
        <w:rPr>
          <w:rFonts w:eastAsia="Times New Roman"/>
          <w:lang w:eastAsia="en-AU"/>
        </w:rPr>
        <w:t>-fill</w:t>
      </w:r>
      <w:r>
        <w:rPr>
          <w:rFonts w:eastAsia="Times New Roman"/>
          <w:lang w:eastAsia="en-AU"/>
        </w:rPr>
        <w:t xml:space="preserve"> from an open water source</w:t>
      </w:r>
    </w:p>
    <w:p w14:paraId="0B9A0128" w14:textId="77777777" w:rsidR="00E2713F" w:rsidRPr="006C0823" w:rsidRDefault="00E2713F" w:rsidP="006E2310"/>
    <w:p w14:paraId="2E2B1381" w14:textId="77777777" w:rsidR="00E2713F" w:rsidRPr="006C0823" w:rsidRDefault="00E2713F" w:rsidP="006E2310">
      <w:pPr>
        <w:sectPr w:rsidR="00E2713F" w:rsidRPr="006C0823" w:rsidSect="000035D2">
          <w:headerReference w:type="even" r:id="rId15"/>
          <w:headerReference w:type="default" r:id="rId16"/>
          <w:footerReference w:type="even" r:id="rId17"/>
          <w:footerReference w:type="default" r:id="rId18"/>
          <w:footerReference w:type="first" r:id="rId19"/>
          <w:pgSz w:w="11907" w:h="16840" w:code="9"/>
          <w:pgMar w:top="1134" w:right="1440" w:bottom="1440" w:left="1440" w:header="709" w:footer="709" w:gutter="0"/>
          <w:cols w:space="708"/>
          <w:docGrid w:linePitch="360"/>
        </w:sectPr>
      </w:pPr>
      <w:bookmarkStart w:id="14" w:name="_Toc306031120"/>
    </w:p>
    <w:p w14:paraId="459809A4" w14:textId="77777777" w:rsidR="00E2713F" w:rsidRPr="00687E4A" w:rsidRDefault="00E2713F">
      <w:pPr>
        <w:pStyle w:val="Heading0Part"/>
      </w:pPr>
      <w:bookmarkStart w:id="15" w:name="_Toc396917903"/>
      <w:bookmarkStart w:id="16" w:name="_Toc523924872"/>
      <w:r w:rsidRPr="00687E4A">
        <w:lastRenderedPageBreak/>
        <w:t>Part 1: Overview</w:t>
      </w:r>
      <w:bookmarkEnd w:id="15"/>
      <w:bookmarkEnd w:id="16"/>
    </w:p>
    <w:p w14:paraId="74B6A0E2" w14:textId="77777777" w:rsidR="00E2713F" w:rsidRPr="00687E4A" w:rsidRDefault="00E2713F">
      <w:pPr>
        <w:rPr>
          <w:lang w:eastAsia="en-AU"/>
        </w:rPr>
      </w:pPr>
      <w:r w:rsidRPr="00687E4A">
        <w:rPr>
          <w:lang w:eastAsia="en-AU"/>
        </w:rPr>
        <w:t xml:space="preserve">This part of the report provides an overview of the people, projects and resources involved in regulating aviation safety in Australia and progressing CASA’s vision of </w:t>
      </w:r>
      <w:r w:rsidRPr="00687E4A">
        <w:rPr>
          <w:i/>
        </w:rPr>
        <w:t>Safe skies for all</w:t>
      </w:r>
      <w:r w:rsidRPr="00687E4A">
        <w:t xml:space="preserve">. CASA’s </w:t>
      </w:r>
      <w:r w:rsidRPr="00687E4A">
        <w:rPr>
          <w:lang w:eastAsia="en-AU"/>
        </w:rPr>
        <w:t xml:space="preserve">key achievements in </w:t>
      </w:r>
      <w:r w:rsidR="00CC1BC2" w:rsidRPr="00687E4A">
        <w:rPr>
          <w:lang w:eastAsia="en-AU"/>
        </w:rPr>
        <w:t>201</w:t>
      </w:r>
      <w:r w:rsidR="00D56520" w:rsidRPr="00687E4A">
        <w:rPr>
          <w:lang w:eastAsia="en-AU"/>
        </w:rPr>
        <w:t>7</w:t>
      </w:r>
      <w:r w:rsidRPr="00687E4A">
        <w:rPr>
          <w:lang w:eastAsia="en-AU"/>
        </w:rPr>
        <w:t>–</w:t>
      </w:r>
      <w:r w:rsidR="00CC1BC2" w:rsidRPr="00687E4A">
        <w:rPr>
          <w:lang w:eastAsia="en-AU"/>
        </w:rPr>
        <w:t>1</w:t>
      </w:r>
      <w:r w:rsidR="00D56520" w:rsidRPr="00687E4A">
        <w:rPr>
          <w:lang w:eastAsia="en-AU"/>
        </w:rPr>
        <w:t>8</w:t>
      </w:r>
      <w:r w:rsidR="00CC1BC2" w:rsidRPr="00687E4A">
        <w:rPr>
          <w:lang w:eastAsia="en-AU"/>
        </w:rPr>
        <w:t xml:space="preserve"> </w:t>
      </w:r>
      <w:r w:rsidRPr="00687E4A">
        <w:rPr>
          <w:lang w:eastAsia="en-AU"/>
        </w:rPr>
        <w:t>are identified, along with some of the initiatives and challenges that lie ahead.</w:t>
      </w:r>
    </w:p>
    <w:p w14:paraId="1D46E2CF" w14:textId="77777777" w:rsidR="00E2713F" w:rsidRPr="00687E4A" w:rsidRDefault="00E2713F">
      <w:pPr>
        <w:pStyle w:val="BulletIntro"/>
        <w:rPr>
          <w:lang w:val="en-GB"/>
        </w:rPr>
      </w:pPr>
      <w:r w:rsidRPr="00687E4A">
        <w:rPr>
          <w:lang w:val="en-GB"/>
        </w:rPr>
        <w:t>In this part:</w:t>
      </w:r>
    </w:p>
    <w:p w14:paraId="4377D778" w14:textId="77777777" w:rsidR="00E2713F" w:rsidRPr="00687E4A" w:rsidRDefault="00E2713F">
      <w:pPr>
        <w:pStyle w:val="Bullet"/>
      </w:pPr>
      <w:r w:rsidRPr="00687E4A">
        <w:t>Message from the Chair of the Board</w:t>
      </w:r>
    </w:p>
    <w:p w14:paraId="6792003E" w14:textId="77777777" w:rsidR="00E2713F" w:rsidRPr="00687E4A" w:rsidRDefault="00E2713F">
      <w:pPr>
        <w:pStyle w:val="Bullet"/>
      </w:pPr>
      <w:r w:rsidRPr="00687E4A">
        <w:t>Review by the Director of Aviation Safety</w:t>
      </w:r>
    </w:p>
    <w:p w14:paraId="672028B5" w14:textId="77777777" w:rsidR="00E2713F" w:rsidRPr="00687E4A" w:rsidRDefault="00E2713F">
      <w:pPr>
        <w:pStyle w:val="BulletLast"/>
      </w:pPr>
      <w:r w:rsidRPr="00687E4A">
        <w:t>Financial summary</w:t>
      </w:r>
    </w:p>
    <w:p w14:paraId="57C68DF4" w14:textId="77777777" w:rsidR="00BD5968" w:rsidRPr="004A2CF5" w:rsidRDefault="00BD5968" w:rsidP="004A2CF5">
      <w:pPr>
        <w:pStyle w:val="Heading1"/>
      </w:pPr>
      <w:bookmarkStart w:id="17" w:name="_Toc396917904"/>
      <w:bookmarkStart w:id="18" w:name="_Toc523924873"/>
      <w:r w:rsidRPr="004A2CF5">
        <w:t>Message from the Chair of the Board</w:t>
      </w:r>
      <w:bookmarkEnd w:id="17"/>
      <w:bookmarkEnd w:id="18"/>
      <w:r w:rsidRPr="004A2CF5">
        <w:t xml:space="preserve"> </w:t>
      </w:r>
    </w:p>
    <w:p w14:paraId="7740C08C" w14:textId="77777777" w:rsidR="00BD5968" w:rsidRPr="00687E4A" w:rsidRDefault="00BD5968" w:rsidP="00BD5968">
      <w:pPr>
        <w:autoSpaceDE w:val="0"/>
        <w:autoSpaceDN w:val="0"/>
        <w:adjustRightInd w:val="0"/>
        <w:spacing w:after="0"/>
      </w:pPr>
      <w:r w:rsidRPr="00687E4A">
        <w:t>Since I joined the Board in 2014, the change in CASA has been remarkable</w:t>
      </w:r>
      <w:r>
        <w:t>.</w:t>
      </w:r>
      <w:r w:rsidRPr="00687E4A">
        <w:t xml:space="preserve"> I am pleased to report that the last 12 months continued along this line with a number of achievements to be proud of. </w:t>
      </w:r>
    </w:p>
    <w:p w14:paraId="0A27C52E" w14:textId="77777777" w:rsidR="00BD5968" w:rsidRPr="00687E4A" w:rsidRDefault="00BD5968" w:rsidP="00BD5968">
      <w:pPr>
        <w:pStyle w:val="Heading2noTOC"/>
        <w:rPr>
          <w:lang w:val="en-GB" w:eastAsia="en-AU"/>
        </w:rPr>
      </w:pPr>
      <w:r w:rsidRPr="00687E4A">
        <w:rPr>
          <w:lang w:val="en-GB" w:eastAsia="en-AU"/>
        </w:rPr>
        <w:t>Delivering results</w:t>
      </w:r>
    </w:p>
    <w:p w14:paraId="32C4352D" w14:textId="77777777" w:rsidR="00BD5968" w:rsidRDefault="00BD5968" w:rsidP="00BD5968">
      <w:r w:rsidRPr="00687E4A">
        <w:t xml:space="preserve">This report records a year of consolidation and progress, and one which has delivered a cultural shift to consider industry from a client service perspective. CASA is focused on delivering safety outcomes across industry and working hard to support all the sectors, including general aviation. </w:t>
      </w:r>
    </w:p>
    <w:p w14:paraId="2C38D36B" w14:textId="77777777" w:rsidR="00BD5968" w:rsidRPr="00687E4A" w:rsidRDefault="00BD5968" w:rsidP="00BD5968">
      <w:r w:rsidRPr="00687E4A">
        <w:t xml:space="preserve">Of course, there are significant cost and performance challenges which require us to continually improve and innovate. With the Board’s full support, </w:t>
      </w:r>
      <w:r w:rsidR="00A37963">
        <w:t xml:space="preserve">the </w:t>
      </w:r>
      <w:r w:rsidRPr="00687E4A">
        <w:t>C</w:t>
      </w:r>
      <w:r w:rsidR="00B56F3A">
        <w:t xml:space="preserve">hief </w:t>
      </w:r>
      <w:r w:rsidRPr="00687E4A">
        <w:t>E</w:t>
      </w:r>
      <w:r w:rsidR="00B56F3A">
        <w:t xml:space="preserve">xecutive </w:t>
      </w:r>
      <w:r w:rsidRPr="00687E4A">
        <w:t>O</w:t>
      </w:r>
      <w:r w:rsidR="00B56F3A">
        <w:t>fficer</w:t>
      </w:r>
      <w:r w:rsidR="00A37963">
        <w:t xml:space="preserve"> and </w:t>
      </w:r>
      <w:r w:rsidRPr="00687E4A">
        <w:t>D</w:t>
      </w:r>
      <w:r w:rsidR="00A37963">
        <w:t>irector of Aviation Safety,</w:t>
      </w:r>
      <w:r w:rsidRPr="00687E4A">
        <w:t xml:space="preserve"> </w:t>
      </w:r>
      <w:r w:rsidR="002C13D5">
        <w:t xml:space="preserve">Mr </w:t>
      </w:r>
      <w:r w:rsidRPr="00687E4A">
        <w:t>Shane Carmody</w:t>
      </w:r>
      <w:r w:rsidR="00A37963">
        <w:t>,</w:t>
      </w:r>
      <w:r w:rsidRPr="00687E4A">
        <w:t xml:space="preserve"> has been driving significant change in how CASA operates and behaves. This year we introduced the Service Delivery Transformation pro</w:t>
      </w:r>
      <w:r>
        <w:t>gram</w:t>
      </w:r>
      <w:r w:rsidRPr="00687E4A">
        <w:t>, which sets out the blueprint for change and how the organisation is becoming more relentlessly customer focused and making itself more efficient and streamlined in accordance with government policy.</w:t>
      </w:r>
    </w:p>
    <w:p w14:paraId="1B138212" w14:textId="77777777" w:rsidR="00BD5968" w:rsidRPr="00687E4A" w:rsidRDefault="00BD5968" w:rsidP="00BD5968">
      <w:r w:rsidRPr="00687E4A">
        <w:t xml:space="preserve">Many of this year’s reforms and achievements have made it easier to do business with CASA. CASA focused on enhancing its collaboration with industry and created the new Aviation Safety Advisory Panel (ASAP) to provide a direct line to CASA. The representation across all sectors provides industry with a clear voice and an appropriate mechanism to provide input to CASA’s decision-making processes. </w:t>
      </w:r>
    </w:p>
    <w:p w14:paraId="5671A9FB" w14:textId="77777777" w:rsidR="00BD5968" w:rsidRPr="00687E4A" w:rsidRDefault="00E92F9E" w:rsidP="00BD5968">
      <w:r w:rsidRPr="00687E4A">
        <w:t>The aviation medical reforms introduced this year should support general aviation by allowing a Class 2 medical certificate as an option for pilots operating commercial flights that do not carry passengers. Designated aviation medical examiners now have the option to issue Class 2 medical certificates on the spot for non-complex medical</w:t>
      </w:r>
      <w:r>
        <w:t xml:space="preserve"> applications</w:t>
      </w:r>
      <w:r w:rsidRPr="00687E4A">
        <w:t>. The introduction of the Basic Class 2 medical certificate allows private pilots to be issued a medical certificate based on the Austroads commercial vehicle standards.</w:t>
      </w:r>
    </w:p>
    <w:p w14:paraId="6192D9EC" w14:textId="77777777" w:rsidR="00BD5968" w:rsidRPr="00687E4A" w:rsidRDefault="00BD5968" w:rsidP="00BD5968">
      <w:r w:rsidRPr="00687E4A">
        <w:t>I was pleased that we could deliver the independent review of the fatigue management rule set that will lead to finalisation of C</w:t>
      </w:r>
      <w:r>
        <w:t xml:space="preserve">ivil </w:t>
      </w:r>
      <w:r w:rsidRPr="00687E4A">
        <w:t>A</w:t>
      </w:r>
      <w:r>
        <w:t xml:space="preserve">viation </w:t>
      </w:r>
      <w:r w:rsidRPr="00687E4A">
        <w:t>O</w:t>
      </w:r>
      <w:r>
        <w:t>rder</w:t>
      </w:r>
      <w:r w:rsidRPr="00687E4A">
        <w:t xml:space="preserve"> 48.1. I was also pleased with the new top six safety ranking given to Australia by the International Civil Aviation Organization (ICAO). The ranking follows the latest ICAO audit of Australia's aviation </w:t>
      </w:r>
      <w:r w:rsidRPr="00687E4A">
        <w:lastRenderedPageBreak/>
        <w:t>safety system</w:t>
      </w:r>
      <w:r>
        <w:t>, conducted</w:t>
      </w:r>
      <w:r w:rsidRPr="00687E4A">
        <w:t xml:space="preserve"> in late 2017. The audit delivered a 95 per cent safety oversight score, a benchmark that CASA will seek to maintain. </w:t>
      </w:r>
    </w:p>
    <w:p w14:paraId="59BF2779" w14:textId="77777777" w:rsidR="00BD5968" w:rsidRPr="00687E4A" w:rsidRDefault="002C13D5" w:rsidP="00BD5968">
      <w:r>
        <w:t>S</w:t>
      </w:r>
      <w:r w:rsidR="00BD5968" w:rsidRPr="00687E4A">
        <w:t>urveillance findings are now being presented in a more useful format</w:t>
      </w:r>
      <w:r>
        <w:t xml:space="preserve"> for industry</w:t>
      </w:r>
      <w:r w:rsidR="00BD5968" w:rsidRPr="00687E4A">
        <w:t xml:space="preserve"> and CASA is taking a proactive approach to sharing information as part of its surveillance activity. The three levels of surveillance findings – safety alerts, safety findings and safety observations – remove the negativity previously associated with noncompliance notices and will foster improved collaboration between industry members and the regulator. </w:t>
      </w:r>
    </w:p>
    <w:p w14:paraId="155A26A6" w14:textId="77777777" w:rsidR="00BD5968" w:rsidRPr="00687E4A" w:rsidRDefault="00BD5968" w:rsidP="00BD5968">
      <w:r w:rsidRPr="00687E4A">
        <w:t xml:space="preserve">This collaborative approach has also delivered satisfactory outcomes in areas such as </w:t>
      </w:r>
      <w:r>
        <w:t xml:space="preserve">the </w:t>
      </w:r>
      <w:r w:rsidRPr="00687E4A">
        <w:t>introduc</w:t>
      </w:r>
      <w:r>
        <w:t>tion of</w:t>
      </w:r>
      <w:r w:rsidRPr="00687E4A">
        <w:t xml:space="preserve"> new radio procedures for use in low-level </w:t>
      </w:r>
      <w:r>
        <w:t>C</w:t>
      </w:r>
      <w:r w:rsidRPr="00687E4A">
        <w:t>lass G airspace</w:t>
      </w:r>
      <w:r>
        <w:t>,</w:t>
      </w:r>
      <w:r w:rsidRPr="00687E4A">
        <w:t xml:space="preserve"> and successful consultation on options for low</w:t>
      </w:r>
      <w:r>
        <w:t>-</w:t>
      </w:r>
      <w:r w:rsidRPr="00687E4A">
        <w:t xml:space="preserve">cost ADS-B and use of the MULTICOM frequency as the common low-level </w:t>
      </w:r>
      <w:r>
        <w:t>C</w:t>
      </w:r>
      <w:r w:rsidRPr="00687E4A">
        <w:t>lass G frequency below 5</w:t>
      </w:r>
      <w:r>
        <w:t>,</w:t>
      </w:r>
      <w:r w:rsidRPr="00687E4A">
        <w:t>000 feet. The views of the aviation community, particularly</w:t>
      </w:r>
      <w:r>
        <w:t xml:space="preserve"> in</w:t>
      </w:r>
      <w:r w:rsidRPr="00687E4A">
        <w:t xml:space="preserve"> general aviation, were sought and considered.</w:t>
      </w:r>
    </w:p>
    <w:p w14:paraId="3E89720A" w14:textId="77777777" w:rsidR="00BD5968" w:rsidRPr="00687E4A" w:rsidRDefault="00BD5968" w:rsidP="00BD5968">
      <w:pPr>
        <w:pStyle w:val="Heading2noTOC"/>
        <w:rPr>
          <w:lang w:val="en-GB" w:eastAsia="en-AU"/>
        </w:rPr>
      </w:pPr>
      <w:r w:rsidRPr="00687E4A">
        <w:rPr>
          <w:lang w:val="en-GB" w:eastAsia="en-AU"/>
        </w:rPr>
        <w:t>Working collaboratively and recognising challenges</w:t>
      </w:r>
    </w:p>
    <w:p w14:paraId="39E8CB44" w14:textId="77777777" w:rsidR="00BD5968" w:rsidRDefault="00BD5968" w:rsidP="00BD5968">
      <w:r w:rsidRPr="00687E4A">
        <w:t>I would like to thank all the staff in CASA and members of the aviation community, for working hard to collaborate in a respectful way, to understand and appreciate the roles and views of all parties and</w:t>
      </w:r>
      <w:r>
        <w:t>,</w:t>
      </w:r>
      <w:r w:rsidRPr="00687E4A">
        <w:t xml:space="preserve"> most importantly, to work together to ensure </w:t>
      </w:r>
      <w:r>
        <w:t xml:space="preserve">that </w:t>
      </w:r>
      <w:r w:rsidRPr="00687E4A">
        <w:t>Australia’s enviable safety record is maintained and the future viability of th</w:t>
      </w:r>
      <w:r>
        <w:t>e</w:t>
      </w:r>
      <w:r w:rsidRPr="00687E4A">
        <w:t xml:space="preserve"> industry </w:t>
      </w:r>
      <w:r>
        <w:t xml:space="preserve">that </w:t>
      </w:r>
      <w:r w:rsidRPr="00687E4A">
        <w:t xml:space="preserve">we all enjoy is protected and sustained. There has been strong growth in sport and recreational aircraft and I hope that some of the changes that I have previously mentioned </w:t>
      </w:r>
      <w:r w:rsidR="00D046EE">
        <w:t>may</w:t>
      </w:r>
      <w:r w:rsidRPr="00687E4A">
        <w:t xml:space="preserve"> help to arrest the decline in general aviation operations. </w:t>
      </w:r>
    </w:p>
    <w:p w14:paraId="32CABD2E" w14:textId="77777777" w:rsidR="00BD5968" w:rsidRPr="00687E4A" w:rsidRDefault="00BD5968" w:rsidP="00BD5968">
      <w:r w:rsidRPr="00687E4A">
        <w:t xml:space="preserve">Clearly there are a number of challenges that remain, including </w:t>
      </w:r>
      <w:r>
        <w:t xml:space="preserve">ensuring </w:t>
      </w:r>
      <w:r w:rsidRPr="00687E4A">
        <w:t xml:space="preserve">appropriate access to airspace and infrastructure and overcoming the pilot and aviation engineer shortage. While there are risks that need to be managed, the health of the industry will only be achieved through a respectful, transparent and trustworthy relationship with its regulator. I and the Board are confident </w:t>
      </w:r>
      <w:r>
        <w:t xml:space="preserve">that </w:t>
      </w:r>
      <w:r w:rsidRPr="00687E4A">
        <w:t xml:space="preserve">the risks will be met, and challenges overcome. We all need to encourage young people into the profession to ensure </w:t>
      </w:r>
      <w:r>
        <w:t xml:space="preserve">that </w:t>
      </w:r>
      <w:r w:rsidRPr="00687E4A">
        <w:t xml:space="preserve">this industry becomes vibrant once again. </w:t>
      </w:r>
    </w:p>
    <w:p w14:paraId="26C86082" w14:textId="77777777" w:rsidR="00BD5968" w:rsidRPr="00687E4A" w:rsidRDefault="00BD5968" w:rsidP="00BD5968">
      <w:pPr>
        <w:pStyle w:val="Heading2noTOC"/>
        <w:rPr>
          <w:lang w:val="en-GB" w:eastAsia="en-AU"/>
        </w:rPr>
      </w:pPr>
      <w:r w:rsidRPr="00687E4A">
        <w:rPr>
          <w:lang w:val="en-GB" w:eastAsia="en-AU"/>
        </w:rPr>
        <w:t>Acknowledgements</w:t>
      </w:r>
    </w:p>
    <w:p w14:paraId="702B2A0C" w14:textId="77777777" w:rsidR="00BD5968" w:rsidRDefault="00BD5968" w:rsidP="00BD5968">
      <w:r w:rsidRPr="00687E4A">
        <w:t xml:space="preserve">I need to acknowledge a number of people in what will be my last message as Chair of the CASA Board. First and foremost, I must acknowledge the staff at CASA who, despite suffering a </w:t>
      </w:r>
      <w:r w:rsidR="00D046EE">
        <w:t>degre</w:t>
      </w:r>
      <w:r w:rsidRPr="00687E4A">
        <w:t xml:space="preserve">e of criticism from industry at times, work tirelessly with the best intentions </w:t>
      </w:r>
      <w:r>
        <w:t>for</w:t>
      </w:r>
      <w:r w:rsidRPr="00687E4A">
        <w:t xml:space="preserve"> the aviation industry at heart. </w:t>
      </w:r>
    </w:p>
    <w:p w14:paraId="42F911DC" w14:textId="77777777" w:rsidR="00BD5968" w:rsidRDefault="00BD5968" w:rsidP="00BD5968">
      <w:r w:rsidRPr="00687E4A">
        <w:t>I acknowledge the passion and commitment of all industry representatives and trust that CASA as the regulator is improving the way it does its business according to its regulatory philosophy and has maintained a respectful relationship in its dealing</w:t>
      </w:r>
      <w:r>
        <w:t>s</w:t>
      </w:r>
      <w:r w:rsidRPr="00687E4A">
        <w:t xml:space="preserve"> with industry members. </w:t>
      </w:r>
    </w:p>
    <w:p w14:paraId="682EF65E" w14:textId="77777777" w:rsidR="00BD5968" w:rsidRDefault="00BD5968" w:rsidP="00BD5968">
      <w:r w:rsidRPr="00687E4A">
        <w:t xml:space="preserve">Our work program and outcomes achieved for the year are significant and would not have been possible without the close working relationship we have with the Minister </w:t>
      </w:r>
      <w:r>
        <w:t>for</w:t>
      </w:r>
      <w:r w:rsidRPr="00687E4A">
        <w:t xml:space="preserve"> Infrastructure</w:t>
      </w:r>
      <w:r w:rsidR="00194D55">
        <w:t>, Tra</w:t>
      </w:r>
      <w:r w:rsidRPr="00687E4A">
        <w:t>nsport</w:t>
      </w:r>
      <w:r w:rsidR="00194D55">
        <w:t xml:space="preserve"> and Regional Development</w:t>
      </w:r>
      <w:r w:rsidRPr="00687E4A">
        <w:t xml:space="preserve"> and </w:t>
      </w:r>
      <w:r>
        <w:t>m</w:t>
      </w:r>
      <w:r w:rsidRPr="00687E4A">
        <w:t xml:space="preserve">inistry officials. </w:t>
      </w:r>
    </w:p>
    <w:p w14:paraId="6CAE5EFE" w14:textId="77777777" w:rsidR="00BD5968" w:rsidRPr="00687E4A" w:rsidRDefault="00BD5968" w:rsidP="00BD5968">
      <w:r w:rsidRPr="00687E4A">
        <w:t>And finally, I acknowledge the commitment and support of my past and present board members</w:t>
      </w:r>
      <w:r>
        <w:t>,</w:t>
      </w:r>
      <w:r w:rsidRPr="00687E4A">
        <w:t xml:space="preserve"> who have worked with me to demand change</w:t>
      </w:r>
      <w:r>
        <w:t>.</w:t>
      </w:r>
      <w:r w:rsidRPr="00687E4A">
        <w:t xml:space="preserve"> I hope I have left the organisation in a stronger position than when I began.</w:t>
      </w:r>
    </w:p>
    <w:p w14:paraId="787F3739" w14:textId="77777777" w:rsidR="00BD5968" w:rsidRPr="00687E4A" w:rsidRDefault="00BD5968" w:rsidP="00BD5968">
      <w:r w:rsidRPr="00687E4A">
        <w:lastRenderedPageBreak/>
        <w:t>A positive and collaborative approach will provide solutions. I remain as passionate about this industry as ever and am confident that all challenges will be met head on.</w:t>
      </w:r>
    </w:p>
    <w:p w14:paraId="437676C6" w14:textId="77777777" w:rsidR="00BD5968" w:rsidRPr="00687E4A" w:rsidRDefault="00BD5968" w:rsidP="00BD5968">
      <w:r w:rsidRPr="00687E4A">
        <w:t>Safe flying.</w:t>
      </w:r>
    </w:p>
    <w:p w14:paraId="410B07C6" w14:textId="77777777" w:rsidR="00BD5968" w:rsidRPr="00687E4A" w:rsidRDefault="00BD5968" w:rsidP="00BD5968">
      <w:pPr>
        <w:spacing w:after="0"/>
      </w:pPr>
    </w:p>
    <w:p w14:paraId="5F360215" w14:textId="77777777" w:rsidR="00BD5968" w:rsidRPr="006C0823" w:rsidRDefault="00BD5968" w:rsidP="00BD5968">
      <w:pPr>
        <w:rPr>
          <w:rFonts w:cs="Arial"/>
        </w:rPr>
      </w:pPr>
      <w:r w:rsidRPr="00CC0E8C">
        <w:t>Jeff Boyd</w:t>
      </w:r>
      <w:r w:rsidRPr="00CC0E8C">
        <w:br/>
      </w:r>
      <w:r w:rsidRPr="00687E4A">
        <w:t>Chair of the CASA Board</w:t>
      </w:r>
    </w:p>
    <w:p w14:paraId="35FAC096" w14:textId="154BDF6F" w:rsidR="00BD5968" w:rsidRPr="006C0823" w:rsidRDefault="00BD5968" w:rsidP="00BD5968">
      <w:pPr>
        <w:pStyle w:val="Heading1"/>
        <w:rPr>
          <w:lang w:val="en-GB"/>
        </w:rPr>
      </w:pPr>
      <w:bookmarkStart w:id="19" w:name="_Toc396917905"/>
      <w:bookmarkStart w:id="20" w:name="_Toc523924874"/>
      <w:bookmarkStart w:id="21" w:name="_Hlk523471421"/>
      <w:r w:rsidRPr="006C0823">
        <w:rPr>
          <w:lang w:val="en-GB"/>
        </w:rPr>
        <w:t>Review by the Director of Aviation Safety</w:t>
      </w:r>
      <w:bookmarkEnd w:id="19"/>
      <w:bookmarkEnd w:id="20"/>
    </w:p>
    <w:p w14:paraId="6FBB15FA" w14:textId="77777777" w:rsidR="00BD5968" w:rsidRDefault="00BD5968" w:rsidP="00BD5968">
      <w:r>
        <w:t xml:space="preserve">The 2017–18 reporting period saw CASA deliver significant results, including a revised focus on consultation with key aviation stakeholders, progress on simplifying aviation medical processes, and an ongoing focus on the challenges associated with remotely piloted aircraft systems. </w:t>
      </w:r>
    </w:p>
    <w:p w14:paraId="77470FB4" w14:textId="77777777" w:rsidR="00BD5968" w:rsidRDefault="00BD5968" w:rsidP="00BD5968">
      <w:r>
        <w:t xml:space="preserve">We considerably advanced our international standing through strong results from the International Civil Aviation Organization </w:t>
      </w:r>
      <w:r w:rsidR="009E5A50">
        <w:t xml:space="preserve">(ICAO) </w:t>
      </w:r>
      <w:r>
        <w:t xml:space="preserve">audit. We also streamlined and improved the way we communicate and undertake consultation through the establishment of CASA’s Aviation Safety Advisory Panel </w:t>
      </w:r>
      <w:r w:rsidR="00A14E78">
        <w:t xml:space="preserve">(ASAP) </w:t>
      </w:r>
      <w:r>
        <w:t>and consultation hub. In addition, we simplified the processes for aviation medicals and continued to manage a high level of activity in the remotely piloted aircraft systems s</w:t>
      </w:r>
      <w:r w:rsidR="00A14E78">
        <w:t>ector</w:t>
      </w:r>
      <w:r>
        <w:t>, facilitated by the establishment of a dedicated branch within CASA and additional resources allocated through the 2018–19 Budget process.</w:t>
      </w:r>
    </w:p>
    <w:p w14:paraId="7C325E34" w14:textId="77777777" w:rsidR="00BD5968" w:rsidRPr="006C0823" w:rsidRDefault="00BD5968" w:rsidP="00BD5968">
      <w:r>
        <w:t>The following achievements are worthy of note for 2017–18.</w:t>
      </w:r>
    </w:p>
    <w:p w14:paraId="3354EDCC" w14:textId="77777777" w:rsidR="00BD5968" w:rsidRPr="006C0823" w:rsidRDefault="00BD5968" w:rsidP="00BD5968">
      <w:pPr>
        <w:pStyle w:val="Heading2"/>
        <w:rPr>
          <w:lang w:val="en-GB"/>
        </w:rPr>
      </w:pPr>
      <w:r>
        <w:rPr>
          <w:lang w:val="en-GB"/>
        </w:rPr>
        <w:t xml:space="preserve">International Civil Aviation Organization </w:t>
      </w:r>
      <w:r w:rsidR="00A14E78">
        <w:rPr>
          <w:lang w:val="en-GB"/>
        </w:rPr>
        <w:t xml:space="preserve">coordinated </w:t>
      </w:r>
      <w:r w:rsidR="0042104E">
        <w:rPr>
          <w:lang w:val="en-GB"/>
        </w:rPr>
        <w:t xml:space="preserve">validation </w:t>
      </w:r>
      <w:r w:rsidR="00A14E78">
        <w:rPr>
          <w:lang w:val="en-GB"/>
        </w:rPr>
        <w:t>mission</w:t>
      </w:r>
    </w:p>
    <w:p w14:paraId="5C337D28" w14:textId="77777777" w:rsidR="00BD5968" w:rsidRPr="00A95E01" w:rsidRDefault="00BD5968" w:rsidP="00BD5968">
      <w:pPr>
        <w:shd w:val="clear" w:color="auto" w:fill="FFFFFF"/>
        <w:spacing w:before="120"/>
        <w:textAlignment w:val="top"/>
        <w:rPr>
          <w:rFonts w:eastAsia="Times New Roman" w:cs="Calibri"/>
          <w:color w:val="212121"/>
          <w:spacing w:val="3"/>
          <w:lang w:eastAsia="en-AU"/>
        </w:rPr>
      </w:pPr>
      <w:r w:rsidRPr="00A95E01">
        <w:rPr>
          <w:rFonts w:cs="Calibri"/>
        </w:rPr>
        <w:t xml:space="preserve">Staff across CASA put considerable effort into preparing for the </w:t>
      </w:r>
      <w:r w:rsidRPr="00A95E01">
        <w:rPr>
          <w:rFonts w:eastAsia="Times New Roman" w:cs="Calibri"/>
          <w:color w:val="212121"/>
          <w:spacing w:val="3"/>
          <w:lang w:eastAsia="en-AU"/>
        </w:rPr>
        <w:t xml:space="preserve">ICAO </w:t>
      </w:r>
      <w:r>
        <w:rPr>
          <w:rFonts w:eastAsia="Times New Roman" w:cs="Calibri"/>
          <w:color w:val="212121"/>
          <w:spacing w:val="3"/>
          <w:lang w:eastAsia="en-AU"/>
        </w:rPr>
        <w:t>c</w:t>
      </w:r>
      <w:r w:rsidRPr="00A95E01">
        <w:rPr>
          <w:rFonts w:eastAsia="Times New Roman" w:cs="Calibri"/>
          <w:color w:val="212121"/>
          <w:spacing w:val="3"/>
          <w:lang w:eastAsia="en-AU"/>
        </w:rPr>
        <w:t xml:space="preserve">oordinated </w:t>
      </w:r>
      <w:r>
        <w:rPr>
          <w:rFonts w:eastAsia="Times New Roman" w:cs="Calibri"/>
          <w:color w:val="212121"/>
          <w:spacing w:val="3"/>
          <w:lang w:eastAsia="en-AU"/>
        </w:rPr>
        <w:t>v</w:t>
      </w:r>
      <w:r w:rsidRPr="00A95E01">
        <w:rPr>
          <w:rFonts w:eastAsia="Times New Roman" w:cs="Calibri"/>
          <w:color w:val="212121"/>
          <w:spacing w:val="3"/>
          <w:lang w:eastAsia="en-AU"/>
        </w:rPr>
        <w:t xml:space="preserve">alidation </w:t>
      </w:r>
      <w:r>
        <w:rPr>
          <w:rFonts w:eastAsia="Times New Roman" w:cs="Calibri"/>
          <w:color w:val="212121"/>
          <w:spacing w:val="3"/>
          <w:lang w:eastAsia="en-AU"/>
        </w:rPr>
        <w:t>m</w:t>
      </w:r>
      <w:r w:rsidRPr="00A95E01">
        <w:rPr>
          <w:rFonts w:eastAsia="Times New Roman" w:cs="Calibri"/>
          <w:color w:val="212121"/>
          <w:spacing w:val="3"/>
          <w:lang w:eastAsia="en-AU"/>
        </w:rPr>
        <w:t xml:space="preserve">ission </w:t>
      </w:r>
      <w:r w:rsidR="009D6DA9">
        <w:rPr>
          <w:rFonts w:eastAsia="Times New Roman" w:cs="Calibri"/>
          <w:color w:val="212121"/>
          <w:spacing w:val="3"/>
          <w:lang w:eastAsia="en-AU"/>
        </w:rPr>
        <w:t xml:space="preserve">(ICVM) </w:t>
      </w:r>
      <w:r w:rsidRPr="00A95E01">
        <w:rPr>
          <w:rFonts w:eastAsia="Times New Roman" w:cs="Calibri"/>
          <w:color w:val="212121"/>
          <w:spacing w:val="3"/>
          <w:lang w:eastAsia="en-AU"/>
        </w:rPr>
        <w:t xml:space="preserve">which took place in Canberra from 9 to 13 October 2017. This work started back in April 2017 and involved people across many disciplines working closely together in what was a demanding period. </w:t>
      </w:r>
    </w:p>
    <w:p w14:paraId="3E553D66" w14:textId="77777777" w:rsidR="00BD5968" w:rsidRPr="00A95E01" w:rsidRDefault="00BD5968" w:rsidP="00BD5968">
      <w:pPr>
        <w:shd w:val="clear" w:color="auto" w:fill="FFFFFF"/>
        <w:spacing w:before="120"/>
        <w:textAlignment w:val="top"/>
        <w:rPr>
          <w:rFonts w:eastAsia="Times New Roman" w:cs="Calibri"/>
          <w:color w:val="212121"/>
          <w:spacing w:val="3"/>
          <w:lang w:eastAsia="en-AU"/>
        </w:rPr>
      </w:pPr>
      <w:r w:rsidRPr="00A95E01">
        <w:rPr>
          <w:rFonts w:eastAsia="Times New Roman" w:cs="Calibri"/>
          <w:color w:val="212121"/>
          <w:spacing w:val="3"/>
          <w:lang w:eastAsia="en-AU"/>
        </w:rPr>
        <w:t xml:space="preserve">The purpose of the </w:t>
      </w:r>
      <w:r w:rsidR="009D6DA9">
        <w:rPr>
          <w:rFonts w:eastAsia="Times New Roman" w:cs="Calibri"/>
          <w:color w:val="212121"/>
          <w:spacing w:val="3"/>
          <w:lang w:eastAsia="en-AU"/>
        </w:rPr>
        <w:t xml:space="preserve">ICVM </w:t>
      </w:r>
      <w:r w:rsidRPr="00A95E01">
        <w:rPr>
          <w:rFonts w:eastAsia="Times New Roman" w:cs="Calibri"/>
          <w:color w:val="212121"/>
          <w:spacing w:val="3"/>
          <w:lang w:eastAsia="en-AU"/>
        </w:rPr>
        <w:t xml:space="preserve">was to evaluate the progress made by Australia in resolving findings and recommendations made by ICAO on the safety oversight audit conducted on Australia in February 2008 under the </w:t>
      </w:r>
      <w:r>
        <w:rPr>
          <w:rFonts w:eastAsia="Times New Roman" w:cs="Calibri"/>
          <w:color w:val="212121"/>
          <w:spacing w:val="3"/>
          <w:lang w:eastAsia="en-AU"/>
        </w:rPr>
        <w:t>U</w:t>
      </w:r>
      <w:r w:rsidRPr="00A95E01">
        <w:rPr>
          <w:rFonts w:eastAsia="Times New Roman" w:cs="Calibri"/>
          <w:color w:val="212121"/>
          <w:spacing w:val="3"/>
          <w:lang w:eastAsia="en-AU"/>
        </w:rPr>
        <w:t xml:space="preserve">niversal </w:t>
      </w:r>
      <w:r>
        <w:rPr>
          <w:rFonts w:eastAsia="Times New Roman" w:cs="Calibri"/>
          <w:color w:val="212121"/>
          <w:spacing w:val="3"/>
          <w:lang w:eastAsia="en-AU"/>
        </w:rPr>
        <w:t>S</w:t>
      </w:r>
      <w:r w:rsidRPr="00A95E01">
        <w:rPr>
          <w:rFonts w:eastAsia="Times New Roman" w:cs="Calibri"/>
          <w:color w:val="212121"/>
          <w:spacing w:val="3"/>
          <w:lang w:eastAsia="en-AU"/>
        </w:rPr>
        <w:t xml:space="preserve">afety </w:t>
      </w:r>
      <w:r>
        <w:rPr>
          <w:rFonts w:eastAsia="Times New Roman" w:cs="Calibri"/>
          <w:color w:val="212121"/>
          <w:spacing w:val="3"/>
          <w:lang w:eastAsia="en-AU"/>
        </w:rPr>
        <w:t>O</w:t>
      </w:r>
      <w:r w:rsidRPr="00A95E01">
        <w:rPr>
          <w:rFonts w:eastAsia="Times New Roman" w:cs="Calibri"/>
          <w:color w:val="212121"/>
          <w:spacing w:val="3"/>
          <w:lang w:eastAsia="en-AU"/>
        </w:rPr>
        <w:t xml:space="preserve">versight </w:t>
      </w:r>
      <w:r>
        <w:rPr>
          <w:rFonts w:eastAsia="Times New Roman" w:cs="Calibri"/>
          <w:color w:val="212121"/>
          <w:spacing w:val="3"/>
          <w:lang w:eastAsia="en-AU"/>
        </w:rPr>
        <w:t>A</w:t>
      </w:r>
      <w:r w:rsidRPr="00A95E01">
        <w:rPr>
          <w:rFonts w:eastAsia="Times New Roman" w:cs="Calibri"/>
          <w:color w:val="212121"/>
          <w:spacing w:val="3"/>
          <w:lang w:eastAsia="en-AU"/>
        </w:rPr>
        <w:t xml:space="preserve">udit </w:t>
      </w:r>
      <w:r>
        <w:rPr>
          <w:rFonts w:eastAsia="Times New Roman" w:cs="Calibri"/>
          <w:color w:val="212121"/>
          <w:spacing w:val="3"/>
          <w:lang w:eastAsia="en-AU"/>
        </w:rPr>
        <w:t>P</w:t>
      </w:r>
      <w:r w:rsidRPr="00A95E01">
        <w:rPr>
          <w:rFonts w:eastAsia="Times New Roman" w:cs="Calibri"/>
          <w:color w:val="212121"/>
          <w:spacing w:val="3"/>
          <w:lang w:eastAsia="en-AU"/>
        </w:rPr>
        <w:t>rogram</w:t>
      </w:r>
      <w:r>
        <w:rPr>
          <w:rFonts w:eastAsia="Times New Roman" w:cs="Calibri"/>
          <w:color w:val="212121"/>
          <w:spacing w:val="3"/>
          <w:lang w:eastAsia="en-AU"/>
        </w:rPr>
        <w:t>me</w:t>
      </w:r>
      <w:r w:rsidRPr="00A95E01">
        <w:rPr>
          <w:rFonts w:eastAsia="Times New Roman" w:cs="Calibri"/>
          <w:color w:val="212121"/>
          <w:spacing w:val="3"/>
          <w:lang w:eastAsia="en-AU"/>
        </w:rPr>
        <w:t xml:space="preserve"> comprehensive systems approach. </w:t>
      </w:r>
    </w:p>
    <w:p w14:paraId="67215209" w14:textId="68DE990F" w:rsidR="00BD5968" w:rsidRPr="006C0823" w:rsidRDefault="00BD5968" w:rsidP="00BD5968">
      <w:r w:rsidRPr="00A95E01">
        <w:rPr>
          <w:rFonts w:eastAsia="Times New Roman" w:cs="Calibri"/>
          <w:color w:val="212121"/>
          <w:spacing w:val="3"/>
          <w:lang w:eastAsia="en-AU"/>
        </w:rPr>
        <w:t>The assessment resulted in Australia</w:t>
      </w:r>
      <w:r>
        <w:rPr>
          <w:rFonts w:eastAsia="Times New Roman" w:cs="Calibri"/>
          <w:color w:val="212121"/>
          <w:spacing w:val="3"/>
          <w:lang w:eastAsia="en-AU"/>
        </w:rPr>
        <w:t>’</w:t>
      </w:r>
      <w:r w:rsidRPr="00A95E01">
        <w:rPr>
          <w:rFonts w:eastAsia="Times New Roman" w:cs="Calibri"/>
          <w:color w:val="212121"/>
          <w:spacing w:val="3"/>
          <w:lang w:eastAsia="en-AU"/>
        </w:rPr>
        <w:t>s effective implementation rate increasing from 85.05 per cent to 94.98 per cent, increasing our world standing in relation to compliance with ICAO standards and recommendations practices from 44</w:t>
      </w:r>
      <w:r w:rsidRPr="009C7451">
        <w:rPr>
          <w:rFonts w:eastAsia="Times New Roman" w:cs="Calibri"/>
          <w:color w:val="212121"/>
          <w:spacing w:val="3"/>
          <w:lang w:eastAsia="en-AU"/>
        </w:rPr>
        <w:t>th</w:t>
      </w:r>
      <w:r w:rsidRPr="00A95E01">
        <w:rPr>
          <w:rFonts w:eastAsia="Times New Roman" w:cs="Calibri"/>
          <w:color w:val="212121"/>
          <w:spacing w:val="3"/>
          <w:lang w:eastAsia="en-AU"/>
        </w:rPr>
        <w:t xml:space="preserve"> to </w:t>
      </w:r>
      <w:r>
        <w:rPr>
          <w:rFonts w:eastAsia="Times New Roman" w:cs="Calibri"/>
          <w:color w:val="212121"/>
          <w:spacing w:val="3"/>
          <w:lang w:eastAsia="en-AU"/>
        </w:rPr>
        <w:t>sixth</w:t>
      </w:r>
      <w:r w:rsidRPr="00A95E01">
        <w:rPr>
          <w:rFonts w:eastAsia="Times New Roman" w:cs="Calibri"/>
          <w:color w:val="212121"/>
          <w:spacing w:val="3"/>
          <w:lang w:eastAsia="en-AU"/>
        </w:rPr>
        <w:t xml:space="preserve">. This has put us ahead of </w:t>
      </w:r>
      <w:r w:rsidR="0042104E">
        <w:rPr>
          <w:rFonts w:eastAsia="Times New Roman" w:cs="Calibri"/>
          <w:color w:val="212121"/>
          <w:spacing w:val="3"/>
          <w:lang w:eastAsia="en-AU"/>
        </w:rPr>
        <w:t>our international counterparts</w:t>
      </w:r>
      <w:r w:rsidR="00524E1A">
        <w:rPr>
          <w:rFonts w:eastAsia="Times New Roman" w:cs="Calibri"/>
          <w:color w:val="212121"/>
          <w:spacing w:val="3"/>
          <w:lang w:eastAsia="en-AU"/>
        </w:rPr>
        <w:t>,</w:t>
      </w:r>
      <w:r w:rsidR="0042104E">
        <w:rPr>
          <w:rFonts w:eastAsia="Times New Roman" w:cs="Calibri"/>
          <w:color w:val="212121"/>
          <w:spacing w:val="3"/>
          <w:lang w:eastAsia="en-AU"/>
        </w:rPr>
        <w:t xml:space="preserve"> </w:t>
      </w:r>
      <w:r w:rsidRPr="00A95E01">
        <w:rPr>
          <w:rFonts w:eastAsia="Times New Roman" w:cs="Calibri"/>
          <w:color w:val="212121"/>
          <w:spacing w:val="3"/>
          <w:lang w:eastAsia="en-AU"/>
        </w:rPr>
        <w:t>including the United States, the United Kingdom and New Zealand.</w:t>
      </w:r>
    </w:p>
    <w:p w14:paraId="04551743" w14:textId="77777777" w:rsidR="00BD5968" w:rsidRPr="006C0823" w:rsidRDefault="00BD5968" w:rsidP="00BD5968">
      <w:pPr>
        <w:pStyle w:val="Heading2"/>
        <w:rPr>
          <w:lang w:val="en-GB"/>
        </w:rPr>
      </w:pPr>
      <w:r>
        <w:rPr>
          <w:lang w:val="en-GB"/>
        </w:rPr>
        <w:t>Aviation Safety Advisory Panel</w:t>
      </w:r>
    </w:p>
    <w:p w14:paraId="4F6A1FB5" w14:textId="77777777" w:rsidR="00BD5968" w:rsidRPr="00B0290C" w:rsidRDefault="00BD5968" w:rsidP="000012B1">
      <w:pPr>
        <w:spacing w:before="100" w:beforeAutospacing="1"/>
        <w:rPr>
          <w:rFonts w:eastAsia="Times New Roman"/>
          <w:lang w:val="en" w:eastAsia="en-AU"/>
        </w:rPr>
      </w:pPr>
      <w:r>
        <w:rPr>
          <w:rFonts w:eastAsia="Times New Roman"/>
          <w:lang w:val="en" w:eastAsia="en-AU"/>
        </w:rPr>
        <w:t xml:space="preserve">In July 2017, CASA established the </w:t>
      </w:r>
      <w:r w:rsidRPr="00B0290C">
        <w:rPr>
          <w:rFonts w:eastAsia="Times New Roman"/>
          <w:lang w:val="en" w:eastAsia="en-AU"/>
        </w:rPr>
        <w:t xml:space="preserve">ASAP </w:t>
      </w:r>
      <w:r>
        <w:rPr>
          <w:rFonts w:eastAsia="Times New Roman"/>
          <w:lang w:val="en" w:eastAsia="en-AU"/>
        </w:rPr>
        <w:t>as</w:t>
      </w:r>
      <w:r w:rsidRPr="00B0290C">
        <w:rPr>
          <w:rFonts w:eastAsia="Times New Roman"/>
          <w:lang w:val="en" w:eastAsia="en-AU"/>
        </w:rPr>
        <w:t xml:space="preserve"> the primary advisory body through which CASA directs its engagement with industry and seeks input on current and future regulatory and associated policy approaches.</w:t>
      </w:r>
      <w:r>
        <w:rPr>
          <w:rFonts w:eastAsia="Times New Roman"/>
          <w:lang w:val="en" w:eastAsia="en-AU"/>
        </w:rPr>
        <w:t xml:space="preserve"> The panel replaced a number of consultative committees, including CASA’s Standards Consultative Committee.</w:t>
      </w:r>
    </w:p>
    <w:p w14:paraId="354F4FB3" w14:textId="77777777" w:rsidR="00BD5968" w:rsidRDefault="00BD5968" w:rsidP="00BD5968">
      <w:pPr>
        <w:spacing w:before="100" w:beforeAutospacing="1"/>
        <w:rPr>
          <w:rFonts w:eastAsia="Times New Roman"/>
          <w:lang w:val="en" w:eastAsia="en-AU"/>
        </w:rPr>
      </w:pPr>
      <w:r>
        <w:rPr>
          <w:rFonts w:eastAsia="Times New Roman"/>
          <w:lang w:val="en" w:eastAsia="en-AU"/>
        </w:rPr>
        <w:t xml:space="preserve">The ASAP is intended to provide me, as </w:t>
      </w:r>
      <w:r w:rsidRPr="00B0290C">
        <w:rPr>
          <w:rFonts w:eastAsia="Times New Roman"/>
          <w:lang w:val="en" w:eastAsia="en-AU"/>
        </w:rPr>
        <w:t>CASA</w:t>
      </w:r>
      <w:r>
        <w:rPr>
          <w:rFonts w:eastAsia="Times New Roman"/>
          <w:lang w:val="en" w:eastAsia="en-AU"/>
        </w:rPr>
        <w:t>’</w:t>
      </w:r>
      <w:r w:rsidRPr="00B0290C">
        <w:rPr>
          <w:rFonts w:eastAsia="Times New Roman"/>
          <w:lang w:val="en" w:eastAsia="en-AU"/>
        </w:rPr>
        <w:t>s C</w:t>
      </w:r>
      <w:r w:rsidR="00B56F3A">
        <w:rPr>
          <w:rFonts w:eastAsia="Times New Roman"/>
          <w:lang w:val="en" w:eastAsia="en-AU"/>
        </w:rPr>
        <w:t>hief Executive Officer</w:t>
      </w:r>
      <w:r w:rsidRPr="00B0290C">
        <w:rPr>
          <w:rFonts w:eastAsia="Times New Roman"/>
          <w:lang w:val="en" w:eastAsia="en-AU"/>
        </w:rPr>
        <w:t xml:space="preserve"> and Director of Aviation Safety</w:t>
      </w:r>
      <w:r>
        <w:rPr>
          <w:rFonts w:eastAsia="Times New Roman"/>
          <w:lang w:val="en" w:eastAsia="en-AU"/>
        </w:rPr>
        <w:t>,</w:t>
      </w:r>
      <w:r w:rsidRPr="00B0290C">
        <w:rPr>
          <w:rFonts w:eastAsia="Times New Roman"/>
          <w:lang w:val="en" w:eastAsia="en-AU"/>
        </w:rPr>
        <w:t xml:space="preserve"> with informed, objective</w:t>
      </w:r>
      <w:r>
        <w:rPr>
          <w:rFonts w:eastAsia="Times New Roman"/>
          <w:lang w:val="en" w:eastAsia="en-AU"/>
        </w:rPr>
        <w:t>,</w:t>
      </w:r>
      <w:r w:rsidRPr="00B0290C">
        <w:rPr>
          <w:rFonts w:eastAsia="Times New Roman"/>
          <w:lang w:val="en" w:eastAsia="en-AU"/>
        </w:rPr>
        <w:t xml:space="preserve"> high-level advice from the aviation community </w:t>
      </w:r>
      <w:r w:rsidRPr="00B0290C">
        <w:rPr>
          <w:rFonts w:eastAsia="Times New Roman"/>
          <w:lang w:val="en" w:eastAsia="en-AU"/>
        </w:rPr>
        <w:lastRenderedPageBreak/>
        <w:t>on current, emerging and potential issues that have, or may have, significant implications for aviation safety and the way CASA performs its functions.</w:t>
      </w:r>
      <w:r>
        <w:rPr>
          <w:rFonts w:eastAsia="Times New Roman"/>
          <w:lang w:val="en" w:eastAsia="en-AU"/>
        </w:rPr>
        <w:t xml:space="preserve"> </w:t>
      </w:r>
    </w:p>
    <w:p w14:paraId="3EB163EA" w14:textId="77777777" w:rsidR="00BD5968" w:rsidRPr="00B0290C" w:rsidRDefault="00BD5968" w:rsidP="000012B1">
      <w:pPr>
        <w:spacing w:before="100" w:beforeAutospacing="1" w:after="100" w:afterAutospacing="1"/>
        <w:rPr>
          <w:rFonts w:eastAsia="Times New Roman"/>
          <w:lang w:val="en" w:eastAsia="en-AU"/>
        </w:rPr>
      </w:pPr>
      <w:r>
        <w:rPr>
          <w:rFonts w:eastAsia="Times New Roman"/>
          <w:lang w:val="en" w:eastAsia="en-AU"/>
        </w:rPr>
        <w:t xml:space="preserve">Honorary </w:t>
      </w:r>
      <w:r w:rsidRPr="00B0290C">
        <w:rPr>
          <w:rFonts w:eastAsia="Times New Roman"/>
          <w:lang w:val="en" w:eastAsia="en-AU"/>
        </w:rPr>
        <w:t>Professor Pat</w:t>
      </w:r>
      <w:r>
        <w:rPr>
          <w:rFonts w:eastAsia="Times New Roman"/>
          <w:lang w:val="en" w:eastAsia="en-AU"/>
        </w:rPr>
        <w:t>rick</w:t>
      </w:r>
      <w:r w:rsidRPr="00B0290C">
        <w:rPr>
          <w:rFonts w:eastAsia="Times New Roman"/>
          <w:lang w:val="en" w:eastAsia="en-AU"/>
        </w:rPr>
        <w:t xml:space="preserve"> Murray, </w:t>
      </w:r>
      <w:r>
        <w:rPr>
          <w:rFonts w:eastAsia="Times New Roman"/>
          <w:lang w:val="en" w:eastAsia="en-AU"/>
        </w:rPr>
        <w:t>University of Southern Queensland, was appointed the</w:t>
      </w:r>
      <w:r w:rsidR="00E535F9">
        <w:rPr>
          <w:rFonts w:eastAsia="Times New Roman"/>
          <w:lang w:val="en" w:eastAsia="en-AU"/>
        </w:rPr>
        <w:t xml:space="preserve"> inaugural </w:t>
      </w:r>
      <w:r w:rsidRPr="00B0290C">
        <w:rPr>
          <w:rFonts w:eastAsia="Times New Roman"/>
          <w:lang w:val="en" w:eastAsia="en-AU"/>
        </w:rPr>
        <w:t>Chair of the ASAP.</w:t>
      </w:r>
      <w:r>
        <w:rPr>
          <w:rFonts w:eastAsia="Times New Roman"/>
          <w:lang w:val="en" w:eastAsia="en-AU"/>
        </w:rPr>
        <w:t xml:space="preserve"> </w:t>
      </w:r>
      <w:r w:rsidRPr="00B0290C">
        <w:rPr>
          <w:rFonts w:eastAsia="Times New Roman"/>
          <w:lang w:val="en" w:eastAsia="en-AU"/>
        </w:rPr>
        <w:t xml:space="preserve">ASAP membership consists of between six and </w:t>
      </w:r>
      <w:r>
        <w:rPr>
          <w:rFonts w:eastAsia="Times New Roman"/>
          <w:lang w:val="en" w:eastAsia="en-AU"/>
        </w:rPr>
        <w:t>10</w:t>
      </w:r>
      <w:r w:rsidRPr="00B0290C">
        <w:rPr>
          <w:rFonts w:eastAsia="Times New Roman"/>
          <w:lang w:val="en" w:eastAsia="en-AU"/>
        </w:rPr>
        <w:t xml:space="preserve"> </w:t>
      </w:r>
      <w:r>
        <w:rPr>
          <w:rFonts w:eastAsia="Times New Roman"/>
          <w:lang w:val="en" w:eastAsia="en-AU"/>
        </w:rPr>
        <w:t>highly experienced</w:t>
      </w:r>
      <w:r w:rsidRPr="00B0290C">
        <w:rPr>
          <w:rFonts w:eastAsia="Times New Roman"/>
          <w:lang w:val="en" w:eastAsia="en-AU"/>
        </w:rPr>
        <w:t xml:space="preserve"> represent</w:t>
      </w:r>
      <w:r>
        <w:rPr>
          <w:rFonts w:eastAsia="Times New Roman"/>
          <w:lang w:val="en" w:eastAsia="en-AU"/>
        </w:rPr>
        <w:t>atives from</w:t>
      </w:r>
      <w:r w:rsidRPr="00B0290C">
        <w:rPr>
          <w:rFonts w:eastAsia="Times New Roman"/>
          <w:lang w:val="en" w:eastAsia="en-AU"/>
        </w:rPr>
        <w:t xml:space="preserve"> the aviation community who have agreed to serve as members, plus two representatives nominated by CASA.</w:t>
      </w:r>
    </w:p>
    <w:p w14:paraId="3652D256" w14:textId="77777777" w:rsidR="00BD5968" w:rsidRPr="00B0290C" w:rsidRDefault="00BD5968" w:rsidP="00BD5968">
      <w:pPr>
        <w:pStyle w:val="BulletIntro"/>
        <w:rPr>
          <w:lang w:eastAsia="en-AU"/>
        </w:rPr>
      </w:pPr>
      <w:r>
        <w:rPr>
          <w:lang w:eastAsia="en-AU"/>
        </w:rPr>
        <w:t xml:space="preserve">To ensure </w:t>
      </w:r>
      <w:r w:rsidR="00582F61">
        <w:rPr>
          <w:lang w:val="en-AU" w:eastAsia="en-AU"/>
        </w:rPr>
        <w:t>the widest possible range of</w:t>
      </w:r>
      <w:r w:rsidRPr="00B0290C">
        <w:rPr>
          <w:lang w:eastAsia="en-AU"/>
        </w:rPr>
        <w:t xml:space="preserve"> industry </w:t>
      </w:r>
      <w:r w:rsidR="00582F61">
        <w:rPr>
          <w:lang w:val="en-AU" w:eastAsia="en-AU"/>
        </w:rPr>
        <w:t>experience</w:t>
      </w:r>
      <w:r w:rsidRPr="00B0290C">
        <w:rPr>
          <w:lang w:eastAsia="en-AU"/>
        </w:rPr>
        <w:t xml:space="preserve"> and expertise, the following individuals </w:t>
      </w:r>
      <w:r>
        <w:rPr>
          <w:lang w:eastAsia="en-AU"/>
        </w:rPr>
        <w:t>were appointed as ASAP members for a two-year period, f</w:t>
      </w:r>
      <w:r w:rsidRPr="00B0290C">
        <w:rPr>
          <w:lang w:eastAsia="en-AU"/>
        </w:rPr>
        <w:t>rom 1 July 2017:</w:t>
      </w:r>
    </w:p>
    <w:p w14:paraId="1983F60C" w14:textId="77777777" w:rsidR="00A95093" w:rsidRDefault="00BD5968" w:rsidP="00A95093">
      <w:pPr>
        <w:pStyle w:val="Bullet"/>
        <w:rPr>
          <w:lang w:val="en" w:eastAsia="en-AU"/>
        </w:rPr>
      </w:pPr>
      <w:r w:rsidRPr="00B0290C">
        <w:rPr>
          <w:lang w:val="en" w:eastAsia="en-AU"/>
        </w:rPr>
        <w:t>Mr Rob Sharp, Group Executive, Virgin Australia</w:t>
      </w:r>
    </w:p>
    <w:p w14:paraId="409C75E3" w14:textId="4E25C1AD" w:rsidR="00BD5968" w:rsidRPr="00A95093" w:rsidRDefault="00BD5968" w:rsidP="00A95093">
      <w:pPr>
        <w:pStyle w:val="Bullet"/>
        <w:rPr>
          <w:lang w:val="en" w:eastAsia="en-AU"/>
        </w:rPr>
      </w:pPr>
      <w:r w:rsidRPr="00A95093">
        <w:rPr>
          <w:lang w:val="en" w:eastAsia="en-AU"/>
        </w:rPr>
        <w:t>Mr John Gissing, Group Executive, Qantas Group</w:t>
      </w:r>
    </w:p>
    <w:p w14:paraId="4D6352DE" w14:textId="77777777" w:rsidR="00BD5968" w:rsidRPr="00B0290C" w:rsidRDefault="00BD5968" w:rsidP="00BD5968">
      <w:pPr>
        <w:pStyle w:val="Bullet"/>
        <w:rPr>
          <w:lang w:val="en" w:eastAsia="en-AU"/>
        </w:rPr>
      </w:pPr>
      <w:r w:rsidRPr="00B0290C">
        <w:rPr>
          <w:lang w:val="en" w:eastAsia="en-AU"/>
        </w:rPr>
        <w:t>Ms Caroline Wilkie, Chief Executive Officer, Australian Airports Association</w:t>
      </w:r>
    </w:p>
    <w:p w14:paraId="766EDA79" w14:textId="77777777" w:rsidR="00BD5968" w:rsidRPr="00B0290C" w:rsidRDefault="00BD5968" w:rsidP="00BD5968">
      <w:pPr>
        <w:pStyle w:val="Bullet"/>
        <w:rPr>
          <w:lang w:val="en" w:eastAsia="en-AU"/>
        </w:rPr>
      </w:pPr>
      <w:r w:rsidRPr="00B0290C">
        <w:rPr>
          <w:lang w:val="en" w:eastAsia="en-AU"/>
        </w:rPr>
        <w:t>Mr Greg Russell, Honorary Chair, The Australian Aviation Associations Forum (TAAAF)</w:t>
      </w:r>
    </w:p>
    <w:p w14:paraId="15C04D45" w14:textId="77777777" w:rsidR="00BD5968" w:rsidRPr="00B0290C" w:rsidRDefault="00BD5968" w:rsidP="00BD5968">
      <w:pPr>
        <w:pStyle w:val="Bullet"/>
        <w:rPr>
          <w:lang w:val="en" w:eastAsia="en-AU"/>
        </w:rPr>
      </w:pPr>
      <w:r w:rsidRPr="00B0290C">
        <w:rPr>
          <w:lang w:val="en" w:eastAsia="en-AU"/>
        </w:rPr>
        <w:t>Mr Jim Davis, Chairman, Regional Aviation Association of Australia</w:t>
      </w:r>
      <w:r w:rsidR="00630A0D">
        <w:rPr>
          <w:lang w:val="en" w:eastAsia="en-AU"/>
        </w:rPr>
        <w:t>,</w:t>
      </w:r>
      <w:r w:rsidRPr="00B0290C">
        <w:rPr>
          <w:lang w:val="en" w:eastAsia="en-AU"/>
        </w:rPr>
        <w:t xml:space="preserve"> and TAAAF member</w:t>
      </w:r>
    </w:p>
    <w:p w14:paraId="0D61068B" w14:textId="77777777" w:rsidR="00BD5968" w:rsidRPr="00B0290C" w:rsidRDefault="00BD5968" w:rsidP="00BD5968">
      <w:pPr>
        <w:pStyle w:val="BulletLast"/>
        <w:rPr>
          <w:lang w:val="en" w:eastAsia="en-AU"/>
        </w:rPr>
      </w:pPr>
      <w:r w:rsidRPr="00B0290C">
        <w:rPr>
          <w:lang w:val="en" w:eastAsia="en-AU"/>
        </w:rPr>
        <w:t>Mr Michael Monck, Chairman, Recreational Aviation Australia</w:t>
      </w:r>
      <w:r w:rsidR="00630A0D">
        <w:rPr>
          <w:lang w:val="en" w:eastAsia="en-AU"/>
        </w:rPr>
        <w:t>,</w:t>
      </w:r>
      <w:r w:rsidRPr="00B0290C">
        <w:rPr>
          <w:lang w:val="en" w:eastAsia="en-AU"/>
        </w:rPr>
        <w:t xml:space="preserve"> and TAAAF member.</w:t>
      </w:r>
    </w:p>
    <w:p w14:paraId="5E44B7FE" w14:textId="77777777" w:rsidR="00BD5968" w:rsidRDefault="00BD5968" w:rsidP="000012B1">
      <w:pPr>
        <w:spacing w:before="100" w:beforeAutospacing="1" w:after="100" w:afterAutospacing="1"/>
        <w:rPr>
          <w:rFonts w:eastAsia="Times New Roman"/>
          <w:lang w:val="en" w:eastAsia="en-AU"/>
        </w:rPr>
      </w:pPr>
      <w:r>
        <w:rPr>
          <w:rFonts w:eastAsia="Times New Roman"/>
          <w:lang w:val="en" w:eastAsia="en-AU"/>
        </w:rPr>
        <w:t xml:space="preserve">CASA’s representatives are Mr Graeme Crawford, Group Executive Manager, Aviation, and Mr Rob Walker, Executive Manager, </w:t>
      </w:r>
      <w:r w:rsidRPr="00B0290C">
        <w:rPr>
          <w:rFonts w:eastAsia="Times New Roman"/>
          <w:lang w:val="en" w:eastAsia="en-AU"/>
        </w:rPr>
        <w:t>Stakeholder Engagement</w:t>
      </w:r>
      <w:r>
        <w:rPr>
          <w:rFonts w:eastAsia="Times New Roman"/>
          <w:lang w:val="en" w:eastAsia="en-AU"/>
        </w:rPr>
        <w:t xml:space="preserve"> Division</w:t>
      </w:r>
      <w:r w:rsidRPr="00B0290C">
        <w:rPr>
          <w:rFonts w:eastAsia="Times New Roman"/>
          <w:lang w:val="en" w:eastAsia="en-AU"/>
        </w:rPr>
        <w:t>.</w:t>
      </w:r>
    </w:p>
    <w:p w14:paraId="0D537FA4" w14:textId="77777777" w:rsidR="00BD5968" w:rsidRDefault="00BD5968" w:rsidP="00F03F6B">
      <w:pPr>
        <w:spacing w:before="100" w:beforeAutospacing="1" w:after="100" w:afterAutospacing="1"/>
        <w:rPr>
          <w:rFonts w:eastAsia="Times New Roman"/>
          <w:lang w:val="en" w:eastAsia="en-AU"/>
        </w:rPr>
      </w:pPr>
      <w:r>
        <w:rPr>
          <w:rFonts w:eastAsia="Times New Roman"/>
          <w:lang w:val="en" w:eastAsia="en-AU"/>
        </w:rPr>
        <w:t xml:space="preserve">The first meeting of the ASAP was held on </w:t>
      </w:r>
      <w:r w:rsidR="00912CE8">
        <w:rPr>
          <w:rFonts w:eastAsia="Times New Roman"/>
          <w:lang w:val="en" w:eastAsia="en-AU"/>
        </w:rPr>
        <w:t>4</w:t>
      </w:r>
      <w:r>
        <w:rPr>
          <w:rFonts w:eastAsia="Times New Roman"/>
          <w:lang w:val="en" w:eastAsia="en-AU"/>
        </w:rPr>
        <w:t xml:space="preserve"> September 2017. In </w:t>
      </w:r>
      <w:r w:rsidRPr="000E1B7E">
        <w:rPr>
          <w:rFonts w:eastAsia="Times New Roman"/>
          <w:lang w:val="en" w:eastAsia="en-AU"/>
        </w:rPr>
        <w:t xml:space="preserve">October 2017, </w:t>
      </w:r>
      <w:r>
        <w:rPr>
          <w:rFonts w:eastAsia="Times New Roman"/>
          <w:lang w:val="en" w:eastAsia="en-AU"/>
        </w:rPr>
        <w:t>CASA</w:t>
      </w:r>
      <w:r w:rsidRPr="000E1B7E">
        <w:rPr>
          <w:rFonts w:eastAsia="Times New Roman"/>
          <w:lang w:val="en" w:eastAsia="en-AU"/>
        </w:rPr>
        <w:t xml:space="preserve"> invited people to register their interest </w:t>
      </w:r>
      <w:r>
        <w:rPr>
          <w:rFonts w:eastAsia="Times New Roman"/>
          <w:lang w:val="en" w:eastAsia="en-AU"/>
        </w:rPr>
        <w:t>in joining an ASAP</w:t>
      </w:r>
      <w:r w:rsidRPr="000E1B7E">
        <w:rPr>
          <w:rFonts w:eastAsia="Times New Roman"/>
          <w:lang w:val="en" w:eastAsia="en-AU"/>
        </w:rPr>
        <w:t xml:space="preserve"> </w:t>
      </w:r>
      <w:r>
        <w:rPr>
          <w:rFonts w:eastAsia="Times New Roman"/>
          <w:lang w:val="en" w:eastAsia="en-AU"/>
        </w:rPr>
        <w:t>t</w:t>
      </w:r>
      <w:r w:rsidRPr="000E1B7E">
        <w:rPr>
          <w:rFonts w:eastAsia="Times New Roman"/>
          <w:lang w:val="en" w:eastAsia="en-AU"/>
        </w:rPr>
        <w:t xml:space="preserve">echnical </w:t>
      </w:r>
      <w:r>
        <w:rPr>
          <w:rFonts w:eastAsia="Times New Roman"/>
          <w:lang w:val="en" w:eastAsia="en-AU"/>
        </w:rPr>
        <w:t>w</w:t>
      </w:r>
      <w:r w:rsidRPr="000E1B7E">
        <w:rPr>
          <w:rFonts w:eastAsia="Times New Roman"/>
          <w:lang w:val="en" w:eastAsia="en-AU"/>
        </w:rPr>
        <w:t xml:space="preserve">orking </w:t>
      </w:r>
      <w:r>
        <w:rPr>
          <w:rFonts w:eastAsia="Times New Roman"/>
          <w:lang w:val="en" w:eastAsia="en-AU"/>
        </w:rPr>
        <w:t>g</w:t>
      </w:r>
      <w:r w:rsidRPr="000E1B7E">
        <w:rPr>
          <w:rFonts w:eastAsia="Times New Roman"/>
          <w:lang w:val="en" w:eastAsia="en-AU"/>
        </w:rPr>
        <w:t>roup</w:t>
      </w:r>
      <w:r>
        <w:rPr>
          <w:rFonts w:eastAsia="Times New Roman"/>
          <w:lang w:val="en" w:eastAsia="en-AU"/>
        </w:rPr>
        <w:t xml:space="preserve"> (TWG). This resulted in responses from more than 5</w:t>
      </w:r>
      <w:r w:rsidRPr="000E1B7E">
        <w:rPr>
          <w:rFonts w:eastAsia="Times New Roman"/>
          <w:lang w:val="en" w:eastAsia="en-AU"/>
        </w:rPr>
        <w:t xml:space="preserve">00 </w:t>
      </w:r>
      <w:r>
        <w:rPr>
          <w:rFonts w:eastAsia="Times New Roman"/>
          <w:lang w:val="en" w:eastAsia="en-AU"/>
        </w:rPr>
        <w:t xml:space="preserve">passionate and experienced members of the aviation community willing to share their time and expertise, which was a very pleasing outcome. </w:t>
      </w:r>
    </w:p>
    <w:p w14:paraId="57546D6D" w14:textId="77777777" w:rsidR="00BD5968" w:rsidRDefault="00BD5968" w:rsidP="004510EA">
      <w:pPr>
        <w:spacing w:before="100" w:beforeAutospacing="1" w:after="100" w:afterAutospacing="1"/>
      </w:pPr>
      <w:r>
        <w:t>The ASAP and TWGs are delivering significant results and have been acknowledged by industry as being open and transparent in their operation. The TWGs are appointed by the ASAP and provide an opportunity for much broader representation in the consultative process by sectors of industry that are expert in their field</w:t>
      </w:r>
      <w:r w:rsidRPr="006C0823">
        <w:t>.</w:t>
      </w:r>
      <w:r>
        <w:t xml:space="preserve"> Although there have been differing views in the past between sectors, the TWGs have shown strong collaboration and a commitment to aviation safety and practical outcomes.</w:t>
      </w:r>
    </w:p>
    <w:p w14:paraId="5CF6C6F0" w14:textId="77777777" w:rsidR="00BD5968" w:rsidRPr="006C0823" w:rsidRDefault="00BD5968" w:rsidP="00BD5968">
      <w:r>
        <w:t>During the first half of 2018 the</w:t>
      </w:r>
      <w:r w:rsidR="00A805C7">
        <w:t xml:space="preserve"> </w:t>
      </w:r>
      <w:r w:rsidR="00625E3F">
        <w:t xml:space="preserve">ASAP and </w:t>
      </w:r>
      <w:r>
        <w:t>TWGs reviewed the draft flight operations regulations ahead of public consultation and commenced work on reviewing the licensing scheme for aircraft engineers.</w:t>
      </w:r>
    </w:p>
    <w:p w14:paraId="023AC4F3" w14:textId="77777777" w:rsidR="00BD5968" w:rsidRPr="006C0823" w:rsidRDefault="00BD5968" w:rsidP="00BD5968">
      <w:pPr>
        <w:pStyle w:val="Heading2"/>
        <w:rPr>
          <w:lang w:val="en-GB"/>
        </w:rPr>
      </w:pPr>
      <w:r>
        <w:rPr>
          <w:lang w:val="en-GB"/>
        </w:rPr>
        <w:t>Aviation medicals</w:t>
      </w:r>
    </w:p>
    <w:p w14:paraId="23A25700" w14:textId="77777777" w:rsidR="00524E1A" w:rsidRDefault="002C0870" w:rsidP="002C0870">
      <w:r>
        <w:t xml:space="preserve">Much progress has been made in CASA’s aviation medicine processes, which have historically been a source of frustration for some members of the aviation community. </w:t>
      </w:r>
    </w:p>
    <w:p w14:paraId="25F061BD" w14:textId="77777777" w:rsidR="002C0870" w:rsidRDefault="002C0870" w:rsidP="002C0870">
      <w:r>
        <w:t>At its November 2017 meeting, the ASAP expressed support for CASA’s proposal to allow a pilot to conduct limited commercial operations using a private pilot medical certificate. Coming into effect on 1 March 2018, the Class 2 medical certificate is an option for non-passenger-carrying commercial flights, including operators in aerial application, flight examiners and flight instructors.</w:t>
      </w:r>
    </w:p>
    <w:p w14:paraId="11E245C3" w14:textId="77777777" w:rsidR="00524E1A" w:rsidRDefault="002C0870" w:rsidP="002C0870">
      <w:r>
        <w:lastRenderedPageBreak/>
        <w:t>The second key change is that</w:t>
      </w:r>
      <w:r w:rsidR="00524E1A">
        <w:t>,</w:t>
      </w:r>
      <w:r>
        <w:t xml:space="preserve"> since April 2018, designated aviation medical examiners have been able to issue Class 2 medical certificates on the spot without needing to send the application to CASA for review, streamlining the process for many pilots with </w:t>
      </w:r>
      <w:r w:rsidRPr="00821DD6">
        <w:t xml:space="preserve">uncomplicated medical histories. </w:t>
      </w:r>
    </w:p>
    <w:p w14:paraId="309B02DD" w14:textId="77777777" w:rsidR="00524E1A" w:rsidRDefault="002C0870" w:rsidP="002C0870">
      <w:r>
        <w:t xml:space="preserve">Finally, </w:t>
      </w:r>
      <w:r w:rsidR="00524E1A">
        <w:t xml:space="preserve">since </w:t>
      </w:r>
      <w:r>
        <w:t>28 June 2018</w:t>
      </w:r>
      <w:r w:rsidRPr="00821DD6">
        <w:t xml:space="preserve">, CASA </w:t>
      </w:r>
      <w:r w:rsidR="00524E1A">
        <w:t>has been</w:t>
      </w:r>
      <w:r w:rsidRPr="00821DD6">
        <w:t xml:space="preserve"> able to </w:t>
      </w:r>
      <w:r>
        <w:t>issue</w:t>
      </w:r>
      <w:r w:rsidRPr="00821DD6">
        <w:t xml:space="preserve"> </w:t>
      </w:r>
      <w:r w:rsidR="001A262E">
        <w:t>B</w:t>
      </w:r>
      <w:r w:rsidRPr="00821DD6">
        <w:t>asic Class 2 medical</w:t>
      </w:r>
      <w:r>
        <w:t xml:space="preserve"> certificates</w:t>
      </w:r>
      <w:r w:rsidRPr="00821DD6">
        <w:t xml:space="preserve"> based on </w:t>
      </w:r>
      <w:r>
        <w:t xml:space="preserve">the </w:t>
      </w:r>
      <w:r w:rsidRPr="00821DD6">
        <w:t xml:space="preserve">Austroads commercial vehicle driver standards. </w:t>
      </w:r>
    </w:p>
    <w:p w14:paraId="45C99487" w14:textId="77777777" w:rsidR="00BD5968" w:rsidRPr="006C0823" w:rsidRDefault="002C0870" w:rsidP="002C0870">
      <w:r w:rsidRPr="00821DD6">
        <w:t xml:space="preserve">These are all practical changes designed to make the licensing process simpler wherever possible, while ensuring </w:t>
      </w:r>
      <w:r>
        <w:t xml:space="preserve">that </w:t>
      </w:r>
      <w:r w:rsidRPr="00821DD6">
        <w:t>safety is maintained.</w:t>
      </w:r>
    </w:p>
    <w:p w14:paraId="6153DA61" w14:textId="77777777" w:rsidR="00BD5968" w:rsidRPr="006C0823" w:rsidRDefault="00BD5968" w:rsidP="00BD5968">
      <w:pPr>
        <w:pStyle w:val="Heading2"/>
        <w:rPr>
          <w:lang w:val="en-GB"/>
        </w:rPr>
      </w:pPr>
      <w:r>
        <w:rPr>
          <w:lang w:val="en-GB"/>
        </w:rPr>
        <w:t>Surveillance</w:t>
      </w:r>
    </w:p>
    <w:p w14:paraId="68EDA52F" w14:textId="77777777" w:rsidR="00BD5968" w:rsidRPr="00A95E01" w:rsidRDefault="00BD5968" w:rsidP="00BD5968">
      <w:pPr>
        <w:autoSpaceDE w:val="0"/>
        <w:autoSpaceDN w:val="0"/>
        <w:adjustRightInd w:val="0"/>
        <w:rPr>
          <w:rFonts w:eastAsia="Times New Roman" w:cs="Calibri"/>
          <w:color w:val="212121"/>
          <w:spacing w:val="3"/>
          <w:lang w:eastAsia="en-AU"/>
        </w:rPr>
      </w:pPr>
      <w:r w:rsidRPr="00A95E01">
        <w:rPr>
          <w:rFonts w:eastAsia="Times New Roman" w:cs="Calibri"/>
          <w:color w:val="212121"/>
          <w:spacing w:val="3"/>
          <w:lang w:eastAsia="en-AU"/>
        </w:rPr>
        <w:t>CASA also made improvements to its overall surveillance capability over the last 12 months</w:t>
      </w:r>
      <w:r>
        <w:rPr>
          <w:rFonts w:eastAsia="Times New Roman" w:cs="Calibri"/>
          <w:color w:val="212121"/>
          <w:spacing w:val="3"/>
          <w:lang w:eastAsia="en-AU"/>
        </w:rPr>
        <w:t>,</w:t>
      </w:r>
      <w:r w:rsidRPr="00A95E01">
        <w:rPr>
          <w:rFonts w:eastAsia="Times New Roman" w:cs="Calibri"/>
          <w:color w:val="212121"/>
          <w:spacing w:val="3"/>
          <w:lang w:eastAsia="en-AU"/>
        </w:rPr>
        <w:t xml:space="preserve"> following recommendations arising from the Government’s response to the Aviation Safety Regulation Review. Work has focused on exploring different methods for surveillance planning and looking at data opportunities to support the way we prioritise and plan surveillance activities. The changes to surveillance came into effect on 1 November 2017. </w:t>
      </w:r>
    </w:p>
    <w:p w14:paraId="7FE6F621" w14:textId="77777777" w:rsidR="00BD5968" w:rsidRPr="00A95E01" w:rsidRDefault="00BD5968" w:rsidP="00BD5968">
      <w:pPr>
        <w:spacing w:after="150"/>
        <w:rPr>
          <w:rFonts w:eastAsia="Times New Roman" w:cs="Calibri"/>
          <w:color w:val="212121"/>
          <w:spacing w:val="3"/>
          <w:lang w:eastAsia="en-AU"/>
        </w:rPr>
      </w:pPr>
      <w:r w:rsidRPr="00A95E01">
        <w:rPr>
          <w:rFonts w:eastAsia="Times New Roman" w:cs="Calibri"/>
          <w:color w:val="212121"/>
          <w:spacing w:val="3"/>
          <w:lang w:eastAsia="en-AU"/>
        </w:rPr>
        <w:t>The purpose of CASA’s surveillance is to enable us to make an assessment o</w:t>
      </w:r>
      <w:r>
        <w:rPr>
          <w:rFonts w:eastAsia="Times New Roman" w:cs="Calibri"/>
          <w:color w:val="212121"/>
          <w:spacing w:val="3"/>
          <w:lang w:eastAsia="en-AU"/>
        </w:rPr>
        <w:t>f</w:t>
      </w:r>
      <w:r w:rsidRPr="00A95E01">
        <w:rPr>
          <w:rFonts w:eastAsia="Times New Roman" w:cs="Calibri"/>
          <w:color w:val="212121"/>
          <w:spacing w:val="3"/>
          <w:lang w:eastAsia="en-AU"/>
        </w:rPr>
        <w:t xml:space="preserve"> an authorisation holder</w:t>
      </w:r>
      <w:r>
        <w:rPr>
          <w:rFonts w:eastAsia="Times New Roman" w:cs="Calibri"/>
          <w:color w:val="212121"/>
          <w:spacing w:val="3"/>
          <w:lang w:eastAsia="en-AU"/>
        </w:rPr>
        <w:t>’s ability</w:t>
      </w:r>
      <w:r w:rsidRPr="00A95E01">
        <w:rPr>
          <w:rFonts w:eastAsia="Times New Roman" w:cs="Calibri"/>
          <w:color w:val="212121"/>
          <w:spacing w:val="3"/>
          <w:lang w:eastAsia="en-AU"/>
        </w:rPr>
        <w:t xml:space="preserve"> to manage its safety risks and willingness to comply with legislative obligations.</w:t>
      </w:r>
    </w:p>
    <w:p w14:paraId="5A7D4C11" w14:textId="77777777" w:rsidR="00BD5968" w:rsidRPr="006C0823" w:rsidRDefault="00BD5968" w:rsidP="00BD5968">
      <w:r w:rsidRPr="00A95E01">
        <w:rPr>
          <w:rFonts w:eastAsia="Times New Roman" w:cs="Calibri"/>
          <w:color w:val="212121"/>
          <w:spacing w:val="3"/>
          <w:lang w:eastAsia="en-AU"/>
        </w:rPr>
        <w:t>CASA has continued to publish sector risk profiles to improve our shared understanding with industry of sector risks and appropriate treatment plan</w:t>
      </w:r>
      <w:r>
        <w:rPr>
          <w:rFonts w:eastAsia="Times New Roman" w:cs="Calibri"/>
          <w:color w:val="212121"/>
          <w:spacing w:val="3"/>
          <w:lang w:eastAsia="en-AU"/>
        </w:rPr>
        <w:t>s,</w:t>
      </w:r>
      <w:r w:rsidRPr="00A95E01">
        <w:rPr>
          <w:rFonts w:eastAsia="Times New Roman" w:cs="Calibri"/>
          <w:color w:val="212121"/>
          <w:spacing w:val="3"/>
          <w:lang w:eastAsia="en-AU"/>
        </w:rPr>
        <w:t xml:space="preserve"> and to allow authorisation holders to have access to relevant sector information.</w:t>
      </w:r>
    </w:p>
    <w:p w14:paraId="13DC2097" w14:textId="77777777" w:rsidR="00BD5968" w:rsidRPr="006C0823" w:rsidRDefault="00BD5968" w:rsidP="00BD5968">
      <w:pPr>
        <w:pStyle w:val="Heading2"/>
        <w:rPr>
          <w:lang w:val="en-GB"/>
        </w:rPr>
      </w:pPr>
      <w:r>
        <w:rPr>
          <w:lang w:val="en-GB"/>
        </w:rPr>
        <w:t>Fatigue rules</w:t>
      </w:r>
    </w:p>
    <w:p w14:paraId="7EDAF05B" w14:textId="77777777" w:rsidR="00BD5968" w:rsidRPr="00A95E01" w:rsidRDefault="00BD5968" w:rsidP="00BD5968">
      <w:pPr>
        <w:pStyle w:val="Default"/>
        <w:spacing w:after="120"/>
        <w:rPr>
          <w:rFonts w:ascii="Cambria" w:hAnsi="Cambria"/>
        </w:rPr>
      </w:pPr>
      <w:r w:rsidRPr="00A95E01">
        <w:rPr>
          <w:rFonts w:ascii="Cambria" w:hAnsi="Cambria"/>
        </w:rPr>
        <w:t xml:space="preserve">At the request of the CASA Board, an independent review of Civil Aviation Order 48.1 (CAO 48.1) was undertaken in 2017 to benchmark new fatigue rules for operators and pilots with other leading aviation countries. The report was released on 21 March 2018 with a summary of consultation prepared in readiness for the </w:t>
      </w:r>
      <w:r>
        <w:rPr>
          <w:rFonts w:ascii="Cambria" w:hAnsi="Cambria"/>
        </w:rPr>
        <w:t>TWG</w:t>
      </w:r>
      <w:r w:rsidRPr="00A95E01">
        <w:rPr>
          <w:rFonts w:ascii="Cambria" w:hAnsi="Cambria"/>
        </w:rPr>
        <w:t xml:space="preserve"> </w:t>
      </w:r>
      <w:r>
        <w:rPr>
          <w:rFonts w:ascii="Cambria" w:hAnsi="Cambria"/>
        </w:rPr>
        <w:t xml:space="preserve">meeting </w:t>
      </w:r>
      <w:r w:rsidRPr="00A95E01">
        <w:rPr>
          <w:rFonts w:ascii="Cambria" w:hAnsi="Cambria"/>
        </w:rPr>
        <w:t>in July 2018.</w:t>
      </w:r>
    </w:p>
    <w:p w14:paraId="3043D968" w14:textId="77777777" w:rsidR="00BD5968" w:rsidRPr="00A95E01" w:rsidRDefault="00BD5968" w:rsidP="00BD5968">
      <w:pPr>
        <w:rPr>
          <w:szCs w:val="24"/>
        </w:rPr>
      </w:pPr>
      <w:r w:rsidRPr="00A95E01">
        <w:rPr>
          <w:rFonts w:cs="Calibri"/>
          <w:szCs w:val="24"/>
          <w:lang w:val="en"/>
        </w:rPr>
        <w:t xml:space="preserve">The independent review confirmed the need for CASA to modernise Australia’s fatigue rules and provided recommendations which we expect to consult </w:t>
      </w:r>
      <w:r>
        <w:rPr>
          <w:rFonts w:cs="Calibri"/>
          <w:szCs w:val="24"/>
          <w:lang w:val="en"/>
        </w:rPr>
        <w:t>industry about</w:t>
      </w:r>
      <w:r w:rsidRPr="00A95E01">
        <w:rPr>
          <w:rFonts w:cs="Calibri"/>
          <w:szCs w:val="24"/>
          <w:lang w:val="en"/>
        </w:rPr>
        <w:t xml:space="preserve"> and implement later in 2018.</w:t>
      </w:r>
    </w:p>
    <w:p w14:paraId="35F8387C" w14:textId="77777777" w:rsidR="00BD5968" w:rsidRPr="006C0823" w:rsidRDefault="00BD5968" w:rsidP="00BD5968">
      <w:pPr>
        <w:pStyle w:val="Heading2"/>
        <w:rPr>
          <w:lang w:val="en-GB"/>
        </w:rPr>
      </w:pPr>
      <w:r>
        <w:rPr>
          <w:lang w:val="en-GB"/>
        </w:rPr>
        <w:t>Regulation reform program</w:t>
      </w:r>
    </w:p>
    <w:p w14:paraId="0E9BAE63" w14:textId="77777777" w:rsidR="00BD5968" w:rsidRPr="00A95E01" w:rsidRDefault="00BD5968" w:rsidP="00BD5968">
      <w:pPr>
        <w:rPr>
          <w:rFonts w:cs="Calibri"/>
          <w:lang w:val="en"/>
        </w:rPr>
      </w:pPr>
      <w:r w:rsidRPr="00A95E01">
        <w:rPr>
          <w:rFonts w:cs="Calibri"/>
          <w:lang w:val="en"/>
        </w:rPr>
        <w:t>Significant progress was made on CASA’s regulat</w:t>
      </w:r>
      <w:r w:rsidR="00E11031">
        <w:rPr>
          <w:rFonts w:cs="Calibri"/>
          <w:lang w:val="en"/>
        </w:rPr>
        <w:t>ion</w:t>
      </w:r>
      <w:r w:rsidRPr="00A95E01">
        <w:rPr>
          <w:rFonts w:cs="Calibri"/>
          <w:lang w:val="en"/>
        </w:rPr>
        <w:t xml:space="preserve"> reform program. CASR Part 149 – Approved Self Administering </w:t>
      </w:r>
      <w:r>
        <w:rPr>
          <w:rFonts w:cs="Calibri"/>
          <w:lang w:val="en"/>
        </w:rPr>
        <w:t xml:space="preserve">Aviation </w:t>
      </w:r>
      <w:r w:rsidRPr="00A95E01">
        <w:rPr>
          <w:rFonts w:cs="Calibri"/>
          <w:lang w:val="en"/>
        </w:rPr>
        <w:t xml:space="preserve">Organisations </w:t>
      </w:r>
      <w:r w:rsidR="00D11934">
        <w:rPr>
          <w:rFonts w:cs="Calibri"/>
          <w:lang w:val="en"/>
        </w:rPr>
        <w:t>was</w:t>
      </w:r>
      <w:r w:rsidRPr="00A95E01">
        <w:rPr>
          <w:rFonts w:cs="Calibri"/>
          <w:lang w:val="en"/>
        </w:rPr>
        <w:t xml:space="preserve"> made in July 2018. It had been hoped that completion of this Part would take place earlier in 2018</w:t>
      </w:r>
      <w:r>
        <w:rPr>
          <w:rFonts w:cs="Calibri"/>
          <w:lang w:val="en"/>
        </w:rPr>
        <w:t>,</w:t>
      </w:r>
      <w:r w:rsidRPr="00A95E01">
        <w:rPr>
          <w:rFonts w:cs="Calibri"/>
          <w:lang w:val="en"/>
        </w:rPr>
        <w:t xml:space="preserve"> but important </w:t>
      </w:r>
      <w:r w:rsidRPr="00A95E01">
        <w:rPr>
          <w:rFonts w:cs="Calibri"/>
        </w:rPr>
        <w:t>policy-related developments requiring additional consideration and associated drafting adjustments contributed to a longer than expected delay.</w:t>
      </w:r>
    </w:p>
    <w:p w14:paraId="057DCE6E" w14:textId="77777777" w:rsidR="00BD5968" w:rsidRPr="00A95E01" w:rsidRDefault="00BD5968" w:rsidP="00BD5968">
      <w:pPr>
        <w:rPr>
          <w:rFonts w:cs="Calibri"/>
          <w:lang w:val="en"/>
        </w:rPr>
      </w:pPr>
      <w:r w:rsidRPr="00A95E01">
        <w:rPr>
          <w:rFonts w:cs="Calibri"/>
          <w:lang w:val="en"/>
        </w:rPr>
        <w:t>The flight operations regulations</w:t>
      </w:r>
      <w:r w:rsidR="007B625E">
        <w:rPr>
          <w:rFonts w:cs="Calibri"/>
          <w:lang w:val="en"/>
        </w:rPr>
        <w:t>,</w:t>
      </w:r>
      <w:r w:rsidRPr="00A95E01">
        <w:rPr>
          <w:rFonts w:cs="Calibri"/>
          <w:lang w:val="en"/>
        </w:rPr>
        <w:t xml:space="preserve"> including general rules of the air, commercial air transport and aerial work</w:t>
      </w:r>
      <w:r w:rsidR="00E214B3">
        <w:rPr>
          <w:rFonts w:cs="Calibri"/>
          <w:lang w:val="en"/>
        </w:rPr>
        <w:t>,</w:t>
      </w:r>
      <w:r w:rsidRPr="00A95E01">
        <w:rPr>
          <w:rFonts w:cs="Calibri"/>
          <w:lang w:val="en"/>
        </w:rPr>
        <w:t xml:space="preserve"> have been drafted and extensive consultation has taken place with the </w:t>
      </w:r>
      <w:r>
        <w:rPr>
          <w:rFonts w:cs="Calibri"/>
          <w:lang w:val="en"/>
        </w:rPr>
        <w:t>ASAP</w:t>
      </w:r>
      <w:r w:rsidRPr="00A95E01">
        <w:rPr>
          <w:rFonts w:cs="Calibri"/>
          <w:lang w:val="en"/>
        </w:rPr>
        <w:t xml:space="preserve"> and TWGs. CASR Part 91 has also been </w:t>
      </w:r>
      <w:r>
        <w:rPr>
          <w:rFonts w:cs="Calibri"/>
          <w:lang w:val="en"/>
        </w:rPr>
        <w:t xml:space="preserve">through </w:t>
      </w:r>
      <w:r w:rsidRPr="00A95E01">
        <w:rPr>
          <w:rFonts w:cs="Calibri"/>
          <w:lang w:val="en"/>
        </w:rPr>
        <w:t>public consult</w:t>
      </w:r>
      <w:r>
        <w:rPr>
          <w:rFonts w:cs="Calibri"/>
          <w:lang w:val="en"/>
        </w:rPr>
        <w:t>ation</w:t>
      </w:r>
      <w:r w:rsidRPr="00A95E01">
        <w:rPr>
          <w:rFonts w:cs="Calibri"/>
          <w:lang w:val="en"/>
        </w:rPr>
        <w:t xml:space="preserve"> and is being updated based on feedback.</w:t>
      </w:r>
    </w:p>
    <w:p w14:paraId="466509DB" w14:textId="77777777" w:rsidR="00BD5968" w:rsidRPr="00A95E01" w:rsidRDefault="00BD5968" w:rsidP="00BD5968">
      <w:r w:rsidRPr="00A95E01">
        <w:rPr>
          <w:rFonts w:cs="Calibri"/>
          <w:lang w:val="en"/>
        </w:rPr>
        <w:t>Transition of 9</w:t>
      </w:r>
      <w:r w:rsidR="007B625E">
        <w:rPr>
          <w:rFonts w:cs="Calibri"/>
          <w:lang w:val="en"/>
        </w:rPr>
        <w:t>4</w:t>
      </w:r>
      <w:r w:rsidRPr="00A95E01">
        <w:rPr>
          <w:rFonts w:cs="Calibri"/>
          <w:lang w:val="en"/>
        </w:rPr>
        <w:t xml:space="preserve"> foreign air transport operators to CASR Part 12</w:t>
      </w:r>
      <w:r w:rsidR="007B625E">
        <w:rPr>
          <w:rFonts w:cs="Calibri"/>
          <w:lang w:val="en"/>
        </w:rPr>
        <w:t>9</w:t>
      </w:r>
      <w:r w:rsidRPr="00A95E01">
        <w:rPr>
          <w:rFonts w:cs="Calibri"/>
          <w:lang w:val="en"/>
        </w:rPr>
        <w:t xml:space="preserve"> has been completed and limited category aircraft are now operating in accordance with CASR Part 132.</w:t>
      </w:r>
    </w:p>
    <w:p w14:paraId="2D3803BB" w14:textId="77777777" w:rsidR="00BD5968" w:rsidRPr="006C0823" w:rsidRDefault="00BD5968" w:rsidP="00BD5968">
      <w:pPr>
        <w:pStyle w:val="Heading2"/>
        <w:rPr>
          <w:lang w:val="en-GB"/>
        </w:rPr>
      </w:pPr>
      <w:bookmarkStart w:id="22" w:name="_Hlk523488578"/>
      <w:r w:rsidRPr="006C0823">
        <w:rPr>
          <w:lang w:val="en-GB"/>
        </w:rPr>
        <w:lastRenderedPageBreak/>
        <w:t>Financial results</w:t>
      </w:r>
      <w:r>
        <w:rPr>
          <w:lang w:val="en-GB"/>
        </w:rPr>
        <w:t xml:space="preserve"> </w:t>
      </w:r>
    </w:p>
    <w:p w14:paraId="58F3E95C" w14:textId="77777777" w:rsidR="002B6A2D" w:rsidRDefault="00C1036F" w:rsidP="002B6A2D">
      <w:r w:rsidRPr="00CF0E35">
        <w:rPr>
          <w:rFonts w:cs="Calibri"/>
        </w:rPr>
        <w:t xml:space="preserve">CASA recorded an operating surplus of $0.5 million in 2017–18, compared to a $6.9 million surplus in 2016–17. The difference of $6.4 million reflects the overall result of an increase in expenses of $6.5 million. </w:t>
      </w:r>
      <w:r w:rsidR="00380774">
        <w:t>The increase in expenses was the net result of increases related to employee expenses – an increase in average staffing level (to 799 in 2017–18 from 765 in 2016–17), an increase in salaries under the CASA Enterprise Agreement 2016–19, pay point progressions and promotions, and an increase in redundancies – offset by decreases in consultancies and service contracts and insurance expenses.</w:t>
      </w:r>
    </w:p>
    <w:bookmarkEnd w:id="22"/>
    <w:p w14:paraId="2B0F71E8" w14:textId="77777777" w:rsidR="00BD5968" w:rsidRPr="006C0823" w:rsidRDefault="00BD5968" w:rsidP="00BD5968">
      <w:pPr>
        <w:pStyle w:val="Heading2"/>
        <w:rPr>
          <w:lang w:val="en-GB"/>
        </w:rPr>
      </w:pPr>
      <w:r w:rsidRPr="006C0823">
        <w:rPr>
          <w:lang w:val="en-GB"/>
        </w:rPr>
        <w:t>Outcomes not achieved</w:t>
      </w:r>
    </w:p>
    <w:p w14:paraId="0A91A92D" w14:textId="77777777" w:rsidR="00BD5968" w:rsidRDefault="00BD5968" w:rsidP="00BD5968">
      <w:pPr>
        <w:rPr>
          <w:rFonts w:cs="Calibri"/>
        </w:rPr>
      </w:pPr>
      <w:r w:rsidRPr="00A95E01">
        <w:rPr>
          <w:rFonts w:cs="Calibri"/>
        </w:rPr>
        <w:t>There were delays to the program to improve CASA’s EAP (European Aviation Processing) permissions and licensing system</w:t>
      </w:r>
      <w:r>
        <w:rPr>
          <w:rFonts w:cs="Calibri"/>
        </w:rPr>
        <w:t>,</w:t>
      </w:r>
      <w:r w:rsidRPr="00A95E01">
        <w:rPr>
          <w:rFonts w:cs="Calibri"/>
        </w:rPr>
        <w:t xml:space="preserve"> which resulted in us not meeting expected milestones. This was primarily due to the departure of key project management personnel</w:t>
      </w:r>
      <w:r w:rsidR="0094219B">
        <w:rPr>
          <w:rFonts w:cs="Calibri"/>
        </w:rPr>
        <w:t>.</w:t>
      </w:r>
      <w:r w:rsidRPr="00A95E01">
        <w:rPr>
          <w:rFonts w:cs="Calibri"/>
        </w:rPr>
        <w:t xml:space="preserve"> New staff have now been recruited and a revised project plan has been developed. The project is due to recommence in July 2018.</w:t>
      </w:r>
    </w:p>
    <w:p w14:paraId="1113D94D" w14:textId="77777777" w:rsidR="00BD5968" w:rsidRPr="00A95E01" w:rsidRDefault="00BD5968" w:rsidP="00BD5968">
      <w:pPr>
        <w:rPr>
          <w:rFonts w:cs="Calibri"/>
        </w:rPr>
      </w:pPr>
      <w:r>
        <w:rPr>
          <w:rFonts w:cs="Calibri"/>
        </w:rPr>
        <w:t>We</w:t>
      </w:r>
      <w:r w:rsidRPr="00A95E01">
        <w:rPr>
          <w:rFonts w:cs="Calibri"/>
        </w:rPr>
        <w:t xml:space="preserve"> also experienced delays to a planned review of the management of airworthiness delegates by CASA </w:t>
      </w:r>
      <w:r>
        <w:rPr>
          <w:rFonts w:cs="Calibri"/>
        </w:rPr>
        <w:t>and to</w:t>
      </w:r>
      <w:r w:rsidRPr="00A95E01">
        <w:rPr>
          <w:rFonts w:cs="Calibri"/>
        </w:rPr>
        <w:t xml:space="preserve"> the</w:t>
      </w:r>
      <w:r>
        <w:rPr>
          <w:rFonts w:cs="Calibri"/>
        </w:rPr>
        <w:t xml:space="preserve"> implementation of</w:t>
      </w:r>
      <w:r w:rsidRPr="00A95E01">
        <w:rPr>
          <w:rFonts w:cs="Calibri"/>
        </w:rPr>
        <w:t xml:space="preserve"> improvements to CASA’s type certification processes. The planned review for managing airworthiness delegates will recommence during 2018–19 and the improvements to type certification processes </w:t>
      </w:r>
      <w:r>
        <w:rPr>
          <w:rFonts w:cs="Calibri"/>
        </w:rPr>
        <w:t>are</w:t>
      </w:r>
      <w:r w:rsidRPr="00A95E01">
        <w:rPr>
          <w:rFonts w:cs="Calibri"/>
        </w:rPr>
        <w:t xml:space="preserve"> expected to be finalised in 2018–19.</w:t>
      </w:r>
    </w:p>
    <w:p w14:paraId="41840A0F" w14:textId="77777777" w:rsidR="00BD5968" w:rsidRPr="006C0823" w:rsidRDefault="00BD5968" w:rsidP="00BD5968">
      <w:pPr>
        <w:pStyle w:val="Heading2"/>
        <w:rPr>
          <w:lang w:val="en-GB"/>
        </w:rPr>
      </w:pPr>
      <w:r>
        <w:rPr>
          <w:lang w:val="en-GB"/>
        </w:rPr>
        <w:t>The year</w:t>
      </w:r>
      <w:r w:rsidRPr="006C0823">
        <w:rPr>
          <w:lang w:val="en-GB"/>
        </w:rPr>
        <w:t xml:space="preserve"> ahead</w:t>
      </w:r>
    </w:p>
    <w:p w14:paraId="0182A5F0" w14:textId="77777777" w:rsidR="00BD5968" w:rsidRPr="00A95E01" w:rsidRDefault="002B59EA" w:rsidP="00BD5968">
      <w:r>
        <w:t xml:space="preserve">There are a number of </w:t>
      </w:r>
      <w:r w:rsidR="00BD5968" w:rsidRPr="00A95E01">
        <w:t>focus</w:t>
      </w:r>
      <w:r>
        <w:t xml:space="preserve"> areas</w:t>
      </w:r>
      <w:r w:rsidR="00BD5968" w:rsidRPr="00A95E01">
        <w:t xml:space="preserve"> for the year ahead</w:t>
      </w:r>
      <w:r w:rsidR="00E214B3">
        <w:t>,</w:t>
      </w:r>
      <w:r w:rsidR="00BD5968" w:rsidRPr="00A95E01">
        <w:t xml:space="preserve"> </w:t>
      </w:r>
      <w:r>
        <w:t xml:space="preserve">which include </w:t>
      </w:r>
      <w:r w:rsidR="00BD5968" w:rsidRPr="00A95E01">
        <w:t>finalis</w:t>
      </w:r>
      <w:r>
        <w:t>ing</w:t>
      </w:r>
      <w:r w:rsidR="00BD5968" w:rsidRPr="00A95E01">
        <w:t xml:space="preserve"> the regulat</w:t>
      </w:r>
      <w:r>
        <w:t>ion</w:t>
      </w:r>
      <w:r w:rsidR="00BD5968" w:rsidRPr="00A95E01">
        <w:t xml:space="preserve"> reform program</w:t>
      </w:r>
      <w:r>
        <w:t xml:space="preserve">, resolving the fatigue rules, finalising the </w:t>
      </w:r>
      <w:r w:rsidRPr="002B59EA">
        <w:t>MULTICOM</w:t>
      </w:r>
      <w:r>
        <w:t xml:space="preserve"> </w:t>
      </w:r>
      <w:r w:rsidR="003061B3" w:rsidRPr="003061B3">
        <w:t>determination</w:t>
      </w:r>
      <w:r w:rsidRPr="003061B3">
        <w:t xml:space="preserve">, </w:t>
      </w:r>
      <w:r w:rsidR="00BD5968" w:rsidRPr="00A95E01">
        <w:t>and improv</w:t>
      </w:r>
      <w:r>
        <w:t>ing</w:t>
      </w:r>
      <w:r w:rsidR="00BD5968" w:rsidRPr="00A95E01">
        <w:t xml:space="preserve"> and streamli</w:t>
      </w:r>
      <w:r>
        <w:t>ning</w:t>
      </w:r>
      <w:r w:rsidR="00BD5968" w:rsidRPr="00A95E01">
        <w:t xml:space="preserve"> CASA services. The foundational phase of CASA’s </w:t>
      </w:r>
      <w:r w:rsidR="00BD5968">
        <w:t>S</w:t>
      </w:r>
      <w:r w:rsidR="00BD5968" w:rsidRPr="00A95E01">
        <w:t xml:space="preserve">ervice </w:t>
      </w:r>
      <w:r w:rsidR="00BD5968">
        <w:t>D</w:t>
      </w:r>
      <w:r w:rsidR="00BD5968" w:rsidRPr="00A95E01">
        <w:t xml:space="preserve">elivery </w:t>
      </w:r>
      <w:r w:rsidR="00BD5968">
        <w:t>T</w:t>
      </w:r>
      <w:r w:rsidR="00BD5968" w:rsidRPr="00A95E01">
        <w:t>ransformation pro</w:t>
      </w:r>
      <w:r w:rsidR="00BD5968">
        <w:t>gram</w:t>
      </w:r>
      <w:r w:rsidR="00BD5968" w:rsidRPr="00A95E01">
        <w:t xml:space="preserve"> was substantially completed during 2017–18 with the next phases due to be undertaken from August 2018.</w:t>
      </w:r>
    </w:p>
    <w:p w14:paraId="0C249C6A" w14:textId="77777777" w:rsidR="00BD5968" w:rsidRPr="00A95E01" w:rsidRDefault="00BD5968" w:rsidP="00BD5968">
      <w:pPr>
        <w:spacing w:before="120"/>
      </w:pPr>
      <w:r w:rsidRPr="00A95E01">
        <w:t>In keeping with the Government’s response to Recommendation 32 of the Aviation Safety Regulation Review, once the remaining principal parts of the Civil Aviation Safety Regulations have been made, CASA will further review offences and penalties under the civil aviation legislation.</w:t>
      </w:r>
    </w:p>
    <w:p w14:paraId="73915922" w14:textId="77777777" w:rsidR="00BD5968" w:rsidRDefault="00BD5968" w:rsidP="00BD5968">
      <w:r w:rsidRPr="00A95E01">
        <w:rPr>
          <w:rFonts w:cs="Calibri"/>
        </w:rPr>
        <w:t>In February 2018, CASA undertook a stakeholder relationship survey</w:t>
      </w:r>
      <w:r>
        <w:rPr>
          <w:rFonts w:cs="Calibri"/>
        </w:rPr>
        <w:t>,</w:t>
      </w:r>
      <w:r w:rsidRPr="00A95E01">
        <w:rPr>
          <w:rFonts w:cs="Calibri"/>
        </w:rPr>
        <w:t xml:space="preserve"> </w:t>
      </w:r>
      <w:r w:rsidRPr="00E25B70">
        <w:rPr>
          <w:rFonts w:cs="Calibri"/>
          <w:i/>
        </w:rPr>
        <w:t>Measuring our Performance</w:t>
      </w:r>
      <w:r w:rsidRPr="00A95E01">
        <w:rPr>
          <w:rFonts w:cs="Calibri"/>
        </w:rPr>
        <w:t xml:space="preserve">. A random sample of the aviation community was generated by the Operational Safety Analysis team and invitations to take part in the survey were sent in April and May. A total of 1,168 people completed the survey and the overall results were presented to the Board at the end of June 2018. </w:t>
      </w:r>
    </w:p>
    <w:p w14:paraId="2A1575C3" w14:textId="77777777" w:rsidR="00C977E3" w:rsidRDefault="00C977E3" w:rsidP="00C977E3">
      <w:pPr>
        <w:rPr>
          <w:rFonts w:ascii="Calibri" w:hAnsi="Calibri"/>
          <w:sz w:val="22"/>
          <w:lang w:val="en-AU"/>
        </w:rPr>
      </w:pPr>
      <w:r>
        <w:t xml:space="preserve">The results from the stakeholder satisfaction research showed a significant improvement across all aspects of CASA’s relationship with industry compared to </w:t>
      </w:r>
      <w:r w:rsidR="00E214B3">
        <w:t xml:space="preserve">the results of the </w:t>
      </w:r>
      <w:r>
        <w:t xml:space="preserve">previous </w:t>
      </w:r>
      <w:r w:rsidR="00E214B3">
        <w:t>survey, conducted</w:t>
      </w:r>
      <w:r>
        <w:t xml:space="preserve"> in 2015. The overall result was a mean satisfaction rating of 6.2 out of 10 (compared to 4.2 in 2015).</w:t>
      </w:r>
    </w:p>
    <w:p w14:paraId="14537436" w14:textId="77777777" w:rsidR="00C977E3" w:rsidRDefault="00C977E3" w:rsidP="00C977E3">
      <w:r>
        <w:t>Significantly</w:t>
      </w:r>
      <w:r w:rsidR="008A6FE2">
        <w:t>,</w:t>
      </w:r>
      <w:r>
        <w:t xml:space="preserve"> those stakeholders who were ‘satisfied or very satisfied’ with the relationship with CASA increased from 25 per cent in 2015 to 53 per cent in 2018. Additionally, those who were ‘dissatisfied or very dissatisfied’ decreased from 46 per cent in 2015 to 20 per cent in 2018.</w:t>
      </w:r>
    </w:p>
    <w:p w14:paraId="609E0233" w14:textId="77777777" w:rsidR="00C977E3" w:rsidRDefault="00C977E3" w:rsidP="00C977E3">
      <w:r>
        <w:lastRenderedPageBreak/>
        <w:t xml:space="preserve">While the results a show a strong positive change, </w:t>
      </w:r>
      <w:r w:rsidR="00E214B3">
        <w:t>CASA will continue to focus on</w:t>
      </w:r>
      <w:r>
        <w:t xml:space="preserve"> building collaborative relationships with industry.</w:t>
      </w:r>
    </w:p>
    <w:p w14:paraId="28C73C6A" w14:textId="77777777" w:rsidR="00BD5968" w:rsidRPr="006C0823" w:rsidRDefault="00BD5968" w:rsidP="00BD5968">
      <w:pPr>
        <w:pStyle w:val="Heading2"/>
        <w:rPr>
          <w:lang w:val="en-GB"/>
        </w:rPr>
      </w:pPr>
      <w:r>
        <w:rPr>
          <w:lang w:val="en-GB"/>
        </w:rPr>
        <w:t>O</w:t>
      </w:r>
      <w:r w:rsidRPr="006C0823">
        <w:rPr>
          <w:lang w:val="en-GB"/>
        </w:rPr>
        <w:t>ur people</w:t>
      </w:r>
    </w:p>
    <w:p w14:paraId="7E6578D5" w14:textId="77777777" w:rsidR="00BD5968" w:rsidRPr="00147DC1" w:rsidRDefault="00BD5968" w:rsidP="00BD5968">
      <w:r w:rsidRPr="00A95E01">
        <w:rPr>
          <w:rFonts w:cs="Calibri"/>
        </w:rPr>
        <w:t xml:space="preserve">On 30 May 2018, CASA announced a scholarship in honour of our friend and colleague </w:t>
      </w:r>
      <w:r>
        <w:rPr>
          <w:rFonts w:cs="Calibri"/>
        </w:rPr>
        <w:t xml:space="preserve">Mr </w:t>
      </w:r>
      <w:r w:rsidRPr="00A95E01">
        <w:rPr>
          <w:rFonts w:cs="Calibri"/>
        </w:rPr>
        <w:t xml:space="preserve">Stephen Guerin, who </w:t>
      </w:r>
      <w:r>
        <w:rPr>
          <w:rFonts w:cs="Calibri"/>
        </w:rPr>
        <w:t>was one of three people who lost their lives in an</w:t>
      </w:r>
      <w:r w:rsidRPr="00A95E01">
        <w:rPr>
          <w:rFonts w:cs="Calibri"/>
        </w:rPr>
        <w:t xml:space="preserve"> aircraft accident at Renmark, South Australia, on 30 May 2017. </w:t>
      </w:r>
    </w:p>
    <w:p w14:paraId="15D98AC7" w14:textId="77777777" w:rsidR="00BD5968" w:rsidRDefault="00BD5968" w:rsidP="00BD5968">
      <w:pPr>
        <w:rPr>
          <w:szCs w:val="24"/>
        </w:rPr>
      </w:pPr>
      <w:r w:rsidRPr="00A95E01">
        <w:rPr>
          <w:rFonts w:cs="Calibri"/>
        </w:rPr>
        <w:t>Stephen had an extensive career in aviation, working as a pilot before joining CASA in 2008</w:t>
      </w:r>
      <w:r>
        <w:rPr>
          <w:rFonts w:cs="Calibri"/>
        </w:rPr>
        <w:t>,</w:t>
      </w:r>
      <w:r w:rsidRPr="00A95E01">
        <w:rPr>
          <w:rFonts w:cs="Calibri"/>
        </w:rPr>
        <w:t xml:space="preserve"> and was passionate about aviation and aviation safety. In honouring Stephen and his commitment to aviation, the $15,000 </w:t>
      </w:r>
      <w:r>
        <w:rPr>
          <w:rFonts w:cs="Calibri"/>
        </w:rPr>
        <w:t>annual</w:t>
      </w:r>
      <w:r w:rsidRPr="00A95E01">
        <w:rPr>
          <w:rFonts w:cs="Calibri"/>
        </w:rPr>
        <w:t xml:space="preserve"> scholarship will be made available to three individuals – one each year over the next three years </w:t>
      </w:r>
      <w:r>
        <w:rPr>
          <w:rFonts w:cs="Calibri"/>
        </w:rPr>
        <w:t>–</w:t>
      </w:r>
      <w:r w:rsidRPr="00A95E01">
        <w:rPr>
          <w:rFonts w:cs="Calibri"/>
        </w:rPr>
        <w:t xml:space="preserve"> and is open to pilots in South Australia studying for a commercial pilot licence or higher qualification.</w:t>
      </w:r>
    </w:p>
    <w:p w14:paraId="55ADB076" w14:textId="77777777" w:rsidR="00BD5968" w:rsidRPr="006C0823" w:rsidRDefault="00BD5968" w:rsidP="00BD5968">
      <w:pPr>
        <w:pStyle w:val="Heading2"/>
        <w:rPr>
          <w:lang w:val="en-GB"/>
        </w:rPr>
      </w:pPr>
      <w:r>
        <w:rPr>
          <w:lang w:val="en-GB"/>
        </w:rPr>
        <w:t>Safe skies for all</w:t>
      </w:r>
    </w:p>
    <w:p w14:paraId="0357733E" w14:textId="77777777" w:rsidR="00BD5968" w:rsidRPr="00A95E01" w:rsidRDefault="00BD5968" w:rsidP="000012B1">
      <w:pPr>
        <w:pStyle w:val="NormalWeb"/>
        <w:rPr>
          <w:rFonts w:ascii="Cambria" w:hAnsi="Cambria" w:cs="Calibri"/>
          <w:sz w:val="24"/>
          <w:szCs w:val="24"/>
        </w:rPr>
      </w:pPr>
      <w:r w:rsidRPr="00A95E01">
        <w:rPr>
          <w:rFonts w:ascii="Cambria" w:hAnsi="Cambria" w:cs="Calibri"/>
          <w:sz w:val="24"/>
          <w:szCs w:val="24"/>
        </w:rPr>
        <w:t xml:space="preserve">It </w:t>
      </w:r>
      <w:r>
        <w:rPr>
          <w:rFonts w:ascii="Cambria" w:hAnsi="Cambria" w:cs="Calibri"/>
          <w:sz w:val="24"/>
          <w:szCs w:val="24"/>
        </w:rPr>
        <w:t>was</w:t>
      </w:r>
      <w:r w:rsidRPr="00A95E01">
        <w:rPr>
          <w:rFonts w:ascii="Cambria" w:hAnsi="Cambria" w:cs="Calibri"/>
          <w:sz w:val="24"/>
          <w:szCs w:val="24"/>
        </w:rPr>
        <w:t xml:space="preserve"> an eventful year for CASA as staff </w:t>
      </w:r>
      <w:r>
        <w:rPr>
          <w:rFonts w:ascii="Cambria" w:hAnsi="Cambria" w:cs="Calibri"/>
          <w:sz w:val="24"/>
          <w:szCs w:val="24"/>
        </w:rPr>
        <w:t>went</w:t>
      </w:r>
      <w:r w:rsidRPr="00A95E01">
        <w:rPr>
          <w:rFonts w:ascii="Cambria" w:hAnsi="Cambria" w:cs="Calibri"/>
          <w:sz w:val="24"/>
          <w:szCs w:val="24"/>
        </w:rPr>
        <w:t xml:space="preserve"> through organisational change to further align the roles and responsibilities of our branches. This can be a disruptive process</w:t>
      </w:r>
      <w:r>
        <w:rPr>
          <w:rFonts w:ascii="Cambria" w:hAnsi="Cambria" w:cs="Calibri"/>
          <w:sz w:val="24"/>
          <w:szCs w:val="24"/>
        </w:rPr>
        <w:t>,</w:t>
      </w:r>
      <w:r w:rsidRPr="00A95E01">
        <w:rPr>
          <w:rFonts w:ascii="Cambria" w:hAnsi="Cambria" w:cs="Calibri"/>
          <w:sz w:val="24"/>
          <w:szCs w:val="24"/>
        </w:rPr>
        <w:t xml:space="preserve"> and I thank our people for their support during this time and for their </w:t>
      </w:r>
      <w:r w:rsidR="002B59EA">
        <w:rPr>
          <w:rFonts w:ascii="Cambria" w:hAnsi="Cambria" w:cs="Calibri"/>
          <w:sz w:val="24"/>
          <w:szCs w:val="24"/>
        </w:rPr>
        <w:t xml:space="preserve">continued </w:t>
      </w:r>
      <w:r w:rsidRPr="00A95E01">
        <w:rPr>
          <w:rFonts w:ascii="Cambria" w:hAnsi="Cambria" w:cs="Calibri"/>
          <w:sz w:val="24"/>
          <w:szCs w:val="24"/>
        </w:rPr>
        <w:t xml:space="preserve">commitment to aviation safety. </w:t>
      </w:r>
    </w:p>
    <w:p w14:paraId="4CECB2DE" w14:textId="77777777" w:rsidR="00BD5968" w:rsidRPr="00A95E01" w:rsidRDefault="00BD5968" w:rsidP="00A40479">
      <w:pPr>
        <w:pStyle w:val="NormalWeb"/>
        <w:rPr>
          <w:rFonts w:ascii="Cambria" w:hAnsi="Cambria" w:cs="Calibri"/>
          <w:sz w:val="24"/>
          <w:szCs w:val="24"/>
        </w:rPr>
      </w:pPr>
      <w:r w:rsidRPr="00A95E01">
        <w:rPr>
          <w:rFonts w:ascii="Cambria" w:hAnsi="Cambria" w:cs="Calibri"/>
          <w:sz w:val="24"/>
          <w:szCs w:val="24"/>
        </w:rPr>
        <w:t xml:space="preserve">As </w:t>
      </w:r>
      <w:r w:rsidR="00582F61">
        <w:rPr>
          <w:rFonts w:ascii="Cambria" w:hAnsi="Cambria" w:cs="Calibri"/>
          <w:sz w:val="24"/>
          <w:szCs w:val="24"/>
        </w:rPr>
        <w:t>reflected</w:t>
      </w:r>
      <w:r w:rsidRPr="00A95E01">
        <w:rPr>
          <w:rFonts w:ascii="Cambria" w:hAnsi="Cambria" w:cs="Calibri"/>
          <w:sz w:val="24"/>
          <w:szCs w:val="24"/>
        </w:rPr>
        <w:t xml:space="preserve"> in CASA’s regulatory philosophy, a deep and abiding commitment to safety must be at the heart of everything an operator does, in the same way that a sound commitment to good regulatory practice </w:t>
      </w:r>
      <w:r>
        <w:rPr>
          <w:rFonts w:ascii="Cambria" w:hAnsi="Cambria" w:cs="Calibri"/>
          <w:sz w:val="24"/>
          <w:szCs w:val="24"/>
        </w:rPr>
        <w:t>must</w:t>
      </w:r>
      <w:r w:rsidRPr="00A95E01">
        <w:rPr>
          <w:rFonts w:ascii="Cambria" w:hAnsi="Cambria" w:cs="Calibri"/>
          <w:sz w:val="24"/>
          <w:szCs w:val="24"/>
        </w:rPr>
        <w:t xml:space="preserve"> be at the heart of everything CASA does.</w:t>
      </w:r>
    </w:p>
    <w:p w14:paraId="2F96C1F8" w14:textId="77777777" w:rsidR="00BD5968" w:rsidRPr="00A95E01" w:rsidRDefault="00BD5968" w:rsidP="004510EA">
      <w:pPr>
        <w:pStyle w:val="NormalWeb"/>
        <w:rPr>
          <w:rFonts w:ascii="Cambria" w:hAnsi="Cambria" w:cs="Calibri"/>
          <w:sz w:val="24"/>
          <w:szCs w:val="24"/>
        </w:rPr>
      </w:pPr>
      <w:r w:rsidRPr="00A95E01">
        <w:rPr>
          <w:rFonts w:ascii="Cambria" w:hAnsi="Cambria" w:cs="Calibri"/>
          <w:sz w:val="24"/>
          <w:szCs w:val="24"/>
        </w:rPr>
        <w:t xml:space="preserve">During the year it </w:t>
      </w:r>
      <w:r>
        <w:rPr>
          <w:rFonts w:ascii="Cambria" w:hAnsi="Cambria" w:cs="Calibri"/>
          <w:sz w:val="24"/>
          <w:szCs w:val="24"/>
        </w:rPr>
        <w:t>became</w:t>
      </w:r>
      <w:r w:rsidRPr="00A95E01">
        <w:rPr>
          <w:rFonts w:ascii="Cambria" w:hAnsi="Cambria" w:cs="Calibri"/>
          <w:sz w:val="24"/>
          <w:szCs w:val="24"/>
        </w:rPr>
        <w:t xml:space="preserve"> very clear to me that the public is unforgiving of a regulator wh</w:t>
      </w:r>
      <w:r>
        <w:rPr>
          <w:rFonts w:ascii="Cambria" w:hAnsi="Cambria" w:cs="Calibri"/>
          <w:sz w:val="24"/>
          <w:szCs w:val="24"/>
        </w:rPr>
        <w:t>ich</w:t>
      </w:r>
      <w:r w:rsidRPr="00A95E01">
        <w:rPr>
          <w:rFonts w:ascii="Cambria" w:hAnsi="Cambria" w:cs="Calibri"/>
          <w:sz w:val="24"/>
          <w:szCs w:val="24"/>
        </w:rPr>
        <w:t xml:space="preserve"> does not apply the rules </w:t>
      </w:r>
      <w:r>
        <w:rPr>
          <w:rFonts w:ascii="Cambria" w:hAnsi="Cambria" w:cs="Calibri"/>
          <w:sz w:val="24"/>
          <w:szCs w:val="24"/>
        </w:rPr>
        <w:t>that it has at its</w:t>
      </w:r>
      <w:r w:rsidRPr="00A95E01">
        <w:rPr>
          <w:rFonts w:ascii="Cambria" w:hAnsi="Cambria" w:cs="Calibri"/>
          <w:sz w:val="24"/>
          <w:szCs w:val="24"/>
        </w:rPr>
        <w:t xml:space="preserve"> disposal. </w:t>
      </w:r>
      <w:r w:rsidR="003C537B">
        <w:rPr>
          <w:rFonts w:ascii="Cambria" w:hAnsi="Cambria" w:cs="Calibri"/>
          <w:sz w:val="24"/>
          <w:szCs w:val="24"/>
        </w:rPr>
        <w:t>W</w:t>
      </w:r>
      <w:r w:rsidRPr="00A95E01">
        <w:rPr>
          <w:rFonts w:ascii="Cambria" w:hAnsi="Cambria" w:cs="Calibri"/>
          <w:sz w:val="24"/>
          <w:szCs w:val="24"/>
        </w:rPr>
        <w:t>e need to ensure that</w:t>
      </w:r>
      <w:r>
        <w:rPr>
          <w:rFonts w:ascii="Cambria" w:hAnsi="Cambria" w:cs="Calibri"/>
          <w:sz w:val="24"/>
          <w:szCs w:val="24"/>
        </w:rPr>
        <w:t>,</w:t>
      </w:r>
      <w:r w:rsidRPr="00A95E01">
        <w:rPr>
          <w:rFonts w:ascii="Cambria" w:hAnsi="Cambria" w:cs="Calibri"/>
          <w:sz w:val="24"/>
          <w:szCs w:val="24"/>
        </w:rPr>
        <w:t xml:space="preserve"> as a safety regulator, we are capable, confident and willing to apply regulation in an appropriately balanced, proportionate and pragmatic way. At CASA, we seek to be fair and ensure that we are applying the rules as firmly as each situation requires. Aviation safety depends on us.</w:t>
      </w:r>
    </w:p>
    <w:p w14:paraId="459C2055" w14:textId="77777777" w:rsidR="00BD5968" w:rsidRPr="00A95E01" w:rsidRDefault="00BD5968" w:rsidP="00BD5968">
      <w:pPr>
        <w:rPr>
          <w:szCs w:val="24"/>
        </w:rPr>
      </w:pPr>
      <w:r w:rsidRPr="00A95E01">
        <w:rPr>
          <w:szCs w:val="24"/>
        </w:rPr>
        <w:t xml:space="preserve">My colleagues and I are committed to the achievement of CASA’s vision of </w:t>
      </w:r>
      <w:r w:rsidRPr="00A95E01">
        <w:rPr>
          <w:i/>
          <w:szCs w:val="24"/>
        </w:rPr>
        <w:t>Safe skies for all</w:t>
      </w:r>
      <w:r w:rsidRPr="00A95E01">
        <w:rPr>
          <w:szCs w:val="24"/>
        </w:rPr>
        <w:t xml:space="preserve"> through our decision</w:t>
      </w:r>
      <w:r>
        <w:rPr>
          <w:szCs w:val="24"/>
        </w:rPr>
        <w:t>-</w:t>
      </w:r>
      <w:r w:rsidRPr="00A95E01">
        <w:rPr>
          <w:szCs w:val="24"/>
        </w:rPr>
        <w:t>making and the work that we do every day.</w:t>
      </w:r>
    </w:p>
    <w:p w14:paraId="0CD88C68" w14:textId="77777777" w:rsidR="00BD5968" w:rsidRDefault="00BD5968" w:rsidP="00BD5968">
      <w:pPr>
        <w:rPr>
          <w:szCs w:val="24"/>
        </w:rPr>
      </w:pPr>
    </w:p>
    <w:p w14:paraId="6A8F16A5" w14:textId="77777777" w:rsidR="00BD5968" w:rsidRPr="00CC0E8C" w:rsidRDefault="00BD5968" w:rsidP="00BD5968">
      <w:r w:rsidRPr="006C0823">
        <w:rPr>
          <w:szCs w:val="24"/>
        </w:rPr>
        <w:t>Shane Carmody</w:t>
      </w:r>
      <w:r w:rsidRPr="006C0823">
        <w:rPr>
          <w:szCs w:val="24"/>
        </w:rPr>
        <w:br/>
      </w:r>
      <w:r w:rsidRPr="00CC0E8C">
        <w:t xml:space="preserve">Chief Executive Officer and Director of Aviation Safety </w:t>
      </w:r>
      <w:bookmarkEnd w:id="21"/>
    </w:p>
    <w:p w14:paraId="0E649FDF" w14:textId="77777777" w:rsidR="00BD5968" w:rsidRPr="006C0823" w:rsidRDefault="00BD5968" w:rsidP="00BD5968"/>
    <w:p w14:paraId="4555DF04" w14:textId="77777777" w:rsidR="00BD5968" w:rsidRPr="006C0823" w:rsidRDefault="00BD5968" w:rsidP="00BD5968">
      <w:pPr>
        <w:spacing w:after="0"/>
        <w:sectPr w:rsidR="00BD5968" w:rsidRPr="006C0823" w:rsidSect="001F77E0">
          <w:headerReference w:type="even" r:id="rId20"/>
          <w:headerReference w:type="default" r:id="rId21"/>
          <w:footerReference w:type="default" r:id="rId22"/>
          <w:pgSz w:w="11907" w:h="16840" w:code="9"/>
          <w:pgMar w:top="1440" w:right="1440" w:bottom="1440"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7403"/>
      </w:tblGrid>
      <w:tr w:rsidR="00BD5968" w:rsidRPr="00687E4A" w14:paraId="23EB3AA1" w14:textId="77777777" w:rsidTr="00DA71E3">
        <w:trPr>
          <w:tblHeader/>
        </w:trPr>
        <w:tc>
          <w:tcPr>
            <w:tcW w:w="5000" w:type="pct"/>
            <w:gridSpan w:val="2"/>
            <w:shd w:val="clear" w:color="auto" w:fill="B8CCE4"/>
            <w:vAlign w:val="center"/>
          </w:tcPr>
          <w:p w14:paraId="0A596E5A" w14:textId="77777777" w:rsidR="00BD5968" w:rsidRPr="00687E4A" w:rsidRDefault="00BD5968" w:rsidP="006E2310">
            <w:pPr>
              <w:pStyle w:val="TableHeading"/>
            </w:pPr>
            <w:r w:rsidRPr="00687E4A">
              <w:lastRenderedPageBreak/>
              <w:t>Key moments of Australian aviation safety history</w:t>
            </w:r>
          </w:p>
        </w:tc>
      </w:tr>
      <w:tr w:rsidR="00BD5968" w:rsidRPr="00687E4A" w14:paraId="4A3CE1D0" w14:textId="77777777" w:rsidTr="00DA71E3">
        <w:tc>
          <w:tcPr>
            <w:tcW w:w="895" w:type="pct"/>
            <w:shd w:val="clear" w:color="auto" w:fill="D9D9D9"/>
          </w:tcPr>
          <w:p w14:paraId="1234F45A" w14:textId="77777777" w:rsidR="00BD5968" w:rsidRPr="00687E4A" w:rsidRDefault="00BD5968" w:rsidP="006E2310">
            <w:pPr>
              <w:pStyle w:val="TableText"/>
              <w:rPr>
                <w:rFonts w:eastAsia="Times New Roman"/>
              </w:rPr>
            </w:pPr>
            <w:r w:rsidRPr="00687E4A">
              <w:rPr>
                <w:rFonts w:eastAsia="Times New Roman"/>
              </w:rPr>
              <w:t>March 1910</w:t>
            </w:r>
          </w:p>
        </w:tc>
        <w:tc>
          <w:tcPr>
            <w:tcW w:w="4105" w:type="pct"/>
            <w:shd w:val="clear" w:color="auto" w:fill="D9D9D9"/>
          </w:tcPr>
          <w:p w14:paraId="148EED93" w14:textId="77777777" w:rsidR="00BD5968" w:rsidRPr="00687E4A" w:rsidRDefault="00BD5968" w:rsidP="006E2310">
            <w:pPr>
              <w:pStyle w:val="TableText"/>
              <w:rPr>
                <w:rFonts w:eastAsia="Times New Roman"/>
              </w:rPr>
            </w:pPr>
            <w:r w:rsidRPr="00687E4A">
              <w:rPr>
                <w:rFonts w:eastAsia="Times New Roman"/>
              </w:rPr>
              <w:t>The first flight of a powered aircraft in Australia took place.</w:t>
            </w:r>
          </w:p>
        </w:tc>
      </w:tr>
      <w:tr w:rsidR="00BD5968" w:rsidRPr="00687E4A" w14:paraId="62CA6CB5" w14:textId="77777777" w:rsidTr="00DA71E3">
        <w:tc>
          <w:tcPr>
            <w:tcW w:w="895" w:type="pct"/>
          </w:tcPr>
          <w:p w14:paraId="1CAFD85C" w14:textId="77777777" w:rsidR="00BD5968" w:rsidRPr="00687E4A" w:rsidRDefault="00BD5968" w:rsidP="006E2310">
            <w:pPr>
              <w:pStyle w:val="TableText"/>
              <w:rPr>
                <w:rFonts w:eastAsia="Times New Roman"/>
              </w:rPr>
            </w:pPr>
            <w:r w:rsidRPr="00687E4A">
              <w:rPr>
                <w:rFonts w:eastAsia="Times New Roman"/>
              </w:rPr>
              <w:t>October 1919</w:t>
            </w:r>
          </w:p>
        </w:tc>
        <w:tc>
          <w:tcPr>
            <w:tcW w:w="4105" w:type="pct"/>
          </w:tcPr>
          <w:p w14:paraId="210BF533" w14:textId="77777777" w:rsidR="00BD5968" w:rsidRPr="00687E4A" w:rsidRDefault="00BD5968" w:rsidP="006E2310">
            <w:pPr>
              <w:pStyle w:val="TableText"/>
              <w:rPr>
                <w:rFonts w:eastAsia="Times New Roman"/>
              </w:rPr>
            </w:pPr>
            <w:r w:rsidRPr="00687E4A">
              <w:rPr>
                <w:rFonts w:eastAsia="Times New Roman"/>
              </w:rPr>
              <w:t>The International Convention Relating to Air Navigation (Paris Convention) was signed. The convention entered into force in Australia on 1 June 1922.</w:t>
            </w:r>
          </w:p>
        </w:tc>
      </w:tr>
      <w:tr w:rsidR="00BD5968" w:rsidRPr="00687E4A" w14:paraId="24E325F3" w14:textId="77777777" w:rsidTr="00DA71E3">
        <w:tc>
          <w:tcPr>
            <w:tcW w:w="895" w:type="pct"/>
            <w:shd w:val="clear" w:color="auto" w:fill="D9D9D9"/>
          </w:tcPr>
          <w:p w14:paraId="0AB94B07" w14:textId="77777777" w:rsidR="00BD5968" w:rsidRPr="00687E4A" w:rsidRDefault="00BD5968" w:rsidP="006E2310">
            <w:pPr>
              <w:pStyle w:val="TableText"/>
              <w:rPr>
                <w:rFonts w:eastAsia="Times New Roman"/>
              </w:rPr>
            </w:pPr>
            <w:r w:rsidRPr="00687E4A">
              <w:rPr>
                <w:rFonts w:eastAsia="Times New Roman"/>
              </w:rPr>
              <w:t>March 1921</w:t>
            </w:r>
          </w:p>
        </w:tc>
        <w:tc>
          <w:tcPr>
            <w:tcW w:w="4105" w:type="pct"/>
            <w:shd w:val="clear" w:color="auto" w:fill="D9D9D9"/>
          </w:tcPr>
          <w:p w14:paraId="017FF4E8" w14:textId="77777777" w:rsidR="00BD5968" w:rsidRPr="00687E4A" w:rsidRDefault="00BD5968" w:rsidP="006E2310">
            <w:pPr>
              <w:pStyle w:val="TableText"/>
              <w:rPr>
                <w:rFonts w:eastAsia="Times New Roman"/>
              </w:rPr>
            </w:pPr>
            <w:r w:rsidRPr="00687E4A">
              <w:rPr>
                <w:rFonts w:eastAsia="Times New Roman"/>
              </w:rPr>
              <w:t>The Civil Aviation Branch of the Department of Defence, Australia’s first Commonwealth agency with responsibility for civil aviation, was established.</w:t>
            </w:r>
          </w:p>
        </w:tc>
      </w:tr>
      <w:tr w:rsidR="00BD5968" w:rsidRPr="00687E4A" w14:paraId="37762E27" w14:textId="77777777" w:rsidTr="00DA71E3">
        <w:tc>
          <w:tcPr>
            <w:tcW w:w="895" w:type="pct"/>
          </w:tcPr>
          <w:p w14:paraId="3933A190" w14:textId="77777777" w:rsidR="00BD5968" w:rsidRPr="00687E4A" w:rsidRDefault="00BD5968" w:rsidP="006E2310">
            <w:pPr>
              <w:pStyle w:val="TableText"/>
              <w:rPr>
                <w:rFonts w:eastAsia="Times New Roman"/>
              </w:rPr>
            </w:pPr>
            <w:r w:rsidRPr="00687E4A">
              <w:rPr>
                <w:rFonts w:eastAsia="Times New Roman"/>
              </w:rPr>
              <w:t>November 1938</w:t>
            </w:r>
          </w:p>
        </w:tc>
        <w:tc>
          <w:tcPr>
            <w:tcW w:w="4105" w:type="pct"/>
          </w:tcPr>
          <w:p w14:paraId="0CC9DED4" w14:textId="77777777" w:rsidR="00BD5968" w:rsidRPr="00687E4A" w:rsidRDefault="00BD5968" w:rsidP="006E2310">
            <w:pPr>
              <w:pStyle w:val="TableText"/>
              <w:rPr>
                <w:rFonts w:eastAsia="Times New Roman"/>
              </w:rPr>
            </w:pPr>
            <w:r w:rsidRPr="00687E4A">
              <w:rPr>
                <w:rFonts w:eastAsia="Times New Roman"/>
              </w:rPr>
              <w:t>The Department of Civil Aviation, Australia’s first Commonwealth department dedicated to civil aviation, was established.</w:t>
            </w:r>
          </w:p>
        </w:tc>
      </w:tr>
      <w:tr w:rsidR="00BD5968" w:rsidRPr="00687E4A" w14:paraId="6E75BE70" w14:textId="77777777" w:rsidTr="00DA71E3">
        <w:tc>
          <w:tcPr>
            <w:tcW w:w="895" w:type="pct"/>
            <w:shd w:val="clear" w:color="auto" w:fill="D9D9D9"/>
          </w:tcPr>
          <w:p w14:paraId="4BD55E6A" w14:textId="77777777" w:rsidR="00BD5968" w:rsidRPr="00687E4A" w:rsidRDefault="00BD5968" w:rsidP="006E2310">
            <w:pPr>
              <w:pStyle w:val="TableText"/>
              <w:rPr>
                <w:rFonts w:eastAsia="Times New Roman"/>
              </w:rPr>
            </w:pPr>
            <w:r w:rsidRPr="00687E4A">
              <w:rPr>
                <w:rFonts w:eastAsia="Times New Roman"/>
              </w:rPr>
              <w:t>December 1944</w:t>
            </w:r>
          </w:p>
        </w:tc>
        <w:tc>
          <w:tcPr>
            <w:tcW w:w="4105" w:type="pct"/>
            <w:shd w:val="clear" w:color="auto" w:fill="D9D9D9"/>
          </w:tcPr>
          <w:p w14:paraId="5393F6F4" w14:textId="77777777" w:rsidR="00BD5968" w:rsidRPr="00687E4A" w:rsidRDefault="00BD5968" w:rsidP="006E2310">
            <w:pPr>
              <w:pStyle w:val="TableText"/>
              <w:rPr>
                <w:rFonts w:eastAsia="Times New Roman"/>
              </w:rPr>
            </w:pPr>
            <w:r w:rsidRPr="00687E4A">
              <w:rPr>
                <w:rFonts w:eastAsia="Times New Roman"/>
              </w:rPr>
              <w:t xml:space="preserve">The Convention on International Civil Aviation (Chicago Convention) was signed. The convention entered into force in Australia on 4 April 1947. </w:t>
            </w:r>
          </w:p>
        </w:tc>
      </w:tr>
      <w:tr w:rsidR="00BD5968" w:rsidRPr="00687E4A" w14:paraId="4A8942D5" w14:textId="77777777" w:rsidTr="00DA71E3">
        <w:tc>
          <w:tcPr>
            <w:tcW w:w="895" w:type="pct"/>
          </w:tcPr>
          <w:p w14:paraId="3617B9B0" w14:textId="77777777" w:rsidR="00BD5968" w:rsidRPr="00687E4A" w:rsidRDefault="00BD5968" w:rsidP="006E2310">
            <w:pPr>
              <w:pStyle w:val="TableText"/>
              <w:rPr>
                <w:rFonts w:eastAsia="Times New Roman"/>
              </w:rPr>
            </w:pPr>
            <w:r w:rsidRPr="00687E4A">
              <w:rPr>
                <w:rFonts w:eastAsia="Times New Roman"/>
              </w:rPr>
              <w:t>July 1988</w:t>
            </w:r>
          </w:p>
        </w:tc>
        <w:tc>
          <w:tcPr>
            <w:tcW w:w="4105" w:type="pct"/>
          </w:tcPr>
          <w:p w14:paraId="473B5719" w14:textId="77777777" w:rsidR="00BD5968" w:rsidRPr="00687E4A" w:rsidRDefault="00BD5968" w:rsidP="006E2310">
            <w:pPr>
              <w:pStyle w:val="TableText"/>
              <w:rPr>
                <w:rFonts w:eastAsia="Times New Roman"/>
              </w:rPr>
            </w:pPr>
            <w:r w:rsidRPr="00687E4A">
              <w:rPr>
                <w:rFonts w:eastAsia="Times New Roman"/>
              </w:rPr>
              <w:t xml:space="preserve">The Civil Aviation Authority, Australia’s first statutory authority with responsibility for civil aviation, was established under the </w:t>
            </w:r>
            <w:r w:rsidRPr="00687E4A">
              <w:rPr>
                <w:rFonts w:eastAsia="Times New Roman"/>
                <w:i/>
              </w:rPr>
              <w:t>Civil Aviation Act 1988</w:t>
            </w:r>
            <w:r w:rsidRPr="00687E4A">
              <w:rPr>
                <w:rFonts w:eastAsia="Times New Roman"/>
              </w:rPr>
              <w:t>.</w:t>
            </w:r>
          </w:p>
        </w:tc>
      </w:tr>
      <w:tr w:rsidR="00BD5968" w:rsidRPr="00687E4A" w14:paraId="6741F78F" w14:textId="77777777" w:rsidTr="00DA71E3">
        <w:tc>
          <w:tcPr>
            <w:tcW w:w="895" w:type="pct"/>
            <w:shd w:val="clear" w:color="auto" w:fill="D9D9D9"/>
          </w:tcPr>
          <w:p w14:paraId="0ED5BCAC" w14:textId="77777777" w:rsidR="00BD5968" w:rsidRPr="00687E4A" w:rsidRDefault="00BD5968" w:rsidP="006E2310">
            <w:pPr>
              <w:pStyle w:val="TableText"/>
              <w:rPr>
                <w:rFonts w:eastAsia="Times New Roman"/>
              </w:rPr>
            </w:pPr>
            <w:r w:rsidRPr="00687E4A">
              <w:rPr>
                <w:rFonts w:eastAsia="Times New Roman"/>
              </w:rPr>
              <w:t>Early 1990s</w:t>
            </w:r>
          </w:p>
        </w:tc>
        <w:tc>
          <w:tcPr>
            <w:tcW w:w="4105" w:type="pct"/>
            <w:shd w:val="clear" w:color="auto" w:fill="D9D9D9"/>
          </w:tcPr>
          <w:p w14:paraId="38B3DD6A" w14:textId="77777777" w:rsidR="00BD5968" w:rsidRPr="00687E4A" w:rsidRDefault="00BD5968" w:rsidP="006E2310">
            <w:pPr>
              <w:pStyle w:val="TableText"/>
              <w:rPr>
                <w:rFonts w:eastAsia="Times New Roman"/>
              </w:rPr>
            </w:pPr>
            <w:r w:rsidRPr="00687E4A">
              <w:rPr>
                <w:rFonts w:eastAsia="Times New Roman"/>
              </w:rPr>
              <w:t>The Future Air Navigation System, developed by the International Civil Aviation Organization in partnership with key air transport and industry stakeholders, was introduced. It has resulted in significantly more efficient operations for airline operators and is now improving the safety of all operations by the use of required navigation performance for instrument approach procedures.</w:t>
            </w:r>
          </w:p>
        </w:tc>
      </w:tr>
      <w:tr w:rsidR="00BD5968" w:rsidRPr="00687E4A" w14:paraId="24263908" w14:textId="77777777" w:rsidTr="00DA71E3">
        <w:tc>
          <w:tcPr>
            <w:tcW w:w="895" w:type="pct"/>
            <w:shd w:val="clear" w:color="auto" w:fill="auto"/>
          </w:tcPr>
          <w:p w14:paraId="68C310CC" w14:textId="77777777" w:rsidR="00BD5968" w:rsidRPr="00687E4A" w:rsidRDefault="00BD5968" w:rsidP="006E2310">
            <w:pPr>
              <w:pStyle w:val="TableText"/>
              <w:rPr>
                <w:rFonts w:eastAsia="Times New Roman"/>
              </w:rPr>
            </w:pPr>
            <w:r w:rsidRPr="00687E4A">
              <w:rPr>
                <w:rFonts w:eastAsia="Times New Roman"/>
              </w:rPr>
              <w:t>July 1995</w:t>
            </w:r>
          </w:p>
        </w:tc>
        <w:tc>
          <w:tcPr>
            <w:tcW w:w="4105" w:type="pct"/>
            <w:shd w:val="clear" w:color="auto" w:fill="auto"/>
          </w:tcPr>
          <w:p w14:paraId="1E6858E0" w14:textId="77777777" w:rsidR="00BD5968" w:rsidRPr="00687E4A" w:rsidRDefault="00BD5968" w:rsidP="006E2310">
            <w:pPr>
              <w:pStyle w:val="TableText"/>
              <w:rPr>
                <w:rFonts w:eastAsia="Times New Roman"/>
              </w:rPr>
            </w:pPr>
            <w:r w:rsidRPr="00687E4A">
              <w:rPr>
                <w:rFonts w:eastAsia="Times New Roman"/>
              </w:rPr>
              <w:t xml:space="preserve">The </w:t>
            </w:r>
            <w:r w:rsidRPr="00687E4A">
              <w:rPr>
                <w:rFonts w:eastAsia="Times New Roman"/>
                <w:i/>
              </w:rPr>
              <w:t>Civil Aviation Legislation Amendment Act 1995</w:t>
            </w:r>
            <w:r w:rsidRPr="00687E4A">
              <w:rPr>
                <w:rFonts w:eastAsia="Times New Roman"/>
              </w:rPr>
              <w:t xml:space="preserve"> and the </w:t>
            </w:r>
            <w:r w:rsidRPr="00687E4A">
              <w:rPr>
                <w:rFonts w:eastAsia="Times New Roman"/>
                <w:i/>
              </w:rPr>
              <w:t>Air Services Act 1995</w:t>
            </w:r>
            <w:r w:rsidRPr="00687E4A">
              <w:rPr>
                <w:rFonts w:eastAsia="Times New Roman"/>
              </w:rPr>
              <w:t xml:space="preserve"> replaced the Civil Aviation Authority with two separate organisations: the Civil Aviation Safety Authority (CASA) and Airservices Australia (Airservices).</w:t>
            </w:r>
          </w:p>
        </w:tc>
      </w:tr>
      <w:tr w:rsidR="00BD5968" w:rsidRPr="00687E4A" w14:paraId="21F0C185" w14:textId="77777777" w:rsidTr="00DA71E3">
        <w:tc>
          <w:tcPr>
            <w:tcW w:w="895" w:type="pct"/>
            <w:shd w:val="clear" w:color="auto" w:fill="D9D9D9"/>
          </w:tcPr>
          <w:p w14:paraId="6966AF76" w14:textId="77777777" w:rsidR="00BD5968" w:rsidRPr="00687E4A" w:rsidRDefault="00BD5968" w:rsidP="006E2310">
            <w:pPr>
              <w:pStyle w:val="TableText"/>
              <w:rPr>
                <w:rFonts w:eastAsia="Times New Roman"/>
              </w:rPr>
            </w:pPr>
            <w:r w:rsidRPr="00687E4A">
              <w:rPr>
                <w:rFonts w:eastAsia="Times New Roman"/>
              </w:rPr>
              <w:t xml:space="preserve">July 1998 </w:t>
            </w:r>
          </w:p>
        </w:tc>
        <w:tc>
          <w:tcPr>
            <w:tcW w:w="4105" w:type="pct"/>
            <w:shd w:val="clear" w:color="auto" w:fill="D9D9D9"/>
          </w:tcPr>
          <w:p w14:paraId="23662D9E" w14:textId="77777777" w:rsidR="00BD5968" w:rsidRPr="00687E4A" w:rsidRDefault="00BD5968" w:rsidP="006E2310">
            <w:pPr>
              <w:pStyle w:val="TableText"/>
              <w:rPr>
                <w:rFonts w:eastAsia="Times New Roman"/>
              </w:rPr>
            </w:pPr>
            <w:r w:rsidRPr="00687E4A">
              <w:rPr>
                <w:rFonts w:eastAsia="Times New Roman"/>
              </w:rPr>
              <w:t>The Civil Aviation Amendment Bill 1998 was introduced, providing a basis for, among other things, implementation of the Regulatory Framework Reform Program.</w:t>
            </w:r>
          </w:p>
        </w:tc>
      </w:tr>
      <w:tr w:rsidR="00BD5968" w:rsidRPr="00687E4A" w14:paraId="151FD1A9" w14:textId="77777777" w:rsidTr="00DA71E3">
        <w:tc>
          <w:tcPr>
            <w:tcW w:w="895" w:type="pct"/>
            <w:shd w:val="clear" w:color="auto" w:fill="FFFFFF"/>
          </w:tcPr>
          <w:p w14:paraId="2C3CCADB" w14:textId="77777777" w:rsidR="00BD5968" w:rsidRPr="00687E4A" w:rsidRDefault="00BD5968" w:rsidP="006E2310">
            <w:pPr>
              <w:pStyle w:val="TableText"/>
              <w:rPr>
                <w:rFonts w:eastAsia="Times New Roman"/>
              </w:rPr>
            </w:pPr>
            <w:r w:rsidRPr="00687E4A">
              <w:rPr>
                <w:rFonts w:eastAsia="Times New Roman"/>
              </w:rPr>
              <w:t>June 1999</w:t>
            </w:r>
          </w:p>
        </w:tc>
        <w:tc>
          <w:tcPr>
            <w:tcW w:w="4105" w:type="pct"/>
            <w:shd w:val="clear" w:color="auto" w:fill="FFFFFF"/>
          </w:tcPr>
          <w:p w14:paraId="333F0E99" w14:textId="77777777" w:rsidR="00BD5968" w:rsidRPr="00687E4A" w:rsidRDefault="00BD5968" w:rsidP="006E2310">
            <w:pPr>
              <w:pStyle w:val="TableText"/>
              <w:rPr>
                <w:rFonts w:eastAsia="Times New Roman"/>
              </w:rPr>
            </w:pPr>
            <w:r w:rsidRPr="00687E4A">
              <w:rPr>
                <w:rFonts w:eastAsia="Times New Roman"/>
              </w:rPr>
              <w:t>CASA announced a suite of reforms, including rewriting of the aviation regulations.</w:t>
            </w:r>
          </w:p>
        </w:tc>
      </w:tr>
      <w:tr w:rsidR="00BD5968" w:rsidRPr="00687E4A" w14:paraId="2EFFBEE1" w14:textId="77777777" w:rsidTr="00DA71E3">
        <w:tc>
          <w:tcPr>
            <w:tcW w:w="895" w:type="pct"/>
            <w:shd w:val="clear" w:color="auto" w:fill="D9D9D9"/>
          </w:tcPr>
          <w:p w14:paraId="00BAFE37" w14:textId="77777777" w:rsidR="00BD5968" w:rsidRPr="00687E4A" w:rsidRDefault="00BD5968" w:rsidP="006E2310">
            <w:pPr>
              <w:pStyle w:val="TableText"/>
              <w:rPr>
                <w:rFonts w:eastAsia="Times New Roman"/>
              </w:rPr>
            </w:pPr>
            <w:r w:rsidRPr="00687E4A">
              <w:rPr>
                <w:rFonts w:eastAsia="Times New Roman"/>
              </w:rPr>
              <w:t>October 2003</w:t>
            </w:r>
          </w:p>
        </w:tc>
        <w:tc>
          <w:tcPr>
            <w:tcW w:w="4105" w:type="pct"/>
            <w:shd w:val="clear" w:color="auto" w:fill="D9D9D9"/>
          </w:tcPr>
          <w:p w14:paraId="20B731D7" w14:textId="77777777" w:rsidR="00BD5968" w:rsidRPr="00687E4A" w:rsidRDefault="00BD5968" w:rsidP="006E2310">
            <w:pPr>
              <w:pStyle w:val="TableText"/>
              <w:rPr>
                <w:rFonts w:eastAsia="Times New Roman"/>
              </w:rPr>
            </w:pPr>
            <w:r w:rsidRPr="00687E4A">
              <w:rPr>
                <w:rFonts w:eastAsia="Times New Roman"/>
              </w:rPr>
              <w:t>The Civil Aviation Amendment Bill 2003 was introduced to implement, among other things, governance reforms, including the abolition of the CASA Board.</w:t>
            </w:r>
          </w:p>
        </w:tc>
      </w:tr>
      <w:tr w:rsidR="00BD5968" w:rsidRPr="00687E4A" w14:paraId="5C720DC2" w14:textId="77777777" w:rsidTr="00DA71E3">
        <w:tc>
          <w:tcPr>
            <w:tcW w:w="895" w:type="pct"/>
            <w:shd w:val="clear" w:color="auto" w:fill="FFFFFF"/>
          </w:tcPr>
          <w:p w14:paraId="244A7E71" w14:textId="77777777" w:rsidR="00BD5968" w:rsidRPr="00687E4A" w:rsidRDefault="00BD5968" w:rsidP="006E2310">
            <w:pPr>
              <w:pStyle w:val="TableText"/>
              <w:rPr>
                <w:rFonts w:eastAsia="Times New Roman"/>
              </w:rPr>
            </w:pPr>
            <w:r w:rsidRPr="00687E4A">
              <w:rPr>
                <w:rFonts w:eastAsia="Times New Roman"/>
              </w:rPr>
              <w:t>November 2004</w:t>
            </w:r>
          </w:p>
        </w:tc>
        <w:tc>
          <w:tcPr>
            <w:tcW w:w="4105" w:type="pct"/>
            <w:shd w:val="clear" w:color="auto" w:fill="FFFFFF"/>
          </w:tcPr>
          <w:p w14:paraId="58E175D3" w14:textId="77777777" w:rsidR="00BD5968" w:rsidRPr="00687E4A" w:rsidRDefault="00BD5968" w:rsidP="006E2310">
            <w:pPr>
              <w:pStyle w:val="TableText"/>
              <w:rPr>
                <w:rFonts w:eastAsia="Times New Roman"/>
              </w:rPr>
            </w:pPr>
            <w:r w:rsidRPr="00687E4A">
              <w:rPr>
                <w:rFonts w:eastAsia="Times New Roman"/>
              </w:rPr>
              <w:t>CASA promulgated a new policy placing its greatest safety focus on high-capacity regular public transport flights.</w:t>
            </w:r>
          </w:p>
        </w:tc>
      </w:tr>
      <w:tr w:rsidR="00BD5968" w:rsidRPr="00687E4A" w14:paraId="3F2B14F7" w14:textId="77777777" w:rsidTr="00DA71E3">
        <w:tc>
          <w:tcPr>
            <w:tcW w:w="895" w:type="pct"/>
            <w:shd w:val="clear" w:color="auto" w:fill="D9D9D9"/>
          </w:tcPr>
          <w:p w14:paraId="1E86B56D" w14:textId="77777777" w:rsidR="00BD5968" w:rsidRPr="00687E4A" w:rsidRDefault="00BD5968" w:rsidP="006E2310">
            <w:pPr>
              <w:pStyle w:val="TableText"/>
              <w:rPr>
                <w:rFonts w:eastAsia="Times New Roman"/>
              </w:rPr>
            </w:pPr>
            <w:r w:rsidRPr="00687E4A">
              <w:rPr>
                <w:rFonts w:eastAsia="Times New Roman"/>
              </w:rPr>
              <w:t>July 2007</w:t>
            </w:r>
          </w:p>
        </w:tc>
        <w:tc>
          <w:tcPr>
            <w:tcW w:w="4105" w:type="pct"/>
            <w:shd w:val="clear" w:color="auto" w:fill="D9D9D9"/>
          </w:tcPr>
          <w:p w14:paraId="30EAEA4B" w14:textId="77777777" w:rsidR="00BD5968" w:rsidRPr="00687E4A" w:rsidRDefault="00BD5968" w:rsidP="006E2310">
            <w:pPr>
              <w:pStyle w:val="TableText"/>
              <w:rPr>
                <w:rFonts w:eastAsia="Times New Roman"/>
              </w:rPr>
            </w:pPr>
            <w:r w:rsidRPr="00687E4A">
              <w:rPr>
                <w:rFonts w:eastAsia="Times New Roman"/>
              </w:rPr>
              <w:t xml:space="preserve">The </w:t>
            </w:r>
            <w:r w:rsidRPr="00687E4A">
              <w:rPr>
                <w:rFonts w:eastAsia="Times New Roman"/>
                <w:i/>
              </w:rPr>
              <w:t>Airspace Act 2007</w:t>
            </w:r>
            <w:r w:rsidRPr="00687E4A">
              <w:rPr>
                <w:rFonts w:eastAsia="Times New Roman"/>
              </w:rPr>
              <w:t xml:space="preserve">, Airspace Regulations 2007 and </w:t>
            </w:r>
            <w:r w:rsidRPr="00687E4A">
              <w:rPr>
                <w:rFonts w:eastAsia="Times New Roman"/>
                <w:i/>
              </w:rPr>
              <w:t>Australian Airspace Policy Statement 2007</w:t>
            </w:r>
            <w:r w:rsidRPr="00687E4A">
              <w:rPr>
                <w:rFonts w:eastAsia="Times New Roman"/>
              </w:rPr>
              <w:t xml:space="preserve"> were introduced, giving CASA sole carriage of the regulation of all Australian-administered airspace.</w:t>
            </w:r>
          </w:p>
        </w:tc>
      </w:tr>
      <w:tr w:rsidR="00BD5968" w:rsidRPr="00687E4A" w14:paraId="3D5AAE07" w14:textId="77777777" w:rsidTr="00DA71E3">
        <w:tc>
          <w:tcPr>
            <w:tcW w:w="895" w:type="pct"/>
            <w:shd w:val="clear" w:color="auto" w:fill="FFFFFF"/>
          </w:tcPr>
          <w:p w14:paraId="72D019C6" w14:textId="77777777" w:rsidR="00BD5968" w:rsidRPr="00687E4A" w:rsidRDefault="00BD5968" w:rsidP="006E2310">
            <w:pPr>
              <w:pStyle w:val="TableText"/>
              <w:rPr>
                <w:rFonts w:eastAsia="Times New Roman"/>
              </w:rPr>
            </w:pPr>
            <w:r w:rsidRPr="00687E4A">
              <w:rPr>
                <w:rFonts w:eastAsia="Times New Roman"/>
              </w:rPr>
              <w:t>September 2008</w:t>
            </w:r>
          </w:p>
        </w:tc>
        <w:tc>
          <w:tcPr>
            <w:tcW w:w="4105" w:type="pct"/>
            <w:shd w:val="clear" w:color="auto" w:fill="FFFFFF"/>
          </w:tcPr>
          <w:p w14:paraId="3479BD29" w14:textId="77777777" w:rsidR="00BD5968" w:rsidRPr="00687E4A" w:rsidRDefault="00BD5968" w:rsidP="006E2310">
            <w:pPr>
              <w:pStyle w:val="TableText"/>
              <w:rPr>
                <w:rFonts w:eastAsia="Times New Roman"/>
              </w:rPr>
            </w:pPr>
            <w:r w:rsidRPr="00687E4A">
              <w:rPr>
                <w:rFonts w:eastAsia="Times New Roman"/>
              </w:rPr>
              <w:t>Provisions came into effect, under Part 99 of the Civil Aviation Safety Regulations 1998 (CASR), requiring air operators to establish drug and alcohol management plans and empowering CASA to test personnel who undertake safety-sensitive aviation activities for alcohol and other drugs.</w:t>
            </w:r>
          </w:p>
        </w:tc>
      </w:tr>
      <w:tr w:rsidR="00BD5968" w:rsidRPr="00687E4A" w14:paraId="00FBB34F" w14:textId="77777777" w:rsidTr="00DA71E3">
        <w:tc>
          <w:tcPr>
            <w:tcW w:w="895" w:type="pct"/>
            <w:shd w:val="clear" w:color="auto" w:fill="D9D9D9"/>
          </w:tcPr>
          <w:p w14:paraId="5AD31E1B" w14:textId="77777777" w:rsidR="00BD5968" w:rsidRPr="00687E4A" w:rsidRDefault="00BD5968" w:rsidP="006E2310">
            <w:pPr>
              <w:pStyle w:val="TableText"/>
              <w:rPr>
                <w:rFonts w:eastAsia="Times New Roman"/>
              </w:rPr>
            </w:pPr>
            <w:r w:rsidRPr="00687E4A">
              <w:rPr>
                <w:rFonts w:eastAsia="Times New Roman"/>
              </w:rPr>
              <w:t>March 2009</w:t>
            </w:r>
          </w:p>
        </w:tc>
        <w:tc>
          <w:tcPr>
            <w:tcW w:w="4105" w:type="pct"/>
            <w:shd w:val="clear" w:color="auto" w:fill="D9D9D9"/>
          </w:tcPr>
          <w:p w14:paraId="7036CA4C" w14:textId="77777777" w:rsidR="00BD5968" w:rsidRPr="00687E4A" w:rsidRDefault="00BD5968" w:rsidP="006E2310">
            <w:pPr>
              <w:pStyle w:val="TableText"/>
              <w:rPr>
                <w:rFonts w:eastAsia="Times New Roman"/>
              </w:rPr>
            </w:pPr>
            <w:r w:rsidRPr="00687E4A">
              <w:rPr>
                <w:rFonts w:eastAsia="Times New Roman"/>
              </w:rPr>
              <w:t xml:space="preserve">The </w:t>
            </w:r>
            <w:r w:rsidRPr="00687E4A">
              <w:rPr>
                <w:rFonts w:eastAsia="Times New Roman"/>
                <w:i/>
              </w:rPr>
              <w:t>Civil Aviation Amendment Act 2009</w:t>
            </w:r>
            <w:r w:rsidRPr="00687E4A">
              <w:rPr>
                <w:rFonts w:eastAsia="Times New Roman"/>
              </w:rPr>
              <w:t xml:space="preserve"> made significant governance and enforcement-related changes to CASA, including re-establishing the Board (from July 2009). The </w:t>
            </w:r>
            <w:r w:rsidRPr="00687E4A">
              <w:rPr>
                <w:rFonts w:eastAsia="Times New Roman"/>
                <w:i/>
              </w:rPr>
              <w:t>Transport Safety Investigation Amendment Act 2009</w:t>
            </w:r>
            <w:r w:rsidRPr="00687E4A">
              <w:rPr>
                <w:rFonts w:eastAsia="Times New Roman"/>
              </w:rPr>
              <w:t xml:space="preserve"> established the Australian Transport Safety Bureau as an independent agency (from July 2009).</w:t>
            </w:r>
          </w:p>
        </w:tc>
      </w:tr>
      <w:tr w:rsidR="00BD5968" w:rsidRPr="00687E4A" w14:paraId="2971420C" w14:textId="77777777" w:rsidTr="00DA71E3">
        <w:tc>
          <w:tcPr>
            <w:tcW w:w="895" w:type="pct"/>
            <w:shd w:val="clear" w:color="auto" w:fill="FFFFFF"/>
          </w:tcPr>
          <w:p w14:paraId="531A8E2D" w14:textId="77777777" w:rsidR="00BD5968" w:rsidRPr="00687E4A" w:rsidRDefault="00BD5968" w:rsidP="006E2310">
            <w:pPr>
              <w:pStyle w:val="TableText"/>
              <w:rPr>
                <w:rFonts w:eastAsia="Times New Roman"/>
              </w:rPr>
            </w:pPr>
            <w:r w:rsidRPr="00687E4A">
              <w:rPr>
                <w:rFonts w:eastAsia="Times New Roman"/>
              </w:rPr>
              <w:t>June 2011 to June 2014</w:t>
            </w:r>
          </w:p>
        </w:tc>
        <w:tc>
          <w:tcPr>
            <w:tcW w:w="4105" w:type="pct"/>
            <w:shd w:val="clear" w:color="auto" w:fill="FFFFFF"/>
          </w:tcPr>
          <w:p w14:paraId="3CCD4232" w14:textId="77777777" w:rsidR="00BD5968" w:rsidRPr="00687E4A" w:rsidRDefault="00BD5968" w:rsidP="006E2310">
            <w:pPr>
              <w:pStyle w:val="TableText"/>
              <w:rPr>
                <w:rFonts w:eastAsia="Times New Roman"/>
              </w:rPr>
            </w:pPr>
            <w:r w:rsidRPr="00687E4A">
              <w:rPr>
                <w:rFonts w:eastAsia="Times New Roman"/>
              </w:rPr>
              <w:t>CASA completed the transition to the new suite of regulations for maintenance for regular public transport operations and engineer licensing (CASR Parts 42, 66,145 and 147). In February 2013, a new suite of regulations for flight crew licensing and training were made (CASR Parts 61, 64, 141 and 142).</w:t>
            </w:r>
          </w:p>
        </w:tc>
      </w:tr>
      <w:tr w:rsidR="00BD5968" w:rsidRPr="00687E4A" w14:paraId="11C8E26F" w14:textId="77777777" w:rsidTr="00DA71E3">
        <w:tc>
          <w:tcPr>
            <w:tcW w:w="895" w:type="pct"/>
            <w:shd w:val="clear" w:color="auto" w:fill="D9D9D9"/>
          </w:tcPr>
          <w:p w14:paraId="78FF7D94" w14:textId="77777777" w:rsidR="00BD5968" w:rsidRPr="00687E4A" w:rsidRDefault="00BD5968" w:rsidP="006E2310">
            <w:pPr>
              <w:pStyle w:val="TableText"/>
              <w:rPr>
                <w:rFonts w:eastAsia="Times New Roman"/>
              </w:rPr>
            </w:pPr>
            <w:r w:rsidRPr="00687E4A">
              <w:rPr>
                <w:rFonts w:eastAsia="Times New Roman"/>
              </w:rPr>
              <w:t>July 2014</w:t>
            </w:r>
          </w:p>
        </w:tc>
        <w:tc>
          <w:tcPr>
            <w:tcW w:w="4105" w:type="pct"/>
            <w:shd w:val="clear" w:color="auto" w:fill="D9D9D9"/>
          </w:tcPr>
          <w:p w14:paraId="7C8191F2" w14:textId="77777777" w:rsidR="00BD5968" w:rsidRPr="00687E4A" w:rsidRDefault="00BD5968" w:rsidP="006E2310">
            <w:pPr>
              <w:pStyle w:val="TableText"/>
              <w:rPr>
                <w:rFonts w:eastAsia="Times New Roman"/>
                <w:b/>
              </w:rPr>
            </w:pPr>
            <w:r w:rsidRPr="00687E4A">
              <w:t xml:space="preserve">The </w:t>
            </w:r>
            <w:r w:rsidRPr="00687E4A">
              <w:rPr>
                <w:i/>
              </w:rPr>
              <w:t>Commonwealth Authorities and Companies Act 1997</w:t>
            </w:r>
            <w:r w:rsidRPr="00687E4A">
              <w:t xml:space="preserve"> was repealed and replaced by the </w:t>
            </w:r>
            <w:r w:rsidRPr="00687E4A">
              <w:rPr>
                <w:i/>
              </w:rPr>
              <w:t>Public Governance, Performance and Accountability Act 2013</w:t>
            </w:r>
            <w:r w:rsidRPr="00687E4A">
              <w:t xml:space="preserve">. Amendments were consequently made to governance provisions in the </w:t>
            </w:r>
            <w:r w:rsidRPr="00687E4A">
              <w:rPr>
                <w:i/>
              </w:rPr>
              <w:t>Civil Aviation Act 1988</w:t>
            </w:r>
            <w:r w:rsidRPr="00687E4A">
              <w:t>.</w:t>
            </w:r>
          </w:p>
        </w:tc>
      </w:tr>
      <w:tr w:rsidR="00BD5968" w:rsidRPr="006C0823" w14:paraId="370C6356" w14:textId="77777777" w:rsidTr="00DA71E3">
        <w:tc>
          <w:tcPr>
            <w:tcW w:w="895" w:type="pct"/>
            <w:shd w:val="clear" w:color="auto" w:fill="auto"/>
          </w:tcPr>
          <w:p w14:paraId="62A376FE" w14:textId="77777777" w:rsidR="00BD5968" w:rsidRPr="00687E4A" w:rsidRDefault="00BD5968" w:rsidP="006E2310">
            <w:pPr>
              <w:pStyle w:val="TableText"/>
              <w:rPr>
                <w:rFonts w:eastAsia="Times New Roman"/>
              </w:rPr>
            </w:pPr>
            <w:r w:rsidRPr="00687E4A">
              <w:rPr>
                <w:rFonts w:eastAsia="Times New Roman"/>
              </w:rPr>
              <w:t>February 2017</w:t>
            </w:r>
          </w:p>
        </w:tc>
        <w:tc>
          <w:tcPr>
            <w:tcW w:w="4105" w:type="pct"/>
            <w:shd w:val="clear" w:color="auto" w:fill="auto"/>
          </w:tcPr>
          <w:p w14:paraId="3418D0BB" w14:textId="77777777" w:rsidR="00BD5968" w:rsidRPr="00687E4A" w:rsidRDefault="00BD5968" w:rsidP="006E2310">
            <w:pPr>
              <w:pStyle w:val="TableText"/>
            </w:pPr>
            <w:r w:rsidRPr="00687E4A">
              <w:t>The final fitment mandate for Automatic Dependent Surveillance Broadcast (ADS-B) technology came into effect for all instrument flight rules aircraft operating in Australia, heralding a new era in air traffic surveillance that keeps Australian aviation at the forefront of safety.</w:t>
            </w:r>
          </w:p>
        </w:tc>
      </w:tr>
    </w:tbl>
    <w:p w14:paraId="714BA611" w14:textId="77777777" w:rsidR="00342545" w:rsidRPr="00AA6995" w:rsidRDefault="002D38F1" w:rsidP="00AA6995">
      <w:pPr>
        <w:pStyle w:val="Heading1"/>
        <w:rPr>
          <w:highlight w:val="lightGray"/>
        </w:rPr>
      </w:pPr>
      <w:r w:rsidRPr="006C0823">
        <w:rPr>
          <w:lang w:val="en-GB"/>
        </w:rPr>
        <w:br w:type="page"/>
      </w:r>
      <w:bookmarkStart w:id="23" w:name="_Toc396917906"/>
      <w:bookmarkStart w:id="24" w:name="_Toc523924875"/>
      <w:bookmarkStart w:id="25" w:name="_Toc522537149"/>
      <w:r w:rsidR="00342545" w:rsidRPr="00AA6995">
        <w:lastRenderedPageBreak/>
        <w:t>Financial summary</w:t>
      </w:r>
      <w:bookmarkEnd w:id="23"/>
      <w:bookmarkEnd w:id="24"/>
      <w:r w:rsidR="00342545" w:rsidRPr="00AA6995">
        <w:t xml:space="preserve"> </w:t>
      </w:r>
      <w:bookmarkStart w:id="26" w:name="_Toc365737719"/>
      <w:bookmarkStart w:id="27" w:name="_Toc365794472"/>
      <w:bookmarkEnd w:id="25"/>
    </w:p>
    <w:p w14:paraId="7E2ED37B" w14:textId="77777777" w:rsidR="00B44F68" w:rsidRDefault="00342545" w:rsidP="00342545">
      <w:r w:rsidRPr="00A07FD1">
        <w:t>CASA recorded an operating surplus of $</w:t>
      </w:r>
      <w:r>
        <w:t>0.5</w:t>
      </w:r>
      <w:r w:rsidRPr="00A07FD1">
        <w:t xml:space="preserve"> million in 201</w:t>
      </w:r>
      <w:r>
        <w:t>7</w:t>
      </w:r>
      <w:r w:rsidRPr="00A07FD1">
        <w:t>–1</w:t>
      </w:r>
      <w:r>
        <w:t>8</w:t>
      </w:r>
      <w:r w:rsidRPr="00A07FD1">
        <w:t>, compared to a $</w:t>
      </w:r>
      <w:r>
        <w:t>6.9</w:t>
      </w:r>
      <w:r w:rsidRPr="00A07FD1">
        <w:t xml:space="preserve"> million </w:t>
      </w:r>
      <w:r>
        <w:t xml:space="preserve">surplus </w:t>
      </w:r>
      <w:r w:rsidRPr="00A07FD1">
        <w:t>in 201</w:t>
      </w:r>
      <w:r>
        <w:t>6</w:t>
      </w:r>
      <w:r w:rsidRPr="00A07FD1">
        <w:t>–1</w:t>
      </w:r>
      <w:r>
        <w:t>7</w:t>
      </w:r>
      <w:r w:rsidRPr="00A07FD1">
        <w:t>. The difference of $</w:t>
      </w:r>
      <w:r>
        <w:t>6.4</w:t>
      </w:r>
      <w:r w:rsidRPr="00A07FD1">
        <w:t xml:space="preserve"> million reflects the overall result of a</w:t>
      </w:r>
      <w:r>
        <w:t>n</w:t>
      </w:r>
      <w:r w:rsidRPr="00A07FD1">
        <w:t xml:space="preserve"> </w:t>
      </w:r>
      <w:r>
        <w:t>in</w:t>
      </w:r>
      <w:r w:rsidRPr="00A07FD1">
        <w:t>crease in expenses of $6.</w:t>
      </w:r>
      <w:r>
        <w:t>5</w:t>
      </w:r>
      <w:r w:rsidRPr="00A07FD1">
        <w:t xml:space="preserve"> million. </w:t>
      </w:r>
    </w:p>
    <w:p w14:paraId="657418E2" w14:textId="77777777" w:rsidR="00342545" w:rsidRPr="00A07FD1" w:rsidRDefault="00342545" w:rsidP="00342545">
      <w:r>
        <w:t xml:space="preserve">The increase in expenses was the net result of </w:t>
      </w:r>
      <w:r w:rsidR="00B44F68">
        <w:t xml:space="preserve">increases related to employee expenses – </w:t>
      </w:r>
      <w:r>
        <w:t xml:space="preserve">an increase in average staffing level </w:t>
      </w:r>
      <w:r w:rsidR="00B44F68">
        <w:t>(</w:t>
      </w:r>
      <w:r>
        <w:t xml:space="preserve">to 799 </w:t>
      </w:r>
      <w:r w:rsidR="00B44F68">
        <w:t>in 2017–18 from 765 in 2016–17</w:t>
      </w:r>
      <w:r>
        <w:t>)</w:t>
      </w:r>
      <w:r w:rsidR="00B44F68">
        <w:t>,</w:t>
      </w:r>
      <w:r>
        <w:t xml:space="preserve"> an increase in salaries </w:t>
      </w:r>
      <w:r w:rsidR="00B44F68">
        <w:t>under the</w:t>
      </w:r>
      <w:r>
        <w:t xml:space="preserve"> CASA Enterprise Agreement 2016–19</w:t>
      </w:r>
      <w:r w:rsidR="00B44F68">
        <w:t>,</w:t>
      </w:r>
      <w:r>
        <w:t xml:space="preserve"> pay point progression</w:t>
      </w:r>
      <w:r w:rsidR="00B44F68">
        <w:t>s</w:t>
      </w:r>
      <w:r>
        <w:t xml:space="preserve"> and promotions</w:t>
      </w:r>
      <w:r w:rsidR="00B44F68">
        <w:t>,</w:t>
      </w:r>
      <w:r>
        <w:t xml:space="preserve"> and an increase in redundancies</w:t>
      </w:r>
      <w:r w:rsidR="00B44F68">
        <w:t xml:space="preserve"> –</w:t>
      </w:r>
      <w:r>
        <w:t xml:space="preserve"> offset by decreases in consultancies and service contracts and insurance expenses.</w:t>
      </w:r>
    </w:p>
    <w:p w14:paraId="31EB720A" w14:textId="77777777" w:rsidR="00342545" w:rsidRPr="00A07FD1" w:rsidRDefault="00342545" w:rsidP="00342545">
      <w:r w:rsidRPr="00A07FD1">
        <w:t>In 201</w:t>
      </w:r>
      <w:r>
        <w:t>7</w:t>
      </w:r>
      <w:r w:rsidRPr="00A07FD1">
        <w:t>–1</w:t>
      </w:r>
      <w:r>
        <w:t>8</w:t>
      </w:r>
      <w:r w:rsidRPr="00A07FD1">
        <w:t>, CASA’s operating result was $</w:t>
      </w:r>
      <w:r>
        <w:t>0</w:t>
      </w:r>
      <w:r w:rsidRPr="00A07FD1">
        <w:t>.</w:t>
      </w:r>
      <w:r>
        <w:t>5</w:t>
      </w:r>
      <w:r w:rsidRPr="00A07FD1">
        <w:t xml:space="preserve"> million more favourable than the revised estimate published in the 201</w:t>
      </w:r>
      <w:r>
        <w:t>8</w:t>
      </w:r>
      <w:r w:rsidRPr="00A07FD1">
        <w:t>–1</w:t>
      </w:r>
      <w:r>
        <w:t>9</w:t>
      </w:r>
      <w:r w:rsidRPr="00A07FD1">
        <w:t xml:space="preserve"> Portfolio Budget Statements. The actual result was a surplus of $</w:t>
      </w:r>
      <w:r>
        <w:t>0</w:t>
      </w:r>
      <w:r w:rsidRPr="00A07FD1">
        <w:t>.</w:t>
      </w:r>
      <w:r>
        <w:t>5</w:t>
      </w:r>
      <w:r w:rsidRPr="00A07FD1">
        <w:t xml:space="preserve"> million, compared to an estimated surplus of $</w:t>
      </w:r>
      <w:r>
        <w:t>0.016</w:t>
      </w:r>
      <w:r w:rsidRPr="00A07FD1">
        <w:t xml:space="preserve"> million. </w:t>
      </w:r>
    </w:p>
    <w:p w14:paraId="3082BE9A" w14:textId="77777777" w:rsidR="00342545" w:rsidRPr="00404DAB" w:rsidRDefault="00342545" w:rsidP="00342545">
      <w:r w:rsidRPr="00A07FD1">
        <w:t xml:space="preserve">The variance from the estimate was primarily due to </w:t>
      </w:r>
      <w:r>
        <w:t xml:space="preserve">higher </w:t>
      </w:r>
      <w:r w:rsidRPr="00A07FD1">
        <w:t>than expected employee expenses of $</w:t>
      </w:r>
      <w:r>
        <w:t>0</w:t>
      </w:r>
      <w:r w:rsidRPr="00A07FD1">
        <w:t>.</w:t>
      </w:r>
      <w:r>
        <w:t>8</w:t>
      </w:r>
      <w:r w:rsidRPr="00A07FD1">
        <w:t xml:space="preserve"> million, </w:t>
      </w:r>
      <w:r>
        <w:t xml:space="preserve">offset by </w:t>
      </w:r>
      <w:r w:rsidRPr="00A07FD1">
        <w:t>lower than expected supplier expenses of $</w:t>
      </w:r>
      <w:r>
        <w:t>0</w:t>
      </w:r>
      <w:r w:rsidRPr="00A07FD1">
        <w:t>.</w:t>
      </w:r>
      <w:r>
        <w:t>7</w:t>
      </w:r>
      <w:r w:rsidRPr="00A07FD1">
        <w:t xml:space="preserve"> million and lower than expected depreciation and amortisation charges of $0.</w:t>
      </w:r>
      <w:r>
        <w:t>4 million</w:t>
      </w:r>
      <w:r w:rsidRPr="00A07FD1">
        <w:t>. Table 1 provides further details.</w:t>
      </w:r>
    </w:p>
    <w:bookmarkEnd w:id="26"/>
    <w:bookmarkEnd w:id="27"/>
    <w:p w14:paraId="22D6F30A" w14:textId="77777777" w:rsidR="00342545" w:rsidRPr="00E35B2E" w:rsidRDefault="00342545" w:rsidP="00342545">
      <w:pPr>
        <w:keepNext/>
        <w:spacing w:before="180" w:after="240"/>
        <w:ind w:left="1440" w:hanging="1440"/>
        <w:rPr>
          <w:rFonts w:ascii="Arial Narrow" w:hAnsi="Arial Narrow"/>
          <w:b/>
          <w:color w:val="4472C4" w:themeColor="accent1"/>
          <w:sz w:val="22"/>
          <w:szCs w:val="22"/>
          <w:u w:color="0099CC"/>
        </w:rPr>
      </w:pPr>
      <w:r w:rsidRPr="00E35B2E">
        <w:rPr>
          <w:rFonts w:ascii="Arial Narrow" w:hAnsi="Arial Narrow"/>
          <w:b/>
          <w:color w:val="4472C4" w:themeColor="accent1"/>
          <w:sz w:val="22"/>
          <w:szCs w:val="22"/>
          <w:u w:color="0099CC"/>
        </w:rPr>
        <w:t>Table 1</w:t>
      </w:r>
      <w:r w:rsidRPr="00E35B2E">
        <w:rPr>
          <w:rFonts w:ascii="Arial Narrow" w:hAnsi="Arial Narrow"/>
          <w:b/>
          <w:color w:val="4472C4" w:themeColor="accent1"/>
          <w:sz w:val="22"/>
          <w:szCs w:val="22"/>
          <w:u w:color="0099CC"/>
        </w:rPr>
        <w:tab/>
        <w:t xml:space="preserve">Comparison of 2017–18 </w:t>
      </w:r>
      <w:r w:rsidR="00641EB7" w:rsidRPr="00E35B2E">
        <w:rPr>
          <w:rFonts w:ascii="Arial Narrow" w:hAnsi="Arial Narrow"/>
          <w:b/>
          <w:color w:val="4472C4" w:themeColor="accent1"/>
          <w:sz w:val="22"/>
          <w:szCs w:val="22"/>
          <w:u w:color="0099CC"/>
        </w:rPr>
        <w:t xml:space="preserve">actual results </w:t>
      </w:r>
      <w:r w:rsidRPr="00E35B2E">
        <w:rPr>
          <w:rFonts w:ascii="Arial Narrow" w:hAnsi="Arial Narrow"/>
          <w:b/>
          <w:color w:val="4472C4" w:themeColor="accent1"/>
          <w:sz w:val="22"/>
          <w:szCs w:val="22"/>
          <w:u w:color="0099CC"/>
        </w:rPr>
        <w:t xml:space="preserve">with </w:t>
      </w:r>
      <w:r w:rsidR="00641EB7" w:rsidRPr="00E35B2E">
        <w:rPr>
          <w:rFonts w:ascii="Arial Narrow" w:hAnsi="Arial Narrow"/>
          <w:b/>
          <w:color w:val="4472C4" w:themeColor="accent1"/>
          <w:sz w:val="22"/>
          <w:szCs w:val="22"/>
          <w:u w:color="0099CC"/>
        </w:rPr>
        <w:t xml:space="preserve">2016–17 actual and </w:t>
      </w:r>
      <w:r w:rsidRPr="00E35B2E">
        <w:rPr>
          <w:rFonts w:ascii="Arial Narrow" w:hAnsi="Arial Narrow"/>
          <w:b/>
          <w:color w:val="4472C4" w:themeColor="accent1"/>
          <w:sz w:val="22"/>
          <w:szCs w:val="22"/>
          <w:u w:color="0099CC"/>
        </w:rPr>
        <w:t>2017–18 budget results</w:t>
      </w:r>
    </w:p>
    <w:p w14:paraId="50CDF2F7" w14:textId="77777777" w:rsidR="00B34FE6" w:rsidRDefault="00AA6995" w:rsidP="00AA6995">
      <w:r w:rsidRPr="00450B11">
        <w:t>Content under this heading has been removed in this version to meet accessibility standards.</w:t>
      </w:r>
    </w:p>
    <w:p w14:paraId="2C84E480" w14:textId="7A6D5E77" w:rsidR="00342545" w:rsidRPr="003A7FCD" w:rsidRDefault="00342545" w:rsidP="00B34FE6">
      <w:pPr>
        <w:pStyle w:val="Heading1"/>
      </w:pPr>
      <w:r w:rsidRPr="00A11D46">
        <w:t>Net result</w:t>
      </w:r>
    </w:p>
    <w:p w14:paraId="013ECB1C" w14:textId="77777777" w:rsidR="00342545" w:rsidRPr="003A7FCD" w:rsidRDefault="00342545" w:rsidP="00AA6995">
      <w:pPr>
        <w:pStyle w:val="Heading2"/>
      </w:pPr>
      <w:r w:rsidRPr="003A7FCD">
        <w:t>Income</w:t>
      </w:r>
    </w:p>
    <w:p w14:paraId="6102A505" w14:textId="77777777" w:rsidR="00342545" w:rsidRPr="006B11FE" w:rsidRDefault="00342545" w:rsidP="00342545">
      <w:r w:rsidRPr="006B11FE">
        <w:t>The increase in income in 2017–18 was primarily associated with an increase in aviation fuel excise revenue due to an increase in sales of aviation jet fuel. There was no change in the aviation fuel excise rate for 2017–18.</w:t>
      </w:r>
    </w:p>
    <w:p w14:paraId="3D81A555" w14:textId="77777777" w:rsidR="00342545" w:rsidRPr="006B11FE" w:rsidRDefault="00342545" w:rsidP="00342545">
      <w:r w:rsidRPr="006B11FE">
        <w:t>Figure 1 shows the change in income from 2016–17 to 2017–18 and compares actual results to revised budget estimates for 2017–18.</w:t>
      </w:r>
    </w:p>
    <w:p w14:paraId="31B07E21" w14:textId="77777777" w:rsidR="00342545" w:rsidRPr="000035D2" w:rsidRDefault="00342545" w:rsidP="000035D2">
      <w:pPr>
        <w:pStyle w:val="FigureName"/>
      </w:pPr>
      <w:r w:rsidRPr="000035D2">
        <w:t>Figure 1</w:t>
      </w:r>
      <w:r w:rsidRPr="000035D2">
        <w:tab/>
        <w:t>Actual revenue for 2016–17 and actual and budgeted results for</w:t>
      </w:r>
      <w:r w:rsidR="008A6FE2" w:rsidRPr="000035D2">
        <w:t xml:space="preserve"> </w:t>
      </w:r>
      <w:r w:rsidRPr="000035D2">
        <w:t>2017–18</w:t>
      </w:r>
    </w:p>
    <w:p w14:paraId="63551BC5" w14:textId="77777777" w:rsidR="00F05B50" w:rsidRPr="00450B11" w:rsidRDefault="00F05B50" w:rsidP="00F05B50">
      <w:r w:rsidRPr="00450B11">
        <w:t>Content under this heading has been removed in this version to meet accessibility standards.</w:t>
      </w:r>
    </w:p>
    <w:p w14:paraId="64B50256" w14:textId="77777777" w:rsidR="00342545" w:rsidRPr="005C23E9" w:rsidRDefault="00342545" w:rsidP="00342545">
      <w:pPr>
        <w:rPr>
          <w:rFonts w:ascii="Calibri" w:hAnsi="Calibri" w:cs="Geometric415BT-LiteA"/>
          <w:b/>
          <w:sz w:val="20"/>
        </w:rPr>
      </w:pPr>
      <w:r w:rsidRPr="005C23E9">
        <w:t>In 2017–18, approximately 68 per cent of CASA’s income was from aviation fuel excise (67 per cent in 2016–17) and 23 per cent was from government appropriations (23 per cent in 2016–17). The remainder was derived from the sale of goods and rendering of services, interest and minor sundry revenue (see Figure 2).</w:t>
      </w:r>
    </w:p>
    <w:p w14:paraId="0F27883E" w14:textId="77777777" w:rsidR="00342545" w:rsidRPr="00876109" w:rsidRDefault="00342545" w:rsidP="00342545">
      <w:pPr>
        <w:pStyle w:val="FigureName"/>
      </w:pPr>
      <w:r w:rsidRPr="00876109">
        <w:t>Figure 2</w:t>
      </w:r>
      <w:r w:rsidRPr="00876109">
        <w:tab/>
        <w:t>Sources of revenue, 2017–18</w:t>
      </w:r>
    </w:p>
    <w:p w14:paraId="54BAB2C5" w14:textId="77777777" w:rsidR="00F05B50" w:rsidRPr="00450B11" w:rsidRDefault="00F05B50" w:rsidP="00F05B50">
      <w:r w:rsidRPr="00450B11">
        <w:t>Content under this heading has been removed in this version to meet accessibility standards.</w:t>
      </w:r>
    </w:p>
    <w:p w14:paraId="0C8DB599" w14:textId="77777777" w:rsidR="00342545" w:rsidRPr="003A7FCD" w:rsidRDefault="00342545" w:rsidP="00342545">
      <w:pPr>
        <w:pStyle w:val="Heading3"/>
      </w:pPr>
      <w:r w:rsidRPr="003A7FCD">
        <w:t xml:space="preserve">Expenses </w:t>
      </w:r>
    </w:p>
    <w:p w14:paraId="337C6116" w14:textId="77777777" w:rsidR="00342545" w:rsidRPr="00B23822" w:rsidRDefault="00342545" w:rsidP="00342545">
      <w:r w:rsidRPr="00B23822">
        <w:t>Total expenses increased by $6.5 million in 2017</w:t>
      </w:r>
      <w:r>
        <w:t>–</w:t>
      </w:r>
      <w:r w:rsidRPr="00B23822">
        <w:t>18 compared to 2016</w:t>
      </w:r>
      <w:r>
        <w:t>–</w:t>
      </w:r>
      <w:r w:rsidRPr="00B23822">
        <w:t>17. This was primarily attributable to an increase in employee expenses.</w:t>
      </w:r>
    </w:p>
    <w:p w14:paraId="45A54CCD" w14:textId="77777777" w:rsidR="00342545" w:rsidRPr="00B23822" w:rsidRDefault="00342545" w:rsidP="00342545">
      <w:r w:rsidRPr="00B23822">
        <w:lastRenderedPageBreak/>
        <w:t>Figure 3 shows the change in expenses from 2016</w:t>
      </w:r>
      <w:r>
        <w:t>–</w:t>
      </w:r>
      <w:r w:rsidRPr="00B23822">
        <w:t>17 to 2017</w:t>
      </w:r>
      <w:r>
        <w:t>–</w:t>
      </w:r>
      <w:r w:rsidRPr="00B23822">
        <w:t>18 and compares actual results to revised budget estimates.</w:t>
      </w:r>
    </w:p>
    <w:p w14:paraId="71803D12" w14:textId="77777777" w:rsidR="00342545" w:rsidRPr="001E361F" w:rsidRDefault="00342545" w:rsidP="00342545">
      <w:pPr>
        <w:pStyle w:val="FigureName"/>
      </w:pPr>
      <w:r w:rsidRPr="001E361F">
        <w:t>Figure 3</w:t>
      </w:r>
      <w:r w:rsidRPr="001E361F">
        <w:tab/>
        <w:t xml:space="preserve">Actual expenses for </w:t>
      </w:r>
      <w:r>
        <w:t>2016–17</w:t>
      </w:r>
      <w:r w:rsidRPr="001E361F">
        <w:t xml:space="preserve"> and actual and budgeted results for </w:t>
      </w:r>
      <w:r>
        <w:t>2017–18</w:t>
      </w:r>
    </w:p>
    <w:p w14:paraId="69F17027" w14:textId="77777777" w:rsidR="00F05B50" w:rsidRPr="00450B11" w:rsidRDefault="00F05B50" w:rsidP="00F05B50">
      <w:r w:rsidRPr="00450B11">
        <w:t>Content under this heading has been removed in this version to meet accessibility standards.</w:t>
      </w:r>
    </w:p>
    <w:p w14:paraId="27893AFB" w14:textId="77777777" w:rsidR="00342545" w:rsidRPr="00482D9A" w:rsidRDefault="00342545" w:rsidP="00342545">
      <w:r w:rsidRPr="00482D9A">
        <w:t>In 2017–18, CASA spent approximately 68 per cent of total expenditure on employee costs (65 per cent in 2016–17) and approximately 26 per cent on suppliers (28 per cent in 2016–17). The remainder comprised depreciation and amortisation expenses (see Figure 4).</w:t>
      </w:r>
    </w:p>
    <w:p w14:paraId="56A87398" w14:textId="77777777" w:rsidR="00342545" w:rsidRPr="004B20DE" w:rsidRDefault="00342545" w:rsidP="00342545">
      <w:pPr>
        <w:pStyle w:val="FigureName"/>
        <w:rPr>
          <w:lang w:val="en-AU"/>
        </w:rPr>
      </w:pPr>
      <w:r w:rsidRPr="004B20DE">
        <w:rPr>
          <w:lang w:val="en-AU"/>
        </w:rPr>
        <w:t>Figure 4</w:t>
      </w:r>
      <w:r w:rsidRPr="004B20DE">
        <w:rPr>
          <w:lang w:val="en-AU"/>
        </w:rPr>
        <w:tab/>
        <w:t>Expenditure, 201</w:t>
      </w:r>
      <w:r>
        <w:rPr>
          <w:lang w:val="en-AU"/>
        </w:rPr>
        <w:t>7</w:t>
      </w:r>
      <w:r w:rsidRPr="004B20DE">
        <w:rPr>
          <w:lang w:val="en-AU"/>
        </w:rPr>
        <w:t>–1</w:t>
      </w:r>
      <w:r>
        <w:rPr>
          <w:lang w:val="en-AU"/>
        </w:rPr>
        <w:t>8</w:t>
      </w:r>
    </w:p>
    <w:p w14:paraId="31267ACF" w14:textId="77777777" w:rsidR="00F05B50" w:rsidRPr="00450B11" w:rsidRDefault="00F05B50" w:rsidP="00F05B50">
      <w:r w:rsidRPr="00450B11">
        <w:t>Content under this heading has been removed in this version to meet accessibility standards.</w:t>
      </w:r>
    </w:p>
    <w:p w14:paraId="742143DA" w14:textId="77777777" w:rsidR="00342545" w:rsidRPr="003C0B7A" w:rsidRDefault="00342545" w:rsidP="00342545">
      <w:pPr>
        <w:pStyle w:val="Heading2"/>
      </w:pPr>
      <w:r w:rsidRPr="003C0B7A">
        <w:t xml:space="preserve">Cash flow </w:t>
      </w:r>
    </w:p>
    <w:p w14:paraId="3B34FEBA" w14:textId="77777777" w:rsidR="00342545" w:rsidRPr="003C0B7A" w:rsidRDefault="00342545" w:rsidP="00342545">
      <w:r w:rsidRPr="003C0B7A">
        <w:t>CASA’s cash balance (including short-term investments) at 30 June 2018 was $69.2 million ($69.3 million in 2016–17). The decrease in the cash balance was represented by net cash received from operating activities of $7.8 million ($12.5 million in 2016–17) offset by an increase of $1.0 million in net cash used by investing activities to $7.9 million ($6.9 million in 2016–17), attributable to increases in purchases of property, plant and equipment and intangibles.</w:t>
      </w:r>
    </w:p>
    <w:p w14:paraId="7B1CFB36" w14:textId="77777777" w:rsidR="00342545" w:rsidRPr="003C0B7A" w:rsidRDefault="00342545" w:rsidP="00342545">
      <w:pPr>
        <w:rPr>
          <w:rFonts w:ascii="Calibri" w:hAnsi="Calibri"/>
        </w:rPr>
      </w:pPr>
      <w:r w:rsidRPr="003C0B7A">
        <w:t>The cash balance provides funding for CASA’s capital replacement program, in line with its capital management plan. The cash balance also provides for the estimated future payments to be made in respect of services provided by employees (that is, employee provisions for leave entitlements).</w:t>
      </w:r>
    </w:p>
    <w:p w14:paraId="21DE3810" w14:textId="77777777" w:rsidR="00342545" w:rsidRPr="003F5D16" w:rsidRDefault="00342545" w:rsidP="00342545">
      <w:pPr>
        <w:pStyle w:val="Heading2"/>
      </w:pPr>
      <w:r w:rsidRPr="00FF2174">
        <w:t>Fin</w:t>
      </w:r>
      <w:r w:rsidRPr="003F5D16">
        <w:t xml:space="preserve">ancial position </w:t>
      </w:r>
    </w:p>
    <w:p w14:paraId="65197196" w14:textId="77777777" w:rsidR="00342545" w:rsidRPr="003F5D16" w:rsidRDefault="00342545" w:rsidP="00342545">
      <w:r w:rsidRPr="003F5D16">
        <w:t>Key indicators of the health of CASA’s financial position are its ability to sustain its asset base, pay debts as they fall due in the short</w:t>
      </w:r>
      <w:r>
        <w:t xml:space="preserve"> </w:t>
      </w:r>
      <w:r w:rsidRPr="003F5D16">
        <w:t>term, and maintain prudent levels of long-term liabilities.</w:t>
      </w:r>
    </w:p>
    <w:p w14:paraId="1C27750A" w14:textId="77777777" w:rsidR="00342545" w:rsidRPr="003F5D16" w:rsidRDefault="00342545" w:rsidP="00342545">
      <w:r w:rsidRPr="003F5D16">
        <w:t>The ability of CASA to sustain its asset base is indicated by changes in net assets. The net asset position decreased by $0.0</w:t>
      </w:r>
      <w:r w:rsidR="008A6FE2">
        <w:t>5</w:t>
      </w:r>
      <w:r w:rsidRPr="003F5D16">
        <w:t xml:space="preserve"> million in 2017–18. </w:t>
      </w:r>
    </w:p>
    <w:p w14:paraId="30C1C98A" w14:textId="77777777" w:rsidR="00342545" w:rsidRPr="003F5D16" w:rsidRDefault="00342545" w:rsidP="00342545">
      <w:r w:rsidRPr="003F5D16">
        <w:t xml:space="preserve">Figure 5 shows that CASA maintains a sustainable net assets level in relation to </w:t>
      </w:r>
      <w:r w:rsidR="009B41D6">
        <w:br/>
      </w:r>
      <w:r w:rsidRPr="003F5D16">
        <w:t>2017–18 and forward estimates.</w:t>
      </w:r>
    </w:p>
    <w:p w14:paraId="155D82DC" w14:textId="77777777" w:rsidR="00342545" w:rsidRPr="00AE6414" w:rsidRDefault="00342545" w:rsidP="000035D2">
      <w:pPr>
        <w:pStyle w:val="FigureName"/>
      </w:pPr>
      <w:r w:rsidRPr="00AE6414">
        <w:t>Figure 5</w:t>
      </w:r>
      <w:r w:rsidRPr="00AE6414">
        <w:tab/>
        <w:t>Financial position, 2016–17 to 2021–22</w:t>
      </w:r>
    </w:p>
    <w:p w14:paraId="1536669E" w14:textId="77777777" w:rsidR="00F05B50" w:rsidRPr="00450B11" w:rsidRDefault="00F05B50" w:rsidP="00F05B50">
      <w:r w:rsidRPr="00450B11">
        <w:t>Content under this heading has been removed in this version to meet accessibility standards.</w:t>
      </w:r>
    </w:p>
    <w:p w14:paraId="11013A24" w14:textId="77777777" w:rsidR="00342545" w:rsidRPr="00D472B7" w:rsidRDefault="00342545" w:rsidP="00342545">
      <w:pPr>
        <w:pStyle w:val="Heading2"/>
      </w:pPr>
      <w:r w:rsidRPr="00D472B7">
        <w:t xml:space="preserve">Financial outlook </w:t>
      </w:r>
    </w:p>
    <w:p w14:paraId="77203916" w14:textId="77777777" w:rsidR="00342545" w:rsidRPr="00D472B7" w:rsidRDefault="00342545" w:rsidP="00342545">
      <w:pPr>
        <w:rPr>
          <w:szCs w:val="24"/>
          <w:lang w:eastAsia="en-AU"/>
        </w:rPr>
      </w:pPr>
      <w:r w:rsidRPr="00D472B7">
        <w:rPr>
          <w:szCs w:val="24"/>
          <w:lang w:eastAsia="en-AU"/>
        </w:rPr>
        <w:t>CASA is budgeting for a minor operating surplus position for 2018–19 of $0.01 million, with small operating surpluses continuing in the forward years 2019–20, 2020–21 and 2021</w:t>
      </w:r>
      <w:r w:rsidR="008A6FE2">
        <w:rPr>
          <w:szCs w:val="24"/>
          <w:lang w:eastAsia="en-AU"/>
        </w:rPr>
        <w:t>–</w:t>
      </w:r>
      <w:r w:rsidRPr="00D472B7">
        <w:rPr>
          <w:szCs w:val="24"/>
          <w:lang w:eastAsia="en-AU"/>
        </w:rPr>
        <w:t xml:space="preserve">22. </w:t>
      </w:r>
    </w:p>
    <w:p w14:paraId="2A3B022C" w14:textId="77777777" w:rsidR="00342545" w:rsidRPr="00D472B7" w:rsidRDefault="00342545" w:rsidP="00342545">
      <w:pPr>
        <w:rPr>
          <w:szCs w:val="24"/>
          <w:lang w:val="x-none" w:eastAsia="en-AU"/>
        </w:rPr>
      </w:pPr>
      <w:r w:rsidRPr="00D472B7">
        <w:rPr>
          <w:szCs w:val="24"/>
          <w:lang w:val="x-none" w:eastAsia="en-AU"/>
        </w:rPr>
        <w:t>CASA’s total forecast income for 201</w:t>
      </w:r>
      <w:r w:rsidRPr="00D472B7">
        <w:rPr>
          <w:szCs w:val="24"/>
          <w:lang w:val="en-AU" w:eastAsia="en-AU"/>
        </w:rPr>
        <w:t>8</w:t>
      </w:r>
      <w:r w:rsidRPr="00D472B7">
        <w:rPr>
          <w:szCs w:val="24"/>
          <w:lang w:val="x-none" w:eastAsia="en-AU"/>
        </w:rPr>
        <w:t>–1</w:t>
      </w:r>
      <w:r w:rsidRPr="00D472B7">
        <w:rPr>
          <w:szCs w:val="24"/>
          <w:lang w:val="en-AU" w:eastAsia="en-AU"/>
        </w:rPr>
        <w:t>9</w:t>
      </w:r>
      <w:r w:rsidRPr="00D472B7">
        <w:rPr>
          <w:szCs w:val="24"/>
          <w:lang w:val="x-none" w:eastAsia="en-AU"/>
        </w:rPr>
        <w:t xml:space="preserve"> is $18</w:t>
      </w:r>
      <w:r w:rsidRPr="00D472B7">
        <w:rPr>
          <w:szCs w:val="24"/>
          <w:lang w:val="en-AU" w:eastAsia="en-AU"/>
        </w:rPr>
        <w:t>8</w:t>
      </w:r>
      <w:r w:rsidRPr="00D472B7">
        <w:rPr>
          <w:szCs w:val="24"/>
          <w:lang w:val="x-none" w:eastAsia="en-AU"/>
        </w:rPr>
        <w:t>.5 million, derived as follows:</w:t>
      </w:r>
    </w:p>
    <w:p w14:paraId="34CF0B28" w14:textId="77777777" w:rsidR="00342545" w:rsidRPr="00D472B7" w:rsidRDefault="00342545" w:rsidP="009A6C3B">
      <w:pPr>
        <w:numPr>
          <w:ilvl w:val="0"/>
          <w:numId w:val="29"/>
        </w:numPr>
        <w:spacing w:after="0"/>
        <w:ind w:left="284"/>
        <w:rPr>
          <w:szCs w:val="24"/>
          <w:lang w:eastAsia="en-AU"/>
        </w:rPr>
      </w:pPr>
      <w:r w:rsidRPr="00D472B7">
        <w:rPr>
          <w:szCs w:val="24"/>
          <w:lang w:eastAsia="en-AU"/>
        </w:rPr>
        <w:lastRenderedPageBreak/>
        <w:t>$43.9 million from government appropriations</w:t>
      </w:r>
    </w:p>
    <w:p w14:paraId="05EBC7B7" w14:textId="77777777" w:rsidR="00342545" w:rsidRPr="00D472B7" w:rsidRDefault="00342545" w:rsidP="009A6C3B">
      <w:pPr>
        <w:numPr>
          <w:ilvl w:val="0"/>
          <w:numId w:val="29"/>
        </w:numPr>
        <w:spacing w:after="0"/>
        <w:ind w:left="284"/>
        <w:rPr>
          <w:szCs w:val="24"/>
          <w:lang w:eastAsia="en-AU"/>
        </w:rPr>
      </w:pPr>
      <w:r w:rsidRPr="00D472B7">
        <w:rPr>
          <w:szCs w:val="24"/>
          <w:lang w:eastAsia="en-AU"/>
        </w:rPr>
        <w:t>$125.7 million from the aviation industry through the collection of excise revenue on aviation fuel sold for domestic air travel</w:t>
      </w:r>
    </w:p>
    <w:p w14:paraId="41596437" w14:textId="77777777" w:rsidR="00342545" w:rsidRPr="00D472B7" w:rsidRDefault="00342545" w:rsidP="009A6C3B">
      <w:pPr>
        <w:numPr>
          <w:ilvl w:val="0"/>
          <w:numId w:val="29"/>
        </w:numPr>
        <w:spacing w:after="0"/>
        <w:ind w:left="284"/>
        <w:rPr>
          <w:szCs w:val="24"/>
          <w:lang w:eastAsia="en-AU"/>
        </w:rPr>
      </w:pPr>
      <w:r w:rsidRPr="00D472B7">
        <w:rPr>
          <w:szCs w:val="24"/>
          <w:lang w:eastAsia="en-AU"/>
        </w:rPr>
        <w:t>$16.5 million from regulatory service fees plus the issue of aviation security identification cards</w:t>
      </w:r>
    </w:p>
    <w:p w14:paraId="1D665651" w14:textId="77777777" w:rsidR="00342545" w:rsidRPr="00D472B7" w:rsidRDefault="00342545" w:rsidP="009A6C3B">
      <w:pPr>
        <w:numPr>
          <w:ilvl w:val="0"/>
          <w:numId w:val="29"/>
        </w:numPr>
        <w:spacing w:after="0"/>
        <w:ind w:left="284"/>
        <w:rPr>
          <w:szCs w:val="24"/>
          <w:lang w:eastAsia="en-AU"/>
        </w:rPr>
      </w:pPr>
      <w:r w:rsidRPr="00D472B7">
        <w:rPr>
          <w:szCs w:val="24"/>
          <w:lang w:eastAsia="en-AU"/>
        </w:rPr>
        <w:t>$1.0 million from the sale of goods and services and other sundry income</w:t>
      </w:r>
    </w:p>
    <w:p w14:paraId="7A0A2E13" w14:textId="77777777" w:rsidR="00342545" w:rsidRPr="00D472B7" w:rsidRDefault="00342545" w:rsidP="009A6C3B">
      <w:pPr>
        <w:numPr>
          <w:ilvl w:val="0"/>
          <w:numId w:val="29"/>
        </w:numPr>
        <w:spacing w:after="0"/>
        <w:ind w:left="284"/>
        <w:rPr>
          <w:szCs w:val="24"/>
          <w:lang w:eastAsia="en-AU"/>
        </w:rPr>
      </w:pPr>
      <w:r w:rsidRPr="00D472B7">
        <w:rPr>
          <w:szCs w:val="24"/>
          <w:lang w:eastAsia="en-AU"/>
        </w:rPr>
        <w:t>$1.4 million from interest from investments and cash deposits.</w:t>
      </w:r>
    </w:p>
    <w:p w14:paraId="05C66595" w14:textId="77777777" w:rsidR="00F73F4D" w:rsidRDefault="00F73F4D" w:rsidP="00342545">
      <w:pPr>
        <w:rPr>
          <w:szCs w:val="24"/>
          <w:lang w:eastAsia="en-AU"/>
        </w:rPr>
      </w:pPr>
    </w:p>
    <w:p w14:paraId="73968822" w14:textId="2C7B0047" w:rsidR="00342545" w:rsidRPr="00D472B7" w:rsidRDefault="00342545" w:rsidP="00342545">
      <w:pPr>
        <w:rPr>
          <w:szCs w:val="24"/>
          <w:lang w:eastAsia="en-AU"/>
        </w:rPr>
      </w:pPr>
      <w:r w:rsidRPr="00D472B7">
        <w:rPr>
          <w:szCs w:val="24"/>
          <w:lang w:eastAsia="en-AU"/>
        </w:rPr>
        <w:t xml:space="preserve">CASA’s balance sheet projection shows a small increase in net assets for 2018–19 with modest increases in the forward years. The organisation’s financial position indicates its capacity to deal with financial pressures. </w:t>
      </w:r>
    </w:p>
    <w:p w14:paraId="70F17CA8" w14:textId="77777777" w:rsidR="00342545" w:rsidRPr="00D472B7" w:rsidRDefault="00342545" w:rsidP="00342545">
      <w:pPr>
        <w:rPr>
          <w:szCs w:val="24"/>
          <w:lang w:eastAsia="en-AU"/>
        </w:rPr>
      </w:pPr>
      <w:r w:rsidRPr="00D472B7">
        <w:rPr>
          <w:szCs w:val="24"/>
          <w:lang w:eastAsia="en-AU"/>
        </w:rPr>
        <w:t>CASA’s cash and cash equivalents balance, including investments, are budgeted to remain above $64 million in the next four years. Aviation fuel excise revenue, as published in the 2018–19 Portfolio Budget Statements, is expected to increase by 9.1 per cent over the forward years.</w:t>
      </w:r>
    </w:p>
    <w:p w14:paraId="7B48200E" w14:textId="684E876E" w:rsidR="00342545" w:rsidRDefault="00342545" w:rsidP="00342545">
      <w:pPr>
        <w:rPr>
          <w:szCs w:val="24"/>
          <w:lang w:eastAsia="en-AU"/>
        </w:rPr>
      </w:pPr>
      <w:r w:rsidRPr="00D472B7">
        <w:rPr>
          <w:szCs w:val="24"/>
          <w:lang w:eastAsia="en-AU"/>
        </w:rPr>
        <w:t>Retained surplus is budgeted to increase slightly in 2018–19 and the following years as a result of modest operating surpluses.</w:t>
      </w:r>
    </w:p>
    <w:p w14:paraId="27AE7961" w14:textId="6B733FB9" w:rsidR="002006E2" w:rsidRPr="00D472B7" w:rsidRDefault="002006E2" w:rsidP="005626C0">
      <w:pPr>
        <w:pStyle w:val="Heading0noTOC"/>
        <w:rPr>
          <w:szCs w:val="24"/>
          <w:lang w:eastAsia="en-AU"/>
        </w:rPr>
      </w:pPr>
      <w:r w:rsidRPr="00687E4A">
        <w:t>Cameo</w:t>
      </w:r>
    </w:p>
    <w:p w14:paraId="41E13F67" w14:textId="77777777" w:rsidR="006A4FEB" w:rsidRPr="007742B3" w:rsidRDefault="006A4FEB" w:rsidP="006A4FEB">
      <w:pPr>
        <w:pStyle w:val="Heading1noTOC"/>
        <w:rPr>
          <w:lang w:val="en-AU"/>
        </w:rPr>
      </w:pPr>
      <w:r w:rsidRPr="007742B3">
        <w:rPr>
          <w:lang w:val="en-AU"/>
        </w:rPr>
        <w:t>Dreamliner delivery flight</w:t>
      </w:r>
    </w:p>
    <w:p w14:paraId="794A3ACA" w14:textId="77777777" w:rsidR="00745C4C" w:rsidRPr="007742B3" w:rsidRDefault="00745C4C" w:rsidP="00745C4C">
      <w:pPr>
        <w:shd w:val="clear" w:color="auto" w:fill="FFFFFF"/>
        <w:spacing w:after="150"/>
        <w:textAlignment w:val="top"/>
        <w:rPr>
          <w:spacing w:val="3"/>
          <w:szCs w:val="24"/>
          <w:lang w:val="en-AU" w:eastAsia="en-AU"/>
        </w:rPr>
      </w:pPr>
      <w:bookmarkStart w:id="28" w:name="_Hlk520812618"/>
      <w:r w:rsidRPr="007742B3">
        <w:rPr>
          <w:color w:val="212121"/>
          <w:spacing w:val="3"/>
          <w:szCs w:val="24"/>
          <w:lang w:val="en-AU" w:eastAsia="en-AU"/>
        </w:rPr>
        <w:t xml:space="preserve">In </w:t>
      </w:r>
      <w:r w:rsidRPr="007742B3">
        <w:rPr>
          <w:spacing w:val="3"/>
          <w:szCs w:val="24"/>
          <w:lang w:val="en-AU" w:eastAsia="en-AU"/>
        </w:rPr>
        <w:t xml:space="preserve">November 2017, CASA’s Rick Hession and Wayne Burns, flying operations inspectors from Sydney </w:t>
      </w:r>
      <w:r>
        <w:rPr>
          <w:spacing w:val="3"/>
          <w:szCs w:val="24"/>
          <w:lang w:val="en-AU" w:eastAsia="en-AU"/>
        </w:rPr>
        <w:t>R</w:t>
      </w:r>
      <w:r w:rsidRPr="007742B3">
        <w:rPr>
          <w:spacing w:val="3"/>
          <w:szCs w:val="24"/>
          <w:lang w:val="en-AU" w:eastAsia="en-AU"/>
        </w:rPr>
        <w:t xml:space="preserve">egion, were on board the delivery flight of </w:t>
      </w:r>
      <w:r w:rsidRPr="00660B28">
        <w:rPr>
          <w:i/>
          <w:spacing w:val="3"/>
          <w:szCs w:val="24"/>
          <w:lang w:val="en-AU" w:eastAsia="en-AU"/>
        </w:rPr>
        <w:t>Great Southern Land</w:t>
      </w:r>
      <w:r w:rsidRPr="007742B3">
        <w:rPr>
          <w:spacing w:val="3"/>
          <w:szCs w:val="24"/>
          <w:lang w:val="en-AU" w:eastAsia="en-AU"/>
        </w:rPr>
        <w:t xml:space="preserve">, the new Qantas Boeing 787 Dreamliner, which flew from Boeing’s Paine Field </w:t>
      </w:r>
      <w:r>
        <w:rPr>
          <w:spacing w:val="3"/>
          <w:szCs w:val="24"/>
          <w:lang w:val="en-AU" w:eastAsia="en-AU"/>
        </w:rPr>
        <w:t xml:space="preserve">in </w:t>
      </w:r>
      <w:r w:rsidRPr="007742B3">
        <w:rPr>
          <w:spacing w:val="3"/>
          <w:szCs w:val="24"/>
          <w:lang w:val="en-AU" w:eastAsia="en-AU"/>
        </w:rPr>
        <w:t>Seattle to Sydney.</w:t>
      </w:r>
    </w:p>
    <w:p w14:paraId="2FBE588F" w14:textId="77777777" w:rsidR="00745C4C" w:rsidRPr="007742B3" w:rsidRDefault="00745C4C" w:rsidP="00745C4C">
      <w:pPr>
        <w:shd w:val="clear" w:color="auto" w:fill="FFFFFF"/>
        <w:spacing w:after="150"/>
        <w:textAlignment w:val="top"/>
        <w:rPr>
          <w:spacing w:val="3"/>
          <w:szCs w:val="24"/>
          <w:lang w:val="en-AU" w:eastAsia="en-AU"/>
        </w:rPr>
      </w:pPr>
      <w:r w:rsidRPr="007742B3">
        <w:rPr>
          <w:spacing w:val="3"/>
          <w:szCs w:val="24"/>
          <w:lang w:val="en-AU" w:eastAsia="en-AU"/>
        </w:rPr>
        <w:t xml:space="preserve">Joined by </w:t>
      </w:r>
      <w:r>
        <w:rPr>
          <w:spacing w:val="3"/>
          <w:szCs w:val="24"/>
          <w:lang w:val="en-AU" w:eastAsia="en-AU"/>
        </w:rPr>
        <w:t>journalists</w:t>
      </w:r>
      <w:r w:rsidRPr="007742B3">
        <w:rPr>
          <w:spacing w:val="3"/>
          <w:szCs w:val="24"/>
          <w:lang w:val="en-AU" w:eastAsia="en-AU"/>
        </w:rPr>
        <w:t xml:space="preserve">, Qantas cabin crew, the Qantas B787 fleet manager, a technical pilot and a training pilot, they were on board to oversee all aspects of the flight. </w:t>
      </w:r>
    </w:p>
    <w:p w14:paraId="3458457C" w14:textId="77777777" w:rsidR="00745C4C" w:rsidRPr="007742B3" w:rsidRDefault="00745C4C" w:rsidP="00745C4C">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One of CASA’s inspectors was on the flight deck at all times</w:t>
      </w:r>
      <w:r>
        <w:rPr>
          <w:color w:val="212121"/>
          <w:spacing w:val="3"/>
          <w:szCs w:val="24"/>
          <w:lang w:val="en-AU" w:eastAsia="en-AU"/>
        </w:rPr>
        <w:t xml:space="preserve"> </w:t>
      </w:r>
      <w:r w:rsidRPr="007742B3">
        <w:rPr>
          <w:color w:val="212121"/>
          <w:spacing w:val="3"/>
          <w:szCs w:val="24"/>
          <w:lang w:val="en-AU" w:eastAsia="en-AU"/>
        </w:rPr>
        <w:t xml:space="preserve">to observe </w:t>
      </w:r>
      <w:r>
        <w:rPr>
          <w:color w:val="212121"/>
          <w:spacing w:val="3"/>
          <w:szCs w:val="24"/>
          <w:lang w:val="en-AU" w:eastAsia="en-AU"/>
        </w:rPr>
        <w:t>the flight crew procedures</w:t>
      </w:r>
      <w:r w:rsidR="00CC4C11">
        <w:rPr>
          <w:color w:val="212121"/>
          <w:spacing w:val="3"/>
          <w:szCs w:val="24"/>
          <w:lang w:val="en-AU" w:eastAsia="en-AU"/>
        </w:rPr>
        <w:t>,</w:t>
      </w:r>
      <w:r>
        <w:rPr>
          <w:color w:val="212121"/>
          <w:spacing w:val="3"/>
          <w:szCs w:val="24"/>
          <w:lang w:val="en-AU" w:eastAsia="en-AU"/>
        </w:rPr>
        <w:t xml:space="preserve"> including </w:t>
      </w:r>
      <w:r w:rsidRPr="007742B3">
        <w:rPr>
          <w:color w:val="212121"/>
          <w:spacing w:val="3"/>
          <w:szCs w:val="24"/>
          <w:lang w:val="en-AU" w:eastAsia="en-AU"/>
        </w:rPr>
        <w:t>take-off</w:t>
      </w:r>
      <w:r w:rsidR="00CC4C11">
        <w:rPr>
          <w:color w:val="212121"/>
          <w:spacing w:val="3"/>
          <w:szCs w:val="24"/>
          <w:lang w:val="en-AU" w:eastAsia="en-AU"/>
        </w:rPr>
        <w:t xml:space="preserve"> and</w:t>
      </w:r>
      <w:r w:rsidRPr="007742B3">
        <w:rPr>
          <w:color w:val="212121"/>
          <w:spacing w:val="3"/>
          <w:szCs w:val="24"/>
          <w:lang w:val="en-AU" w:eastAsia="en-AU"/>
        </w:rPr>
        <w:t xml:space="preserve"> landing</w:t>
      </w:r>
      <w:r>
        <w:rPr>
          <w:color w:val="212121"/>
          <w:spacing w:val="3"/>
          <w:szCs w:val="24"/>
          <w:lang w:val="en-AU" w:eastAsia="en-AU"/>
        </w:rPr>
        <w:t xml:space="preserve"> and </w:t>
      </w:r>
      <w:r w:rsidRPr="007742B3">
        <w:rPr>
          <w:color w:val="212121"/>
          <w:spacing w:val="3"/>
          <w:szCs w:val="24"/>
          <w:lang w:val="en-AU" w:eastAsia="en-AU"/>
        </w:rPr>
        <w:t xml:space="preserve">the </w:t>
      </w:r>
      <w:r>
        <w:rPr>
          <w:color w:val="212121"/>
          <w:spacing w:val="3"/>
          <w:szCs w:val="24"/>
          <w:lang w:val="en-AU" w:eastAsia="en-AU"/>
        </w:rPr>
        <w:t xml:space="preserve">use of the </w:t>
      </w:r>
      <w:r w:rsidRPr="007742B3">
        <w:rPr>
          <w:color w:val="212121"/>
          <w:spacing w:val="3"/>
          <w:szCs w:val="24"/>
          <w:lang w:val="en-AU" w:eastAsia="en-AU"/>
        </w:rPr>
        <w:t xml:space="preserve">aircraft navigation systems via a mouse and large flat screens on which traditional instruments were shown, along with pictorial representations of real-time tracking, weather, traffic and aircraft systems health. </w:t>
      </w:r>
    </w:p>
    <w:p w14:paraId="396E703A" w14:textId="77777777" w:rsidR="00745C4C" w:rsidRPr="007742B3" w:rsidRDefault="00745C4C" w:rsidP="00745C4C">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 xml:space="preserve">A Boeing engineer sat in a spare seat, monitoring altitude, aircraft speed, engine thrust and fuel flow through a laptop, benchmarking the aircraft’s performance against the manufacturer’s figures. </w:t>
      </w:r>
    </w:p>
    <w:p w14:paraId="5CD4342A" w14:textId="77777777" w:rsidR="00745C4C" w:rsidRPr="007742B3" w:rsidRDefault="00745C4C" w:rsidP="00745C4C">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 xml:space="preserve">On arrival in Honolulu, the aircraft still had 13.2 tonnes of fuel on board. It had burned an average of 4.8 tonnes per hour, </w:t>
      </w:r>
      <w:r w:rsidR="008A6FE2">
        <w:rPr>
          <w:color w:val="212121"/>
          <w:spacing w:val="3"/>
          <w:szCs w:val="24"/>
          <w:lang w:val="en-AU" w:eastAsia="en-AU"/>
        </w:rPr>
        <w:t>demon</w:t>
      </w:r>
      <w:r w:rsidRPr="007742B3">
        <w:rPr>
          <w:color w:val="212121"/>
          <w:spacing w:val="3"/>
          <w:szCs w:val="24"/>
          <w:lang w:val="en-AU" w:eastAsia="en-AU"/>
        </w:rPr>
        <w:t xml:space="preserve">strating the Dreamliner’s notable fuel efficiency. From the passenger cabin, </w:t>
      </w:r>
      <w:r w:rsidRPr="007742B3">
        <w:rPr>
          <w:spacing w:val="3"/>
          <w:szCs w:val="24"/>
          <w:lang w:val="en-AU" w:eastAsia="en-AU"/>
        </w:rPr>
        <w:t xml:space="preserve">Rick and Wayne </w:t>
      </w:r>
      <w:r w:rsidRPr="007742B3">
        <w:rPr>
          <w:color w:val="212121"/>
          <w:spacing w:val="3"/>
          <w:szCs w:val="24"/>
          <w:lang w:val="en-AU" w:eastAsia="en-AU"/>
        </w:rPr>
        <w:t>watched the trailing edge devices constantly run in and out, minutely and automatically adjusting the lift and drag on the wings to improve performance.</w:t>
      </w:r>
    </w:p>
    <w:p w14:paraId="53E219F4" w14:textId="77777777" w:rsidR="00745C4C" w:rsidRPr="007742B3" w:rsidRDefault="00745C4C" w:rsidP="00745C4C">
      <w:pPr>
        <w:shd w:val="clear" w:color="auto" w:fill="FFFFFF"/>
        <w:spacing w:after="150"/>
        <w:textAlignment w:val="top"/>
        <w:rPr>
          <w:color w:val="212121"/>
          <w:spacing w:val="3"/>
          <w:szCs w:val="24"/>
          <w:lang w:val="en-AU" w:eastAsia="en-AU"/>
        </w:rPr>
      </w:pPr>
      <w:r>
        <w:rPr>
          <w:color w:val="212121"/>
          <w:spacing w:val="3"/>
          <w:szCs w:val="24"/>
          <w:lang w:val="en-AU" w:eastAsia="en-AU"/>
        </w:rPr>
        <w:t>On</w:t>
      </w:r>
      <w:r w:rsidRPr="007742B3">
        <w:rPr>
          <w:color w:val="212121"/>
          <w:spacing w:val="3"/>
          <w:szCs w:val="24"/>
          <w:lang w:val="en-AU" w:eastAsia="en-AU"/>
        </w:rPr>
        <w:t xml:space="preserve"> take-off from Honolulu, their work continued as they observed flight preparation, flight monitoring and the associated paperwork, the checking of crew licences, extended diversion time operations procedures, weather avoidance, communications, and aircraft certificates.</w:t>
      </w:r>
    </w:p>
    <w:p w14:paraId="240A98A8" w14:textId="77777777" w:rsidR="00745C4C" w:rsidRPr="007742B3" w:rsidRDefault="00745C4C" w:rsidP="00745C4C">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lastRenderedPageBreak/>
        <w:t>The early morning arrival into Sydney was planned to coincide with media morning news cycles and allowed the Dreamliner to fly at the lowest safe altitude around the harbour so that footage could be taken from helicopters before lining up for the final approach into Mascot.</w:t>
      </w:r>
    </w:p>
    <w:p w14:paraId="458F37E7" w14:textId="77777777" w:rsidR="00745C4C" w:rsidRPr="007742B3" w:rsidRDefault="00745C4C" w:rsidP="00745C4C">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 xml:space="preserve">On touchdown, cheers and applause from the assembled crowd could be heard from the cabin. As is customary on special occasions, the Dreamliner was welcomed with a cascading water arch from one of the airport’s fire trucks before being towed into a hangar to be met by 1,500 cheering Qantas staff. </w:t>
      </w:r>
    </w:p>
    <w:p w14:paraId="22606EB7" w14:textId="77777777" w:rsidR="00745C4C" w:rsidRPr="007742B3" w:rsidRDefault="00745C4C" w:rsidP="00745C4C">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Amid the fanfare, CASA’s inspectors noted the excellent job of the crew in shutting down the aircraft systems and handing over to ground engineers</w:t>
      </w:r>
      <w:r>
        <w:rPr>
          <w:color w:val="212121"/>
          <w:spacing w:val="3"/>
          <w:szCs w:val="24"/>
          <w:lang w:val="en-AU" w:eastAsia="en-AU"/>
        </w:rPr>
        <w:t>.</w:t>
      </w:r>
      <w:r w:rsidRPr="007742B3">
        <w:rPr>
          <w:color w:val="212121"/>
          <w:spacing w:val="3"/>
          <w:szCs w:val="24"/>
          <w:lang w:val="en-AU" w:eastAsia="en-AU"/>
        </w:rPr>
        <w:t xml:space="preserve"> </w:t>
      </w:r>
    </w:p>
    <w:p w14:paraId="68841521" w14:textId="4B5EF1D2" w:rsidR="006A4FEB" w:rsidRDefault="00745C4C" w:rsidP="000012B1">
      <w:pPr>
        <w:spacing w:before="100" w:beforeAutospacing="1" w:after="100" w:afterAutospacing="1"/>
        <w:rPr>
          <w:spacing w:val="3"/>
          <w:szCs w:val="24"/>
          <w:lang w:val="en-AU" w:eastAsia="en-AU"/>
        </w:rPr>
      </w:pPr>
      <w:r w:rsidRPr="007742B3">
        <w:rPr>
          <w:spacing w:val="3"/>
          <w:szCs w:val="24"/>
          <w:lang w:val="en-AU" w:eastAsia="en-AU"/>
        </w:rPr>
        <w:t xml:space="preserve">The delivery flight was the result of two years of project work by CASA and Qantas, which included the final acceptance flights, inspections and the issue of a </w:t>
      </w:r>
      <w:r>
        <w:rPr>
          <w:spacing w:val="3"/>
          <w:szCs w:val="24"/>
          <w:lang w:val="en-AU" w:eastAsia="en-AU"/>
        </w:rPr>
        <w:t>c</w:t>
      </w:r>
      <w:r w:rsidRPr="007742B3">
        <w:rPr>
          <w:spacing w:val="3"/>
          <w:szCs w:val="24"/>
          <w:lang w:val="en-AU" w:eastAsia="en-AU"/>
        </w:rPr>
        <w:t xml:space="preserve">ertificate of </w:t>
      </w:r>
      <w:r>
        <w:rPr>
          <w:spacing w:val="3"/>
          <w:szCs w:val="24"/>
          <w:lang w:val="en-AU" w:eastAsia="en-AU"/>
        </w:rPr>
        <w:t>a</w:t>
      </w:r>
      <w:r w:rsidRPr="007742B3">
        <w:rPr>
          <w:spacing w:val="3"/>
          <w:szCs w:val="24"/>
          <w:lang w:val="en-AU" w:eastAsia="en-AU"/>
        </w:rPr>
        <w:t>irworthiness before the flight.</w:t>
      </w:r>
    </w:p>
    <w:p w14:paraId="146FED4B" w14:textId="3C6AAF67" w:rsidR="005626C0" w:rsidRDefault="005626C0" w:rsidP="005626C0">
      <w:pPr>
        <w:pStyle w:val="Heading0noTOC"/>
        <w:rPr>
          <w:spacing w:val="3"/>
          <w:szCs w:val="24"/>
          <w:lang w:val="en-AU" w:eastAsia="en-AU"/>
        </w:rPr>
      </w:pPr>
      <w:r w:rsidRPr="00687E4A">
        <w:t>Cameo</w:t>
      </w:r>
    </w:p>
    <w:bookmarkEnd w:id="28"/>
    <w:p w14:paraId="57841E70" w14:textId="77777777" w:rsidR="002D38F1" w:rsidRPr="00687E4A" w:rsidRDefault="00DF69C2" w:rsidP="00DE2A46">
      <w:pPr>
        <w:pStyle w:val="Heading1noTOC"/>
        <w:rPr>
          <w:lang w:val="en-GB"/>
        </w:rPr>
      </w:pPr>
      <w:r w:rsidRPr="00687E4A">
        <w:rPr>
          <w:lang w:val="en-GB"/>
        </w:rPr>
        <w:t>Recognising growth in remotely piloted aircraft</w:t>
      </w:r>
    </w:p>
    <w:p w14:paraId="02909F29" w14:textId="77777777" w:rsidR="006A4FEB" w:rsidRPr="007742B3" w:rsidRDefault="006A4FEB" w:rsidP="006A4FEB">
      <w:pPr>
        <w:rPr>
          <w:szCs w:val="24"/>
          <w:lang w:val="en-AU"/>
        </w:rPr>
      </w:pPr>
      <w:r w:rsidRPr="007742B3">
        <w:rPr>
          <w:szCs w:val="24"/>
          <w:lang w:val="en-AU"/>
        </w:rPr>
        <w:t xml:space="preserve">The rapid growth in the number of </w:t>
      </w:r>
      <w:r w:rsidRPr="007742B3">
        <w:rPr>
          <w:color w:val="212121"/>
          <w:spacing w:val="3"/>
          <w:szCs w:val="24"/>
          <w:lang w:val="en-AU" w:eastAsia="en-AU"/>
        </w:rPr>
        <w:t xml:space="preserve">remotely piloted aircraft systems (RPAS), commonly referred to as </w:t>
      </w:r>
      <w:r w:rsidR="008A6FE2">
        <w:rPr>
          <w:color w:val="212121"/>
          <w:spacing w:val="3"/>
          <w:szCs w:val="24"/>
          <w:lang w:val="en-AU" w:eastAsia="en-AU"/>
        </w:rPr>
        <w:t>‘</w:t>
      </w:r>
      <w:r w:rsidRPr="007742B3">
        <w:rPr>
          <w:color w:val="212121"/>
          <w:spacing w:val="3"/>
          <w:szCs w:val="24"/>
          <w:lang w:val="en-AU" w:eastAsia="en-AU"/>
        </w:rPr>
        <w:t>drones</w:t>
      </w:r>
      <w:r w:rsidR="008A6FE2">
        <w:rPr>
          <w:color w:val="212121"/>
          <w:spacing w:val="3"/>
          <w:szCs w:val="24"/>
          <w:lang w:val="en-AU" w:eastAsia="en-AU"/>
        </w:rPr>
        <w:t>’</w:t>
      </w:r>
      <w:r w:rsidRPr="007742B3">
        <w:rPr>
          <w:color w:val="212121"/>
          <w:spacing w:val="3"/>
          <w:szCs w:val="24"/>
          <w:lang w:val="en-AU" w:eastAsia="en-AU"/>
        </w:rPr>
        <w:t xml:space="preserve">, being operated recreationally and commercially </w:t>
      </w:r>
      <w:r w:rsidRPr="007742B3">
        <w:rPr>
          <w:szCs w:val="24"/>
          <w:lang w:val="en-AU"/>
        </w:rPr>
        <w:t xml:space="preserve">was recognised in the 2018–19 </w:t>
      </w:r>
      <w:r w:rsidR="00FE62FC">
        <w:rPr>
          <w:szCs w:val="24"/>
          <w:lang w:val="en-AU"/>
        </w:rPr>
        <w:t>B</w:t>
      </w:r>
      <w:r w:rsidRPr="007742B3">
        <w:rPr>
          <w:szCs w:val="24"/>
          <w:lang w:val="en-AU"/>
        </w:rPr>
        <w:t xml:space="preserve">udget, which allocated funds to enhance </w:t>
      </w:r>
      <w:r w:rsidR="00FE62FC">
        <w:rPr>
          <w:szCs w:val="24"/>
          <w:lang w:val="en-AU"/>
        </w:rPr>
        <w:t>CASA’s</w:t>
      </w:r>
      <w:r w:rsidRPr="007742B3">
        <w:rPr>
          <w:szCs w:val="24"/>
          <w:lang w:val="en-AU"/>
        </w:rPr>
        <w:t xml:space="preserve"> ability to effectively and efficiently manage the safety standards and compliance of the sector.</w:t>
      </w:r>
    </w:p>
    <w:p w14:paraId="01368DAA" w14:textId="77777777" w:rsidR="00DF3857" w:rsidRPr="007742B3" w:rsidRDefault="00DF3857" w:rsidP="00DF3857">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 xml:space="preserve">In 2017, </w:t>
      </w:r>
      <w:r>
        <w:rPr>
          <w:color w:val="212121"/>
          <w:spacing w:val="3"/>
          <w:szCs w:val="24"/>
          <w:lang w:val="en-AU" w:eastAsia="en-AU"/>
        </w:rPr>
        <w:t xml:space="preserve">the number of </w:t>
      </w:r>
      <w:r w:rsidRPr="007742B3">
        <w:rPr>
          <w:color w:val="212121"/>
          <w:spacing w:val="3"/>
          <w:szCs w:val="24"/>
          <w:lang w:val="en-AU" w:eastAsia="en-AU"/>
        </w:rPr>
        <w:t>remote pilot licence holders increased by a remarkable 65 per cent</w:t>
      </w:r>
      <w:r>
        <w:rPr>
          <w:color w:val="212121"/>
          <w:spacing w:val="3"/>
          <w:szCs w:val="24"/>
          <w:lang w:val="en-AU" w:eastAsia="en-AU"/>
        </w:rPr>
        <w:t>,</w:t>
      </w:r>
      <w:r w:rsidRPr="007742B3">
        <w:rPr>
          <w:color w:val="212121"/>
          <w:spacing w:val="3"/>
          <w:szCs w:val="24"/>
          <w:lang w:val="en-AU" w:eastAsia="en-AU"/>
        </w:rPr>
        <w:t xml:space="preserve"> and </w:t>
      </w:r>
      <w:r>
        <w:rPr>
          <w:color w:val="212121"/>
          <w:spacing w:val="3"/>
          <w:szCs w:val="24"/>
          <w:lang w:val="en-AU" w:eastAsia="en-AU"/>
        </w:rPr>
        <w:t xml:space="preserve">the number of </w:t>
      </w:r>
      <w:r w:rsidRPr="007742B3">
        <w:rPr>
          <w:color w:val="212121"/>
          <w:spacing w:val="3"/>
          <w:szCs w:val="24"/>
          <w:lang w:val="en-AU" w:eastAsia="en-AU"/>
        </w:rPr>
        <w:t xml:space="preserve">remotely piloted aircraft operator certificate holders grew by 70 per cent. </w:t>
      </w:r>
    </w:p>
    <w:p w14:paraId="24E554DB" w14:textId="77777777" w:rsidR="006A4FEB" w:rsidRPr="007742B3" w:rsidRDefault="006A4FEB" w:rsidP="006A4FEB">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To better address the challenges associated with this growing and dynamic sector of aviation, CASA has established a dedicated branch to strengthen its oversight.</w:t>
      </w:r>
    </w:p>
    <w:p w14:paraId="0CF51279" w14:textId="77777777" w:rsidR="006A4FEB" w:rsidRPr="007742B3" w:rsidRDefault="006A4FEB" w:rsidP="006A4FEB">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The new branch brings together such functions as the delivery of RPAS policy and standards, regulatory services, and surveillance.</w:t>
      </w:r>
    </w:p>
    <w:p w14:paraId="30D26624" w14:textId="77777777" w:rsidR="006A4FEB" w:rsidRPr="007742B3" w:rsidRDefault="006A4FEB" w:rsidP="006A4FEB">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In tandem with other areas of CASA, the branch has worked to establish and build relationships with RPAS operators, manufacturers and industry associations, as well as to provide safety education for operators and public awareness of RPAS operations.</w:t>
      </w:r>
    </w:p>
    <w:p w14:paraId="12A53B6D" w14:textId="77777777" w:rsidR="006A4FEB" w:rsidRPr="007742B3" w:rsidRDefault="006A4FEB" w:rsidP="006A4FEB">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The challenges facing CASA in the RPAS sector include keeping abreast of rapidly evolving technology, balancing public expectations, maintaining a safe aviation system while allowing drones to be used for innovative purposes, and working with other national aviation authorities to develop a compatible approach to oversight.</w:t>
      </w:r>
    </w:p>
    <w:p w14:paraId="67E5733D" w14:textId="77777777" w:rsidR="006A4FEB" w:rsidRPr="007742B3" w:rsidRDefault="006A4FEB" w:rsidP="006A4FEB">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We are also taking steps to reach recreational drone users who may not be aware of CASA and its role or understand that aviation legislation applies to them.</w:t>
      </w:r>
      <w:r>
        <w:rPr>
          <w:color w:val="212121"/>
          <w:spacing w:val="3"/>
          <w:szCs w:val="24"/>
          <w:lang w:val="en-AU" w:eastAsia="en-AU"/>
        </w:rPr>
        <w:t xml:space="preserve"> We have focused on education about and</w:t>
      </w:r>
      <w:r w:rsidRPr="007742B3">
        <w:rPr>
          <w:spacing w:val="3"/>
          <w:szCs w:val="24"/>
          <w:lang w:val="en-AU" w:eastAsia="en-AU"/>
        </w:rPr>
        <w:t xml:space="preserve"> promotion</w:t>
      </w:r>
      <w:r>
        <w:rPr>
          <w:spacing w:val="3"/>
          <w:szCs w:val="24"/>
          <w:lang w:val="en-AU" w:eastAsia="en-AU"/>
        </w:rPr>
        <w:t xml:space="preserve"> of</w:t>
      </w:r>
      <w:r w:rsidRPr="007742B3">
        <w:rPr>
          <w:spacing w:val="3"/>
          <w:szCs w:val="24"/>
          <w:lang w:val="en-AU" w:eastAsia="en-AU"/>
        </w:rPr>
        <w:t xml:space="preserve"> RPAS safety</w:t>
      </w:r>
      <w:r>
        <w:rPr>
          <w:spacing w:val="3"/>
          <w:szCs w:val="24"/>
          <w:lang w:val="en-AU" w:eastAsia="en-AU"/>
        </w:rPr>
        <w:t>, distributing</w:t>
      </w:r>
      <w:r w:rsidRPr="007742B3">
        <w:rPr>
          <w:spacing w:val="3"/>
          <w:szCs w:val="24"/>
          <w:lang w:val="en-AU" w:eastAsia="en-AU"/>
        </w:rPr>
        <w:t xml:space="preserve"> messages through</w:t>
      </w:r>
      <w:r w:rsidRPr="007742B3">
        <w:rPr>
          <w:color w:val="212121"/>
          <w:spacing w:val="3"/>
          <w:szCs w:val="24"/>
          <w:lang w:val="en-AU" w:eastAsia="en-AU"/>
        </w:rPr>
        <w:t xml:space="preserve"> social media and other communication channels</w:t>
      </w:r>
      <w:r w:rsidRPr="007742B3">
        <w:rPr>
          <w:spacing w:val="3"/>
          <w:szCs w:val="24"/>
          <w:lang w:val="en-AU" w:eastAsia="en-AU"/>
        </w:rPr>
        <w:t>.</w:t>
      </w:r>
    </w:p>
    <w:p w14:paraId="6882DAEA" w14:textId="77777777" w:rsidR="006A4FEB" w:rsidRPr="007742B3" w:rsidRDefault="006A4FEB" w:rsidP="006A4FEB">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CASA branched out into cinema advertising in 2017</w:t>
      </w:r>
      <w:r>
        <w:rPr>
          <w:color w:val="212121"/>
          <w:spacing w:val="3"/>
          <w:szCs w:val="24"/>
          <w:lang w:val="en-AU" w:eastAsia="en-AU"/>
        </w:rPr>
        <w:t>, when our</w:t>
      </w:r>
      <w:r w:rsidRPr="007742B3">
        <w:rPr>
          <w:color w:val="212121"/>
          <w:spacing w:val="3"/>
          <w:szCs w:val="24"/>
          <w:lang w:val="en-AU" w:eastAsia="en-AU"/>
        </w:rPr>
        <w:t xml:space="preserve"> digital media team of Beth Montano, Nicholas Foley-Jones and Adrian Barac produc</w:t>
      </w:r>
      <w:r>
        <w:rPr>
          <w:color w:val="212121"/>
          <w:spacing w:val="3"/>
          <w:szCs w:val="24"/>
          <w:lang w:val="en-AU" w:eastAsia="en-AU"/>
        </w:rPr>
        <w:t>ed</w:t>
      </w:r>
      <w:r w:rsidRPr="007742B3">
        <w:rPr>
          <w:color w:val="212121"/>
          <w:spacing w:val="3"/>
          <w:szCs w:val="24"/>
          <w:lang w:val="en-AU" w:eastAsia="en-AU"/>
        </w:rPr>
        <w:t xml:space="preserve"> a new 30-sec</w:t>
      </w:r>
      <w:r>
        <w:rPr>
          <w:color w:val="212121"/>
          <w:spacing w:val="3"/>
          <w:szCs w:val="24"/>
          <w:lang w:val="en-AU" w:eastAsia="en-AU"/>
        </w:rPr>
        <w:t>ond</w:t>
      </w:r>
      <w:r w:rsidRPr="007742B3">
        <w:rPr>
          <w:color w:val="212121"/>
          <w:spacing w:val="3"/>
          <w:szCs w:val="24"/>
          <w:lang w:val="en-AU" w:eastAsia="en-AU"/>
        </w:rPr>
        <w:t xml:space="preserve"> ad </w:t>
      </w:r>
      <w:r w:rsidRPr="007742B3">
        <w:rPr>
          <w:color w:val="212121"/>
          <w:spacing w:val="3"/>
          <w:szCs w:val="24"/>
          <w:lang w:val="en-AU" w:eastAsia="en-AU"/>
        </w:rPr>
        <w:lastRenderedPageBreak/>
        <w:t>to raise awareness of drone rules. The</w:t>
      </w:r>
      <w:r>
        <w:rPr>
          <w:color w:val="212121"/>
          <w:spacing w:val="3"/>
          <w:szCs w:val="24"/>
          <w:lang w:val="en-AU" w:eastAsia="en-AU"/>
        </w:rPr>
        <w:t>y</w:t>
      </w:r>
      <w:r w:rsidRPr="007742B3">
        <w:rPr>
          <w:color w:val="212121"/>
          <w:spacing w:val="3"/>
          <w:szCs w:val="24"/>
          <w:lang w:val="en-AU" w:eastAsia="en-AU"/>
        </w:rPr>
        <w:t xml:space="preserve"> reworked the animation from CASA’s original social media campaign and converted the sound to Dolby Digital 5.1 surround sound.</w:t>
      </w:r>
    </w:p>
    <w:p w14:paraId="7F152CCE" w14:textId="77777777" w:rsidR="006A4FEB" w:rsidRPr="007742B3" w:rsidRDefault="006A4FEB" w:rsidP="006A4FEB">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The cinema advertising was shown on 1,962 screens across Australia, including premium and 3-D screens</w:t>
      </w:r>
      <w:r>
        <w:rPr>
          <w:color w:val="212121"/>
          <w:spacing w:val="3"/>
          <w:szCs w:val="24"/>
          <w:lang w:val="en-AU" w:eastAsia="en-AU"/>
        </w:rPr>
        <w:t>,</w:t>
      </w:r>
      <w:r w:rsidRPr="007742B3">
        <w:rPr>
          <w:color w:val="212121"/>
          <w:spacing w:val="3"/>
          <w:szCs w:val="24"/>
          <w:lang w:val="en-AU" w:eastAsia="en-AU"/>
        </w:rPr>
        <w:t xml:space="preserve"> and is expected to</w:t>
      </w:r>
      <w:r w:rsidR="00FE62FC">
        <w:rPr>
          <w:color w:val="212121"/>
          <w:spacing w:val="3"/>
          <w:szCs w:val="24"/>
          <w:lang w:val="en-AU" w:eastAsia="en-AU"/>
        </w:rPr>
        <w:t xml:space="preserve"> have</w:t>
      </w:r>
      <w:r w:rsidRPr="007742B3">
        <w:rPr>
          <w:color w:val="212121"/>
          <w:spacing w:val="3"/>
          <w:szCs w:val="24"/>
          <w:lang w:val="en-AU" w:eastAsia="en-AU"/>
        </w:rPr>
        <w:t xml:space="preserve"> reach</w:t>
      </w:r>
      <w:r w:rsidR="00FE62FC">
        <w:rPr>
          <w:color w:val="212121"/>
          <w:spacing w:val="3"/>
          <w:szCs w:val="24"/>
          <w:lang w:val="en-AU" w:eastAsia="en-AU"/>
        </w:rPr>
        <w:t>ed</w:t>
      </w:r>
      <w:r w:rsidRPr="007742B3">
        <w:rPr>
          <w:color w:val="212121"/>
          <w:spacing w:val="3"/>
          <w:szCs w:val="24"/>
          <w:lang w:val="en-AU" w:eastAsia="en-AU"/>
        </w:rPr>
        <w:t xml:space="preserve"> more than 510,000 movie goers.</w:t>
      </w:r>
    </w:p>
    <w:p w14:paraId="6A64C6F5" w14:textId="77777777" w:rsidR="006A4FEB" w:rsidRPr="007742B3" w:rsidRDefault="006A4FEB" w:rsidP="006A4FEB">
      <w:pPr>
        <w:shd w:val="clear" w:color="auto" w:fill="FFFFFF"/>
        <w:spacing w:before="120"/>
        <w:textAlignment w:val="top"/>
        <w:rPr>
          <w:rFonts w:ascii="Times New Roman" w:hAnsi="Times New Roman"/>
          <w:color w:val="212121"/>
          <w:spacing w:val="3"/>
          <w:szCs w:val="24"/>
          <w:lang w:val="en-AU" w:eastAsia="en-AU"/>
        </w:rPr>
      </w:pPr>
      <w:r w:rsidRPr="007742B3">
        <w:rPr>
          <w:color w:val="212121"/>
          <w:spacing w:val="3"/>
          <w:szCs w:val="24"/>
          <w:lang w:val="en-AU" w:eastAsia="en-AU"/>
        </w:rPr>
        <w:t xml:space="preserve">Other highlights </w:t>
      </w:r>
      <w:r>
        <w:rPr>
          <w:color w:val="212121"/>
          <w:spacing w:val="3"/>
          <w:szCs w:val="24"/>
          <w:lang w:val="en-AU" w:eastAsia="en-AU"/>
        </w:rPr>
        <w:t>during</w:t>
      </w:r>
      <w:r w:rsidRPr="007742B3">
        <w:rPr>
          <w:color w:val="212121"/>
          <w:spacing w:val="3"/>
          <w:szCs w:val="24"/>
          <w:lang w:val="en-AU" w:eastAsia="en-AU"/>
        </w:rPr>
        <w:t xml:space="preserve"> the year included CASA meeting with </w:t>
      </w:r>
      <w:r w:rsidR="00A31370">
        <w:rPr>
          <w:color w:val="212121"/>
          <w:spacing w:val="3"/>
          <w:szCs w:val="24"/>
          <w:lang w:val="en-AU" w:eastAsia="en-AU"/>
        </w:rPr>
        <w:t xml:space="preserve">United States </w:t>
      </w:r>
      <w:r w:rsidRPr="007742B3">
        <w:rPr>
          <w:color w:val="212121"/>
          <w:spacing w:val="3"/>
          <w:szCs w:val="24"/>
          <w:lang w:val="en-AU" w:eastAsia="en-AU"/>
        </w:rPr>
        <w:t xml:space="preserve">Federal Aviation Administration counterparts in Canberra to discuss </w:t>
      </w:r>
      <w:r>
        <w:rPr>
          <w:color w:val="212121"/>
          <w:spacing w:val="3"/>
          <w:szCs w:val="24"/>
          <w:lang w:val="en-AU" w:eastAsia="en-AU"/>
        </w:rPr>
        <w:t xml:space="preserve">RPAS </w:t>
      </w:r>
      <w:r w:rsidRPr="007742B3">
        <w:rPr>
          <w:color w:val="212121"/>
          <w:spacing w:val="3"/>
          <w:szCs w:val="24"/>
          <w:lang w:val="en-AU" w:eastAsia="en-AU"/>
        </w:rPr>
        <w:t xml:space="preserve">issues of mutual interest, receiving </w:t>
      </w:r>
      <w:r w:rsidRPr="007742B3">
        <w:rPr>
          <w:spacing w:val="3"/>
          <w:szCs w:val="24"/>
          <w:lang w:val="en-AU" w:eastAsia="en-AU"/>
        </w:rPr>
        <w:t xml:space="preserve">910 </w:t>
      </w:r>
      <w:r w:rsidRPr="007742B3">
        <w:rPr>
          <w:color w:val="212121"/>
          <w:spacing w:val="3"/>
          <w:szCs w:val="24"/>
          <w:lang w:val="en-AU" w:eastAsia="en-AU"/>
        </w:rPr>
        <w:t xml:space="preserve">responses to </w:t>
      </w:r>
      <w:r w:rsidR="00A31370">
        <w:rPr>
          <w:color w:val="212121"/>
          <w:spacing w:val="3"/>
          <w:szCs w:val="24"/>
          <w:lang w:val="en-AU" w:eastAsia="en-AU"/>
        </w:rPr>
        <w:t>a</w:t>
      </w:r>
      <w:r w:rsidRPr="007742B3">
        <w:rPr>
          <w:color w:val="212121"/>
          <w:spacing w:val="3"/>
          <w:szCs w:val="24"/>
          <w:lang w:val="en-AU" w:eastAsia="en-AU"/>
        </w:rPr>
        <w:t xml:space="preserve"> discussion paper on RPAS seeking feedback on key safety</w:t>
      </w:r>
      <w:r>
        <w:rPr>
          <w:color w:val="212121"/>
          <w:spacing w:val="3"/>
          <w:szCs w:val="24"/>
          <w:lang w:val="en-AU" w:eastAsia="en-AU"/>
        </w:rPr>
        <w:t>-</w:t>
      </w:r>
      <w:r w:rsidRPr="007742B3">
        <w:rPr>
          <w:color w:val="212121"/>
          <w:spacing w:val="3"/>
          <w:szCs w:val="24"/>
          <w:lang w:val="en-AU" w:eastAsia="en-AU"/>
        </w:rPr>
        <w:t>related regulatory issues</w:t>
      </w:r>
      <w:r w:rsidR="00CC4C11">
        <w:rPr>
          <w:color w:val="212121"/>
          <w:spacing w:val="3"/>
          <w:szCs w:val="24"/>
          <w:lang w:val="en-AU" w:eastAsia="en-AU"/>
        </w:rPr>
        <w:t>,</w:t>
      </w:r>
      <w:r w:rsidR="008F4459">
        <w:rPr>
          <w:color w:val="212121"/>
          <w:spacing w:val="3"/>
          <w:szCs w:val="24"/>
          <w:lang w:val="en-AU" w:eastAsia="en-AU"/>
        </w:rPr>
        <w:t xml:space="preserve"> and publishing </w:t>
      </w:r>
      <w:r w:rsidR="00D11934">
        <w:rPr>
          <w:color w:val="212121"/>
          <w:spacing w:val="3"/>
          <w:szCs w:val="24"/>
          <w:lang w:val="en-AU" w:eastAsia="en-AU"/>
        </w:rPr>
        <w:t xml:space="preserve">a </w:t>
      </w:r>
      <w:r w:rsidR="008F4459">
        <w:rPr>
          <w:color w:val="212121"/>
          <w:spacing w:val="3"/>
          <w:szCs w:val="24"/>
          <w:lang w:val="en-AU" w:eastAsia="en-AU"/>
        </w:rPr>
        <w:t>r</w:t>
      </w:r>
      <w:r w:rsidR="00D11934">
        <w:rPr>
          <w:color w:val="212121"/>
          <w:spacing w:val="3"/>
          <w:szCs w:val="24"/>
          <w:lang w:val="en-AU" w:eastAsia="en-AU"/>
        </w:rPr>
        <w:t>eview of aviation safety regulation of RPAS</w:t>
      </w:r>
      <w:r w:rsidR="008F4459">
        <w:rPr>
          <w:color w:val="212121"/>
          <w:spacing w:val="3"/>
          <w:szCs w:val="24"/>
          <w:lang w:val="en-AU" w:eastAsia="en-AU"/>
        </w:rPr>
        <w:t>. In addition, CASA d</w:t>
      </w:r>
      <w:r>
        <w:rPr>
          <w:color w:val="212121"/>
          <w:spacing w:val="3"/>
          <w:szCs w:val="24"/>
          <w:lang w:val="en-AU" w:eastAsia="en-AU"/>
        </w:rPr>
        <w:t>eliver</w:t>
      </w:r>
      <w:r w:rsidR="008F4459">
        <w:rPr>
          <w:color w:val="212121"/>
          <w:spacing w:val="3"/>
          <w:szCs w:val="24"/>
          <w:lang w:val="en-AU" w:eastAsia="en-AU"/>
        </w:rPr>
        <w:t>ed</w:t>
      </w:r>
      <w:r w:rsidRPr="007742B3">
        <w:rPr>
          <w:color w:val="212121"/>
          <w:spacing w:val="3"/>
          <w:szCs w:val="24"/>
          <w:lang w:val="en-AU" w:eastAsia="en-AU"/>
        </w:rPr>
        <w:t xml:space="preserve"> the keynote speech at the Australian Association for Unmanned Systems conference.</w:t>
      </w:r>
    </w:p>
    <w:p w14:paraId="3731830A" w14:textId="77777777" w:rsidR="003130A5" w:rsidRPr="00687E4A" w:rsidRDefault="003130A5" w:rsidP="00E81725">
      <w:pPr>
        <w:rPr>
          <w:szCs w:val="24"/>
        </w:rPr>
      </w:pPr>
    </w:p>
    <w:p w14:paraId="017CEEE7" w14:textId="77777777" w:rsidR="003130A5" w:rsidRPr="00687E4A" w:rsidRDefault="003130A5" w:rsidP="003130A5">
      <w:pPr>
        <w:sectPr w:rsidR="003130A5" w:rsidRPr="00687E4A" w:rsidSect="001F77E0">
          <w:headerReference w:type="even" r:id="rId23"/>
          <w:pgSz w:w="11907" w:h="16840" w:code="9"/>
          <w:pgMar w:top="1440" w:right="1440" w:bottom="1440" w:left="1440" w:header="709" w:footer="709" w:gutter="0"/>
          <w:cols w:space="708"/>
          <w:docGrid w:linePitch="360"/>
        </w:sectPr>
      </w:pPr>
    </w:p>
    <w:p w14:paraId="30E5C659" w14:textId="77777777" w:rsidR="000F61DE" w:rsidRPr="00687E4A" w:rsidRDefault="000F61DE" w:rsidP="000F61DE">
      <w:pPr>
        <w:pStyle w:val="Heading0Part"/>
      </w:pPr>
      <w:bookmarkStart w:id="29" w:name="_Toc523924876"/>
      <w:bookmarkStart w:id="30" w:name="_Ref267464589"/>
      <w:bookmarkStart w:id="31" w:name="_Toc238803385"/>
      <w:bookmarkStart w:id="32" w:name="_Toc240881701"/>
      <w:bookmarkEnd w:id="2"/>
      <w:bookmarkEnd w:id="3"/>
      <w:bookmarkEnd w:id="4"/>
      <w:bookmarkEnd w:id="5"/>
      <w:bookmarkEnd w:id="6"/>
      <w:bookmarkEnd w:id="14"/>
      <w:r w:rsidRPr="00687E4A">
        <w:lastRenderedPageBreak/>
        <w:t>Part 2: Annual performance statement</w:t>
      </w:r>
      <w:bookmarkEnd w:id="29"/>
    </w:p>
    <w:p w14:paraId="79F7012C" w14:textId="77777777" w:rsidR="000F61DE" w:rsidRPr="00687E4A" w:rsidRDefault="000F61DE" w:rsidP="000F61DE">
      <w:r w:rsidRPr="00687E4A">
        <w:t>This part of the report provides a detailed assessment of CASA’s performance during the year, and how it contributed to achieving the authority’s portfolio outcome and corporate goals. It provides an update on the status of ongoing initiatives and presents CASA’s approach to enhancing and promoting higher standards of aviation safety in the future.</w:t>
      </w:r>
    </w:p>
    <w:p w14:paraId="13F4ED36" w14:textId="77777777" w:rsidR="000F61DE" w:rsidRPr="00687E4A" w:rsidRDefault="000F61DE" w:rsidP="000F61DE">
      <w:r w:rsidRPr="00687E4A">
        <w:t>To complement the performance report, detailed information on aspects of CASA’s operations is provided in Appendix A.</w:t>
      </w:r>
    </w:p>
    <w:p w14:paraId="363CE1FF" w14:textId="77777777" w:rsidR="000F61DE" w:rsidRDefault="000F61DE" w:rsidP="000F61DE">
      <w:pPr>
        <w:pStyle w:val="BulletIntro"/>
        <w:rPr>
          <w:lang w:val="en-GB"/>
        </w:rPr>
      </w:pPr>
      <w:r w:rsidRPr="00687E4A">
        <w:rPr>
          <w:lang w:val="en-GB"/>
        </w:rPr>
        <w:t>In this part:</w:t>
      </w:r>
    </w:p>
    <w:p w14:paraId="58B6C203" w14:textId="77777777" w:rsidR="000F61DE" w:rsidRPr="00687E4A" w:rsidRDefault="000F61DE" w:rsidP="000F61DE">
      <w:pPr>
        <w:pStyle w:val="Bullet"/>
      </w:pPr>
      <w:r w:rsidRPr="00687E4A">
        <w:t>Statement of preparation</w:t>
      </w:r>
    </w:p>
    <w:p w14:paraId="763DC6C7" w14:textId="77777777" w:rsidR="000F61DE" w:rsidRPr="00687E4A" w:rsidRDefault="000F61DE" w:rsidP="000F61DE">
      <w:pPr>
        <w:pStyle w:val="Bullet"/>
      </w:pPr>
      <w:r>
        <w:t>Performance framework</w:t>
      </w:r>
    </w:p>
    <w:p w14:paraId="3AFFAA64" w14:textId="77777777" w:rsidR="000F61DE" w:rsidRPr="00687E4A" w:rsidRDefault="000F61DE" w:rsidP="000F61DE">
      <w:pPr>
        <w:pStyle w:val="Bullet"/>
      </w:pPr>
      <w:r w:rsidRPr="00687E4A">
        <w:t>Portfolio outcome</w:t>
      </w:r>
    </w:p>
    <w:p w14:paraId="7D389FF5" w14:textId="77777777" w:rsidR="000F61DE" w:rsidRDefault="000F61DE" w:rsidP="000F61DE">
      <w:pPr>
        <w:pStyle w:val="BulletLast"/>
      </w:pPr>
      <w:r>
        <w:t>Corporate plan objectives</w:t>
      </w:r>
    </w:p>
    <w:p w14:paraId="005D6DD9" w14:textId="77777777" w:rsidR="00852351" w:rsidRDefault="00852351" w:rsidP="000F61DE">
      <w:pPr>
        <w:pStyle w:val="BulletLast"/>
      </w:pPr>
      <w:r>
        <w:t>Regulator Performance Framework</w:t>
      </w:r>
    </w:p>
    <w:p w14:paraId="1B4BCA6B" w14:textId="77777777" w:rsidR="000F61DE" w:rsidRPr="00687E4A" w:rsidRDefault="000F61DE" w:rsidP="000F61DE">
      <w:pPr>
        <w:pStyle w:val="Heading1"/>
        <w:rPr>
          <w:lang w:val="en-GB"/>
        </w:rPr>
      </w:pPr>
      <w:bookmarkStart w:id="33" w:name="_Toc523924877"/>
      <w:r w:rsidRPr="00687E4A">
        <w:rPr>
          <w:lang w:val="en-GB"/>
        </w:rPr>
        <w:t>Statement of preparation</w:t>
      </w:r>
      <w:bookmarkEnd w:id="33"/>
    </w:p>
    <w:p w14:paraId="45A12145" w14:textId="77777777" w:rsidR="000F61DE" w:rsidRPr="00687E4A" w:rsidRDefault="000F61DE" w:rsidP="000F61DE">
      <w:pPr>
        <w:rPr>
          <w:iCs/>
        </w:rPr>
      </w:pPr>
      <w:r w:rsidRPr="00687E4A">
        <w:rPr>
          <w:iCs/>
        </w:rPr>
        <w:t xml:space="preserve">I, on behalf of the Board of the Civil Aviation Safety Authority, present the 2017–18 annual performance statements of the Civil Aviation Safety Authority, as required under paragraph 39(1)(a) of the </w:t>
      </w:r>
      <w:r w:rsidRPr="00687E4A">
        <w:rPr>
          <w:i/>
          <w:iCs/>
        </w:rPr>
        <w:t>Public Governance, Performance and Accountability Act 2013</w:t>
      </w:r>
      <w:r w:rsidRPr="00687E4A">
        <w:rPr>
          <w:iCs/>
        </w:rPr>
        <w:t xml:space="preserve"> (PGPA Act) and the </w:t>
      </w:r>
      <w:r w:rsidRPr="00687E4A">
        <w:rPr>
          <w:i/>
          <w:iCs/>
        </w:rPr>
        <w:t>Civil Aviation Act 1988</w:t>
      </w:r>
      <w:r w:rsidRPr="00687E4A">
        <w:rPr>
          <w:iCs/>
        </w:rPr>
        <w:t xml:space="preserve"> and other applicable legislation. </w:t>
      </w:r>
    </w:p>
    <w:p w14:paraId="51863758" w14:textId="77777777" w:rsidR="000F61DE" w:rsidRPr="00687E4A" w:rsidRDefault="000F61DE" w:rsidP="000F61DE">
      <w:pPr>
        <w:rPr>
          <w:iCs/>
        </w:rPr>
      </w:pPr>
      <w:r w:rsidRPr="00687E4A">
        <w:rPr>
          <w:iCs/>
        </w:rPr>
        <w:t>In our opinion, at the date of this statement, based on the material provided to the Board</w:t>
      </w:r>
      <w:r w:rsidRPr="00687E4A">
        <w:rPr>
          <w:iCs/>
          <w:color w:val="1F497D"/>
        </w:rPr>
        <w:t xml:space="preserve">, </w:t>
      </w:r>
      <w:r w:rsidRPr="00687E4A">
        <w:rPr>
          <w:iCs/>
        </w:rPr>
        <w:t>these annual performance statements accurately reflect the performance of the entity, and comply with subsection 39(2) of the PGPA Act.</w:t>
      </w:r>
    </w:p>
    <w:p w14:paraId="25061EA9" w14:textId="77777777" w:rsidR="000F61DE" w:rsidRPr="00687E4A" w:rsidRDefault="000F61DE" w:rsidP="000F61DE"/>
    <w:p w14:paraId="1770DAAF" w14:textId="77777777" w:rsidR="000F61DE" w:rsidRPr="00687E4A" w:rsidRDefault="000F61DE" w:rsidP="000F61DE">
      <w:r w:rsidRPr="00687E4A">
        <w:t>Jeff Boyd</w:t>
      </w:r>
      <w:r>
        <w:br/>
      </w:r>
      <w:r w:rsidRPr="00687E4A">
        <w:t>Chair of the CASA Board</w:t>
      </w:r>
    </w:p>
    <w:p w14:paraId="5F8221BF" w14:textId="5E8CB0DE" w:rsidR="00132546" w:rsidRDefault="00132546">
      <w:pPr>
        <w:spacing w:after="0"/>
      </w:pPr>
    </w:p>
    <w:p w14:paraId="1E5582BE" w14:textId="77777777" w:rsidR="000F61DE" w:rsidRPr="00687E4A" w:rsidRDefault="000F61DE" w:rsidP="000F61DE">
      <w:pPr>
        <w:pStyle w:val="Heading1"/>
        <w:rPr>
          <w:lang w:val="en-GB"/>
        </w:rPr>
      </w:pPr>
      <w:bookmarkStart w:id="34" w:name="_Toc523924878"/>
      <w:r>
        <w:rPr>
          <w:lang w:val="en-GB"/>
        </w:rPr>
        <w:t>Performance framework</w:t>
      </w:r>
      <w:bookmarkEnd w:id="34"/>
    </w:p>
    <w:p w14:paraId="51856B25" w14:textId="77777777" w:rsidR="000F61DE" w:rsidRDefault="000F61DE" w:rsidP="000F61DE">
      <w:pPr>
        <w:rPr>
          <w:iCs/>
          <w:szCs w:val="24"/>
        </w:rPr>
      </w:pPr>
      <w:r w:rsidRPr="004E3ACF">
        <w:rPr>
          <w:iCs/>
          <w:szCs w:val="24"/>
        </w:rPr>
        <w:t xml:space="preserve">CASA’s performance framework takes into account the </w:t>
      </w:r>
      <w:r>
        <w:rPr>
          <w:iCs/>
          <w:szCs w:val="24"/>
        </w:rPr>
        <w:t xml:space="preserve">enhanced Commonwealth performance framework under the </w:t>
      </w:r>
      <w:r w:rsidRPr="004E3ACF">
        <w:rPr>
          <w:iCs/>
          <w:szCs w:val="24"/>
        </w:rPr>
        <w:t>PGPA Act and the Australian Government’s Regulator Performance Framework.</w:t>
      </w:r>
    </w:p>
    <w:p w14:paraId="066C4628" w14:textId="77777777" w:rsidR="000F61DE" w:rsidRDefault="000F61DE" w:rsidP="000F61DE">
      <w:r w:rsidRPr="00687E4A">
        <w:t xml:space="preserve">CASA </w:t>
      </w:r>
      <w:r>
        <w:t>measures</w:t>
      </w:r>
      <w:r w:rsidRPr="00687E4A">
        <w:t xml:space="preserve"> its performance in achieving its </w:t>
      </w:r>
      <w:r>
        <w:t xml:space="preserve">purpose </w:t>
      </w:r>
      <w:r w:rsidR="00C747E9" w:rsidRPr="00CC4C11">
        <w:t>of ‘</w:t>
      </w:r>
      <w:r w:rsidR="00C747E9" w:rsidRPr="00CC4C11">
        <w:rPr>
          <w:lang w:val="en-AU"/>
        </w:rPr>
        <w:t xml:space="preserve">Maintaining, enhancing and promoting the safety of civil aviation, with particular emphasis on preventing aviation accidents and incidents’ </w:t>
      </w:r>
      <w:r w:rsidRPr="00CC4C11">
        <w:t>through its portfolio outcome and</w:t>
      </w:r>
      <w:r w:rsidRPr="00687E4A">
        <w:t xml:space="preserve"> the strategic direction and objectives articulated in </w:t>
      </w:r>
      <w:r>
        <w:t>its corporate plan</w:t>
      </w:r>
      <w:r w:rsidRPr="00687E4A">
        <w:t xml:space="preserve">. </w:t>
      </w:r>
    </w:p>
    <w:p w14:paraId="02CC2C99" w14:textId="77777777" w:rsidR="000F61DE" w:rsidRDefault="000F61DE" w:rsidP="000F61DE">
      <w:r>
        <w:t xml:space="preserve">This annual performance statement provides details of CASA’s performance against the measures in the </w:t>
      </w:r>
      <w:r w:rsidRPr="00687E4A">
        <w:t>Infrastructure and Regional Development</w:t>
      </w:r>
      <w:r>
        <w:rPr>
          <w:lang w:val="en-AU"/>
        </w:rPr>
        <w:t xml:space="preserve"> Portfolio Budget Statements 2017–18</w:t>
      </w:r>
      <w:r>
        <w:t xml:space="preserve"> and </w:t>
      </w:r>
      <w:r w:rsidR="00FD1F4F">
        <w:t xml:space="preserve">the CASA </w:t>
      </w:r>
      <w:r w:rsidRPr="00687E4A">
        <w:rPr>
          <w:i/>
        </w:rPr>
        <w:t>Corporate Plan 2017–18 to 2020–21</w:t>
      </w:r>
      <w:r>
        <w:t xml:space="preserve">. </w:t>
      </w:r>
    </w:p>
    <w:p w14:paraId="6DD7A8AB" w14:textId="77777777" w:rsidR="000F61DE" w:rsidRPr="00687E4A" w:rsidRDefault="000F61DE" w:rsidP="000F61DE">
      <w:r w:rsidRPr="00687E4A">
        <w:t xml:space="preserve">Figure 6 provides an overview of CASA’s </w:t>
      </w:r>
      <w:r>
        <w:t>goal</w:t>
      </w:r>
      <w:r w:rsidRPr="00687E4A">
        <w:t>s</w:t>
      </w:r>
      <w:r>
        <w:t xml:space="preserve"> and key performance indicators for 2017–18</w:t>
      </w:r>
      <w:r w:rsidRPr="00687E4A">
        <w:t>.</w:t>
      </w:r>
    </w:p>
    <w:p w14:paraId="056EA615" w14:textId="77777777" w:rsidR="000F61DE" w:rsidRPr="00687E4A" w:rsidRDefault="000F61DE" w:rsidP="000F61DE">
      <w:pPr>
        <w:pStyle w:val="FigureName"/>
      </w:pPr>
      <w:bookmarkStart w:id="35" w:name="_Toc306030800"/>
      <w:bookmarkStart w:id="36" w:name="_Toc365737783"/>
      <w:r w:rsidRPr="00687E4A">
        <w:lastRenderedPageBreak/>
        <w:t xml:space="preserve">Figure </w:t>
      </w:r>
      <w:bookmarkEnd w:id="30"/>
      <w:r w:rsidRPr="00687E4A">
        <w:t>6</w:t>
      </w:r>
      <w:r w:rsidRPr="00687E4A">
        <w:tab/>
        <w:t xml:space="preserve">Alignment of </w:t>
      </w:r>
      <w:bookmarkEnd w:id="31"/>
      <w:bookmarkEnd w:id="32"/>
      <w:bookmarkEnd w:id="35"/>
      <w:bookmarkEnd w:id="36"/>
      <w:r w:rsidR="00C747E9">
        <w:t xml:space="preserve">CASA’s </w:t>
      </w:r>
      <w:r w:rsidR="00E869EC">
        <w:rPr>
          <w:lang w:val="en-AU"/>
        </w:rPr>
        <w:t>portfolio and corporate objectives and performance measures in 2017–18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2632"/>
        <w:gridCol w:w="2465"/>
        <w:gridCol w:w="2424"/>
      </w:tblGrid>
      <w:tr w:rsidR="00132546" w:rsidRPr="00132546" w14:paraId="3EF01C24" w14:textId="77777777" w:rsidTr="00132546">
        <w:tc>
          <w:tcPr>
            <w:tcW w:w="1526" w:type="dxa"/>
            <w:vMerge w:val="restart"/>
            <w:tcBorders>
              <w:bottom w:val="nil"/>
            </w:tcBorders>
            <w:shd w:val="clear" w:color="auto" w:fill="B8CCE4"/>
            <w:vAlign w:val="center"/>
          </w:tcPr>
          <w:p w14:paraId="00E624B6" w14:textId="77777777" w:rsidR="000F61DE" w:rsidRPr="00687E4A" w:rsidRDefault="000F61DE" w:rsidP="006E2310">
            <w:pPr>
              <w:pStyle w:val="TableHeadDBlue"/>
            </w:pPr>
            <w:r w:rsidRPr="00687E4A">
              <w:t>Portfolio Budget Statements</w:t>
            </w:r>
          </w:p>
        </w:tc>
        <w:tc>
          <w:tcPr>
            <w:tcW w:w="7717" w:type="dxa"/>
            <w:gridSpan w:val="3"/>
            <w:shd w:val="clear" w:color="auto" w:fill="BFBFBF"/>
          </w:tcPr>
          <w:p w14:paraId="181B0C9F" w14:textId="77777777" w:rsidR="000F61DE" w:rsidRPr="00132546" w:rsidRDefault="000F61DE" w:rsidP="006E2310">
            <w:pPr>
              <w:pStyle w:val="TableHeading"/>
              <w:rPr>
                <w:color w:val="000000"/>
              </w:rPr>
            </w:pPr>
            <w:r w:rsidRPr="00132546">
              <w:rPr>
                <w:color w:val="000000"/>
              </w:rPr>
              <w:t>Outcome 1</w:t>
            </w:r>
          </w:p>
          <w:p w14:paraId="60BFF392" w14:textId="77777777" w:rsidR="000F61DE" w:rsidRPr="00132546" w:rsidRDefault="000F61DE" w:rsidP="006E2310">
            <w:pPr>
              <w:pStyle w:val="TableText"/>
              <w:rPr>
                <w:color w:val="000000"/>
              </w:rPr>
            </w:pPr>
            <w:r w:rsidRPr="00132546">
              <w:rPr>
                <w:rStyle w:val="Strong"/>
                <w:b w:val="0"/>
                <w:bCs w:val="0"/>
                <w:color w:val="000000"/>
              </w:rPr>
              <w:t>Maximise aviation safety through a regulatory regime, detailed technical material on safety standards, comprehensive aviation industry oversight, risk analysis, industry consultation, education and training.</w:t>
            </w:r>
          </w:p>
        </w:tc>
      </w:tr>
      <w:tr w:rsidR="000F61DE" w:rsidRPr="00687E4A" w14:paraId="5520A555" w14:textId="77777777" w:rsidTr="00132546">
        <w:tc>
          <w:tcPr>
            <w:tcW w:w="1526" w:type="dxa"/>
            <w:vMerge/>
            <w:tcBorders>
              <w:top w:val="nil"/>
              <w:bottom w:val="nil"/>
            </w:tcBorders>
            <w:shd w:val="clear" w:color="auto" w:fill="B8CCE4"/>
            <w:vAlign w:val="center"/>
          </w:tcPr>
          <w:p w14:paraId="1C74690C" w14:textId="77777777" w:rsidR="000F61DE" w:rsidRPr="00132546" w:rsidRDefault="000F61DE" w:rsidP="006E2310">
            <w:pPr>
              <w:pStyle w:val="TableHeadDBlue"/>
              <w:rPr>
                <w:color w:val="000000"/>
              </w:rPr>
            </w:pPr>
          </w:p>
        </w:tc>
        <w:tc>
          <w:tcPr>
            <w:tcW w:w="7717" w:type="dxa"/>
            <w:gridSpan w:val="3"/>
            <w:tcBorders>
              <w:bottom w:val="single" w:sz="4" w:space="0" w:color="000000"/>
            </w:tcBorders>
            <w:shd w:val="clear" w:color="auto" w:fill="BFBFBF"/>
          </w:tcPr>
          <w:p w14:paraId="38EEAE47" w14:textId="77777777" w:rsidR="000F61DE" w:rsidRPr="00132546" w:rsidRDefault="000F61DE" w:rsidP="006E2310">
            <w:pPr>
              <w:pStyle w:val="TableHeading"/>
              <w:rPr>
                <w:color w:val="000000"/>
              </w:rPr>
            </w:pPr>
            <w:r w:rsidRPr="00132546">
              <w:rPr>
                <w:color w:val="000000"/>
              </w:rPr>
              <w:t>Program 1.1: Civil Aviation Safety Authority</w:t>
            </w:r>
          </w:p>
          <w:p w14:paraId="37A0A71F" w14:textId="77777777" w:rsidR="000F61DE" w:rsidRPr="00132546" w:rsidRDefault="000F61DE" w:rsidP="006E2310">
            <w:pPr>
              <w:pStyle w:val="TableText"/>
              <w:rPr>
                <w:color w:val="000000"/>
              </w:rPr>
            </w:pPr>
            <w:r w:rsidRPr="00132546">
              <w:rPr>
                <w:color w:val="000000"/>
              </w:rPr>
              <w:t>Key performance indicators:</w:t>
            </w:r>
          </w:p>
          <w:p w14:paraId="2938151F" w14:textId="77777777" w:rsidR="000F61DE" w:rsidRPr="00132546" w:rsidRDefault="000F61DE" w:rsidP="006E2310">
            <w:pPr>
              <w:pStyle w:val="TableBullet"/>
              <w:rPr>
                <w:color w:val="000000"/>
              </w:rPr>
            </w:pPr>
            <w:r w:rsidRPr="00132546">
              <w:rPr>
                <w:color w:val="000000"/>
              </w:rPr>
              <w:t>Number of accidents per hours flown is reduced, by industry sector.</w:t>
            </w:r>
          </w:p>
          <w:p w14:paraId="678F1D54" w14:textId="77777777" w:rsidR="000F61DE" w:rsidRPr="00132546" w:rsidRDefault="000F61DE" w:rsidP="006E2310">
            <w:pPr>
              <w:pStyle w:val="TableBullet"/>
              <w:rPr>
                <w:color w:val="000000"/>
              </w:rPr>
            </w:pPr>
            <w:r w:rsidRPr="00132546">
              <w:rPr>
                <w:color w:val="000000"/>
              </w:rPr>
              <w:t>Number of incidents per hours flown is reduced, by industry sector.</w:t>
            </w:r>
          </w:p>
          <w:p w14:paraId="7864FBE6" w14:textId="77777777" w:rsidR="000F61DE" w:rsidRPr="00132546" w:rsidRDefault="000F61DE" w:rsidP="006E2310">
            <w:pPr>
              <w:pStyle w:val="TableBullet"/>
              <w:rPr>
                <w:color w:val="000000"/>
              </w:rPr>
            </w:pPr>
            <w:r w:rsidRPr="00132546">
              <w:rPr>
                <w:color w:val="000000"/>
              </w:rPr>
              <w:t>Clear, open and transparent engagement with the industry to support the continuous improvement of an efficient and effective aviation safety regulatory framework.</w:t>
            </w:r>
          </w:p>
        </w:tc>
      </w:tr>
      <w:tr w:rsidR="000F61DE" w:rsidRPr="00687E4A" w14:paraId="6151D762" w14:textId="77777777" w:rsidTr="002B277C">
        <w:trPr>
          <w:trHeight w:val="664"/>
        </w:trPr>
        <w:tc>
          <w:tcPr>
            <w:tcW w:w="1526" w:type="dxa"/>
            <w:tcBorders>
              <w:top w:val="nil"/>
              <w:bottom w:val="single" w:sz="4" w:space="0" w:color="000000"/>
            </w:tcBorders>
            <w:shd w:val="clear" w:color="auto" w:fill="B8CCE4"/>
            <w:vAlign w:val="center"/>
          </w:tcPr>
          <w:p w14:paraId="6073949B" w14:textId="77777777" w:rsidR="000F61DE" w:rsidRPr="00687E4A" w:rsidRDefault="000F61DE" w:rsidP="006E2310">
            <w:pPr>
              <w:pStyle w:val="TableHeadDBlue"/>
            </w:pPr>
          </w:p>
        </w:tc>
        <w:tc>
          <w:tcPr>
            <w:tcW w:w="7717" w:type="dxa"/>
            <w:gridSpan w:val="3"/>
            <w:tcBorders>
              <w:bottom w:val="nil"/>
            </w:tcBorders>
            <w:shd w:val="clear" w:color="auto" w:fill="BFBFBF"/>
            <w:vAlign w:val="center"/>
          </w:tcPr>
          <w:p w14:paraId="4D18D945" w14:textId="77777777" w:rsidR="002B277C" w:rsidRDefault="002B277C" w:rsidP="006E2310">
            <w:pPr>
              <w:pStyle w:val="TableHeading"/>
            </w:pPr>
          </w:p>
          <w:p w14:paraId="4D541989" w14:textId="77777777" w:rsidR="002B277C" w:rsidRDefault="002B277C" w:rsidP="006E2310">
            <w:pPr>
              <w:pStyle w:val="TableHeading"/>
            </w:pPr>
          </w:p>
          <w:p w14:paraId="2E648512" w14:textId="77777777" w:rsidR="000F61DE" w:rsidRPr="00687E4A" w:rsidRDefault="000F61DE" w:rsidP="006E2310">
            <w:pPr>
              <w:pStyle w:val="TableHeading"/>
            </w:pPr>
            <w:r w:rsidRPr="00687E4A">
              <w:t xml:space="preserve">Portfolio </w:t>
            </w:r>
            <w:r>
              <w:t>and c</w:t>
            </w:r>
            <w:r w:rsidRPr="00687E4A">
              <w:t>orporate goals</w:t>
            </w:r>
          </w:p>
        </w:tc>
      </w:tr>
      <w:tr w:rsidR="000F61DE" w:rsidRPr="00687E4A" w14:paraId="0DB23B4B" w14:textId="77777777" w:rsidTr="002B277C">
        <w:tc>
          <w:tcPr>
            <w:tcW w:w="1526" w:type="dxa"/>
            <w:tcBorders>
              <w:bottom w:val="nil"/>
            </w:tcBorders>
            <w:shd w:val="clear" w:color="auto" w:fill="DBE5F1"/>
            <w:vAlign w:val="center"/>
          </w:tcPr>
          <w:p w14:paraId="1BC0AE42" w14:textId="77777777" w:rsidR="000F61DE" w:rsidRPr="00687E4A" w:rsidRDefault="000F61DE" w:rsidP="006E2310">
            <w:pPr>
              <w:pStyle w:val="TableHeadDBlue"/>
            </w:pPr>
          </w:p>
        </w:tc>
        <w:tc>
          <w:tcPr>
            <w:tcW w:w="2714" w:type="dxa"/>
            <w:tcBorders>
              <w:top w:val="nil"/>
            </w:tcBorders>
            <w:shd w:val="clear" w:color="auto" w:fill="BFBFBF"/>
          </w:tcPr>
          <w:p w14:paraId="49E9E3C8" w14:textId="77777777" w:rsidR="000F61DE" w:rsidRPr="00687E4A" w:rsidRDefault="000F61DE" w:rsidP="006E2310">
            <w:pPr>
              <w:pStyle w:val="TableText"/>
            </w:pPr>
            <w:r>
              <w:t xml:space="preserve">1 </w:t>
            </w:r>
            <w:r w:rsidRPr="00687E4A">
              <w:t>Maintain and enhance a fair, effective and efficient aviation safety regulation system.</w:t>
            </w:r>
          </w:p>
        </w:tc>
        <w:tc>
          <w:tcPr>
            <w:tcW w:w="2524" w:type="dxa"/>
            <w:tcBorders>
              <w:top w:val="nil"/>
            </w:tcBorders>
            <w:shd w:val="clear" w:color="auto" w:fill="BFBFBF"/>
          </w:tcPr>
          <w:p w14:paraId="2CD44646" w14:textId="77777777" w:rsidR="000F61DE" w:rsidRPr="00687E4A" w:rsidRDefault="000F61DE" w:rsidP="006E2310">
            <w:pPr>
              <w:pStyle w:val="TableText"/>
            </w:pPr>
            <w:r>
              <w:t xml:space="preserve">2 </w:t>
            </w:r>
            <w:r w:rsidRPr="00687E4A">
              <w:t>Collaborative engagement with the wider aviation community to promote and support a positive safety culture.</w:t>
            </w:r>
          </w:p>
        </w:tc>
        <w:tc>
          <w:tcPr>
            <w:tcW w:w="2479" w:type="dxa"/>
            <w:tcBorders>
              <w:top w:val="nil"/>
            </w:tcBorders>
            <w:shd w:val="clear" w:color="auto" w:fill="BFBFBF"/>
          </w:tcPr>
          <w:p w14:paraId="6698C45E" w14:textId="77777777" w:rsidR="000F61DE" w:rsidRPr="00687E4A" w:rsidRDefault="000F61DE" w:rsidP="006E2310">
            <w:pPr>
              <w:pStyle w:val="TableText"/>
            </w:pPr>
            <w:r>
              <w:t xml:space="preserve">3 </w:t>
            </w:r>
            <w:r w:rsidRPr="00687E4A">
              <w:t>Continuous improvement of organisational performance.</w:t>
            </w:r>
          </w:p>
        </w:tc>
      </w:tr>
      <w:tr w:rsidR="00E869EC" w:rsidRPr="00687E4A" w14:paraId="4E02069A" w14:textId="77777777" w:rsidTr="002B277C">
        <w:trPr>
          <w:trHeight w:val="469"/>
        </w:trPr>
        <w:tc>
          <w:tcPr>
            <w:tcW w:w="1526" w:type="dxa"/>
            <w:tcBorders>
              <w:top w:val="nil"/>
              <w:left w:val="single" w:sz="4" w:space="0" w:color="auto"/>
              <w:bottom w:val="nil"/>
              <w:right w:val="single" w:sz="4" w:space="0" w:color="auto"/>
            </w:tcBorders>
            <w:shd w:val="clear" w:color="auto" w:fill="DBE5F1"/>
            <w:vAlign w:val="center"/>
          </w:tcPr>
          <w:p w14:paraId="09996A5E" w14:textId="77777777" w:rsidR="00E869EC" w:rsidRPr="00687E4A" w:rsidRDefault="00E869EC" w:rsidP="006E2310">
            <w:pPr>
              <w:pStyle w:val="TableHeadDBlue"/>
            </w:pPr>
          </w:p>
        </w:tc>
        <w:tc>
          <w:tcPr>
            <w:tcW w:w="7717" w:type="dxa"/>
            <w:gridSpan w:val="3"/>
            <w:tcBorders>
              <w:left w:val="single" w:sz="4" w:space="0" w:color="auto"/>
              <w:bottom w:val="nil"/>
            </w:tcBorders>
            <w:shd w:val="clear" w:color="auto" w:fill="DBE5F1"/>
          </w:tcPr>
          <w:p w14:paraId="5D923B83" w14:textId="77777777" w:rsidR="00E869EC" w:rsidRPr="00E869EC" w:rsidRDefault="00E869EC" w:rsidP="006E2310">
            <w:pPr>
              <w:pStyle w:val="TableText"/>
              <w:rPr>
                <w:rFonts w:eastAsia="Times New Roman"/>
                <w:b/>
              </w:rPr>
            </w:pPr>
            <w:r w:rsidRPr="00E869EC">
              <w:rPr>
                <w:b/>
                <w:lang w:val="en-AU"/>
              </w:rPr>
              <w:t>Key performance areas and indicators</w:t>
            </w:r>
          </w:p>
        </w:tc>
      </w:tr>
      <w:tr w:rsidR="000F61DE" w:rsidRPr="00687E4A" w14:paraId="30546E9D" w14:textId="77777777" w:rsidTr="002B277C">
        <w:tc>
          <w:tcPr>
            <w:tcW w:w="1526" w:type="dxa"/>
            <w:tcBorders>
              <w:top w:val="nil"/>
              <w:left w:val="single" w:sz="4" w:space="0" w:color="auto"/>
            </w:tcBorders>
            <w:shd w:val="clear" w:color="auto" w:fill="DBE5F1"/>
            <w:vAlign w:val="center"/>
          </w:tcPr>
          <w:p w14:paraId="3EC41F02" w14:textId="77777777" w:rsidR="000F61DE" w:rsidRPr="00687E4A" w:rsidRDefault="000F61DE" w:rsidP="006E2310">
            <w:pPr>
              <w:pStyle w:val="TableHeadDBlue"/>
              <w:rPr>
                <w:i/>
              </w:rPr>
            </w:pPr>
            <w:r w:rsidRPr="00687E4A">
              <w:t>Corporate Plan</w:t>
            </w:r>
          </w:p>
        </w:tc>
        <w:tc>
          <w:tcPr>
            <w:tcW w:w="2714" w:type="dxa"/>
            <w:tcBorders>
              <w:top w:val="nil"/>
            </w:tcBorders>
            <w:shd w:val="clear" w:color="auto" w:fill="DBE5F1"/>
          </w:tcPr>
          <w:p w14:paraId="04E65A22" w14:textId="77777777" w:rsidR="000F61DE" w:rsidRPr="00687E4A" w:rsidRDefault="000F61DE" w:rsidP="006E2310">
            <w:pPr>
              <w:pStyle w:val="TableBullet"/>
              <w:numPr>
                <w:ilvl w:val="0"/>
                <w:numId w:val="0"/>
              </w:numPr>
              <w:rPr>
                <w:b/>
              </w:rPr>
            </w:pPr>
            <w:r w:rsidRPr="00687E4A">
              <w:rPr>
                <w:b/>
              </w:rPr>
              <w:t xml:space="preserve">Aviation </w:t>
            </w:r>
            <w:r w:rsidRPr="00132546">
              <w:rPr>
                <w:b/>
                <w:color w:val="000000"/>
              </w:rPr>
              <w:t>s</w:t>
            </w:r>
            <w:r w:rsidRPr="00687E4A">
              <w:rPr>
                <w:b/>
              </w:rPr>
              <w:t>afety regulation and service delivery</w:t>
            </w:r>
            <w:r w:rsidR="00FD1F4F">
              <w:rPr>
                <w:b/>
              </w:rPr>
              <w:t>:</w:t>
            </w:r>
          </w:p>
          <w:p w14:paraId="141C8BFE" w14:textId="77777777" w:rsidR="000F61DE" w:rsidRPr="00687E4A" w:rsidRDefault="000F61DE" w:rsidP="006E2310">
            <w:pPr>
              <w:pStyle w:val="TableBullet"/>
              <w:numPr>
                <w:ilvl w:val="0"/>
                <w:numId w:val="0"/>
              </w:numPr>
              <w:rPr>
                <w:i/>
              </w:rPr>
            </w:pPr>
          </w:p>
          <w:p w14:paraId="2633473F" w14:textId="77777777" w:rsidR="000F61DE" w:rsidRPr="00687E4A" w:rsidRDefault="000F61DE" w:rsidP="006E2310">
            <w:pPr>
              <w:pStyle w:val="TableBullet"/>
            </w:pPr>
            <w:r w:rsidRPr="00687E4A">
              <w:t>CASA is an effective aviation safety regulator by international standards.</w:t>
            </w:r>
          </w:p>
          <w:p w14:paraId="184109AA" w14:textId="77777777" w:rsidR="000F61DE" w:rsidRPr="00687E4A" w:rsidRDefault="000F61DE" w:rsidP="006E2310">
            <w:pPr>
              <w:pStyle w:val="TableBullet"/>
            </w:pPr>
            <w:r w:rsidRPr="00687E4A">
              <w:t>CASA does not unnecessarily impede the efficient operation of regulated entities.</w:t>
            </w:r>
          </w:p>
          <w:p w14:paraId="121C8711" w14:textId="77777777" w:rsidR="000F61DE" w:rsidRPr="00687E4A" w:rsidRDefault="000F61DE" w:rsidP="006E2310">
            <w:pPr>
              <w:pStyle w:val="TableBullet"/>
            </w:pPr>
            <w:r w:rsidRPr="00687E4A">
              <w:t>CASA actively contributes to the continuous improvement of the aviation safety regulatory framework.</w:t>
            </w:r>
          </w:p>
          <w:p w14:paraId="6B765584" w14:textId="77777777" w:rsidR="000F61DE" w:rsidRPr="00687E4A" w:rsidRDefault="000F61DE" w:rsidP="006E2310">
            <w:pPr>
              <w:pStyle w:val="TableBullet"/>
              <w:numPr>
                <w:ilvl w:val="0"/>
                <w:numId w:val="0"/>
              </w:numPr>
              <w:ind w:left="360" w:hanging="360"/>
            </w:pPr>
          </w:p>
          <w:p w14:paraId="35BB8797" w14:textId="77777777" w:rsidR="000F61DE" w:rsidRDefault="000F61DE" w:rsidP="006E2310">
            <w:pPr>
              <w:pStyle w:val="TableBullet"/>
              <w:numPr>
                <w:ilvl w:val="0"/>
                <w:numId w:val="0"/>
              </w:numPr>
              <w:rPr>
                <w:i/>
              </w:rPr>
            </w:pPr>
            <w:r w:rsidRPr="00687E4A">
              <w:rPr>
                <w:b/>
              </w:rPr>
              <w:t>Industry oversight</w:t>
            </w:r>
            <w:r w:rsidR="00FD1F4F">
              <w:rPr>
                <w:b/>
              </w:rPr>
              <w:t>:</w:t>
            </w:r>
          </w:p>
          <w:p w14:paraId="764D6F37" w14:textId="77777777" w:rsidR="009B41D6" w:rsidRPr="00687E4A" w:rsidRDefault="009B41D6" w:rsidP="006E2310">
            <w:pPr>
              <w:pStyle w:val="TableBullet"/>
              <w:numPr>
                <w:ilvl w:val="0"/>
                <w:numId w:val="0"/>
              </w:numPr>
            </w:pPr>
          </w:p>
          <w:p w14:paraId="13B07623" w14:textId="77777777" w:rsidR="000F61DE" w:rsidRPr="00687E4A" w:rsidRDefault="000F61DE" w:rsidP="006E2310">
            <w:pPr>
              <w:pStyle w:val="TableBullet"/>
            </w:pPr>
            <w:r w:rsidRPr="00687E4A">
              <w:t>Actions undertaken by CASA are proportionate to the risk being managed.</w:t>
            </w:r>
          </w:p>
          <w:p w14:paraId="73B0D894" w14:textId="77777777" w:rsidR="000F61DE" w:rsidRPr="00687E4A" w:rsidRDefault="000F61DE" w:rsidP="006E2310">
            <w:pPr>
              <w:pStyle w:val="TableBullet"/>
            </w:pPr>
            <w:r w:rsidRPr="00687E4A">
              <w:t>Compliance and monitoring approaches are streamlined and coordinated.</w:t>
            </w:r>
          </w:p>
        </w:tc>
        <w:tc>
          <w:tcPr>
            <w:tcW w:w="2524" w:type="dxa"/>
            <w:tcBorders>
              <w:top w:val="nil"/>
            </w:tcBorders>
            <w:shd w:val="clear" w:color="auto" w:fill="DBE5F1"/>
          </w:tcPr>
          <w:p w14:paraId="6271AAFD" w14:textId="77777777" w:rsidR="000F61DE" w:rsidRPr="00687E4A" w:rsidRDefault="000F61DE" w:rsidP="006E2310">
            <w:pPr>
              <w:pStyle w:val="TableBullet"/>
              <w:numPr>
                <w:ilvl w:val="0"/>
                <w:numId w:val="0"/>
              </w:numPr>
              <w:rPr>
                <w:b/>
              </w:rPr>
            </w:pPr>
            <w:r w:rsidRPr="00687E4A">
              <w:rPr>
                <w:b/>
              </w:rPr>
              <w:t>Stakeholder engagement</w:t>
            </w:r>
            <w:r w:rsidR="00FD1F4F">
              <w:rPr>
                <w:b/>
              </w:rPr>
              <w:t>:</w:t>
            </w:r>
          </w:p>
          <w:p w14:paraId="3DB98440" w14:textId="77777777" w:rsidR="000F61DE" w:rsidRPr="00687E4A" w:rsidRDefault="000F61DE" w:rsidP="006E2310">
            <w:pPr>
              <w:pStyle w:val="TableBullet"/>
              <w:numPr>
                <w:ilvl w:val="0"/>
                <w:numId w:val="0"/>
              </w:numPr>
              <w:rPr>
                <w:i/>
              </w:rPr>
            </w:pPr>
          </w:p>
          <w:p w14:paraId="11136B03" w14:textId="77777777" w:rsidR="000F61DE" w:rsidRPr="00687E4A" w:rsidRDefault="000F61DE" w:rsidP="006E2310">
            <w:pPr>
              <w:pStyle w:val="TableBullet"/>
            </w:pPr>
            <w:r w:rsidRPr="00687E4A">
              <w:t>CASA is open and transparent in its dealings with regulated entities and all of its stakeholders.</w:t>
            </w:r>
          </w:p>
          <w:p w14:paraId="30FD0AD0" w14:textId="77777777" w:rsidR="000F61DE" w:rsidRPr="00687E4A" w:rsidRDefault="000F61DE" w:rsidP="006E2310">
            <w:pPr>
              <w:pStyle w:val="TableBullet"/>
            </w:pPr>
            <w:r w:rsidRPr="00687E4A">
              <w:t>Communication with regulated entities and all of CASA’s stakeholders is clear, targeted and effective.</w:t>
            </w:r>
          </w:p>
          <w:p w14:paraId="7694944B" w14:textId="77777777" w:rsidR="000F61DE" w:rsidRPr="00687E4A" w:rsidRDefault="000F61DE" w:rsidP="006E2310">
            <w:pPr>
              <w:pStyle w:val="TableBullet"/>
            </w:pPr>
            <w:r w:rsidRPr="00687E4A">
              <w:t>Education and promotion deliverables are relevant, timely, effective and appropriately targeted.</w:t>
            </w:r>
          </w:p>
          <w:p w14:paraId="3D09ED12" w14:textId="77777777" w:rsidR="000F61DE" w:rsidRPr="00687E4A" w:rsidRDefault="000F61DE" w:rsidP="006E2310">
            <w:pPr>
              <w:pStyle w:val="TableBullet"/>
              <w:numPr>
                <w:ilvl w:val="0"/>
                <w:numId w:val="0"/>
              </w:numPr>
              <w:ind w:left="360"/>
            </w:pPr>
          </w:p>
        </w:tc>
        <w:tc>
          <w:tcPr>
            <w:tcW w:w="2479" w:type="dxa"/>
            <w:tcBorders>
              <w:top w:val="nil"/>
            </w:tcBorders>
            <w:shd w:val="clear" w:color="auto" w:fill="DBE5F1"/>
          </w:tcPr>
          <w:p w14:paraId="40D88DB3" w14:textId="77777777" w:rsidR="000F61DE" w:rsidRPr="00687E4A" w:rsidRDefault="000F61DE" w:rsidP="006E2310">
            <w:pPr>
              <w:pStyle w:val="TableBullet"/>
              <w:numPr>
                <w:ilvl w:val="0"/>
                <w:numId w:val="0"/>
              </w:numPr>
              <w:rPr>
                <w:b/>
              </w:rPr>
            </w:pPr>
            <w:r w:rsidRPr="00687E4A">
              <w:rPr>
                <w:b/>
              </w:rPr>
              <w:t>Governance and organisational effectiveness</w:t>
            </w:r>
            <w:r w:rsidR="00FD1F4F">
              <w:rPr>
                <w:b/>
              </w:rPr>
              <w:t>:</w:t>
            </w:r>
          </w:p>
          <w:p w14:paraId="4EC0F4C7" w14:textId="77777777" w:rsidR="000F61DE" w:rsidRPr="00687E4A" w:rsidRDefault="000F61DE" w:rsidP="006E2310">
            <w:pPr>
              <w:pStyle w:val="TableBullet"/>
              <w:numPr>
                <w:ilvl w:val="0"/>
                <w:numId w:val="0"/>
              </w:numPr>
              <w:rPr>
                <w:i/>
              </w:rPr>
            </w:pPr>
          </w:p>
          <w:p w14:paraId="5B7B4D95" w14:textId="77777777" w:rsidR="000F61DE" w:rsidRPr="00687E4A" w:rsidRDefault="000F61DE" w:rsidP="006E2310">
            <w:pPr>
              <w:pStyle w:val="TableBullet"/>
            </w:pPr>
            <w:r w:rsidRPr="00687E4A">
              <w:t>CASA’s governance structures, finance and risk management align with Commonwealth better practice.</w:t>
            </w:r>
          </w:p>
          <w:p w14:paraId="245C3E6C" w14:textId="77777777" w:rsidR="000F61DE" w:rsidRPr="00687E4A" w:rsidRDefault="000F61DE" w:rsidP="006E2310">
            <w:pPr>
              <w:pStyle w:val="TableBullet"/>
              <w:numPr>
                <w:ilvl w:val="0"/>
                <w:numId w:val="0"/>
              </w:numPr>
              <w:ind w:left="360" w:hanging="360"/>
            </w:pPr>
          </w:p>
          <w:p w14:paraId="01D3814A" w14:textId="77777777" w:rsidR="000F61DE" w:rsidRDefault="000F61DE" w:rsidP="006E2310">
            <w:pPr>
              <w:pStyle w:val="TableBullet"/>
              <w:numPr>
                <w:ilvl w:val="0"/>
                <w:numId w:val="0"/>
              </w:numPr>
              <w:rPr>
                <w:b/>
              </w:rPr>
            </w:pPr>
            <w:r w:rsidRPr="00687E4A">
              <w:rPr>
                <w:b/>
              </w:rPr>
              <w:t>CASA’s capability and capacity</w:t>
            </w:r>
            <w:r w:rsidR="00FD1F4F">
              <w:rPr>
                <w:b/>
              </w:rPr>
              <w:t>:</w:t>
            </w:r>
          </w:p>
          <w:p w14:paraId="2A13B55F" w14:textId="77777777" w:rsidR="009B41D6" w:rsidRPr="00687E4A" w:rsidRDefault="009B41D6" w:rsidP="006E2310">
            <w:pPr>
              <w:pStyle w:val="TableBullet"/>
              <w:numPr>
                <w:ilvl w:val="0"/>
                <w:numId w:val="0"/>
              </w:numPr>
            </w:pPr>
          </w:p>
          <w:p w14:paraId="5121CDE9" w14:textId="77777777" w:rsidR="000F61DE" w:rsidRPr="00687E4A" w:rsidRDefault="000F61DE" w:rsidP="006E2310">
            <w:pPr>
              <w:pStyle w:val="TableBullet"/>
            </w:pPr>
            <w:r w:rsidRPr="00687E4A">
              <w:t>CASA maintains the capability and capacity to effectively deliver aviation safety regulation.</w:t>
            </w:r>
          </w:p>
          <w:p w14:paraId="18E550AB" w14:textId="77777777" w:rsidR="000F61DE" w:rsidRPr="00687E4A" w:rsidRDefault="000F61DE" w:rsidP="006E2310">
            <w:pPr>
              <w:pStyle w:val="TableBullet"/>
              <w:numPr>
                <w:ilvl w:val="0"/>
                <w:numId w:val="0"/>
              </w:numPr>
            </w:pPr>
          </w:p>
        </w:tc>
      </w:tr>
    </w:tbl>
    <w:p w14:paraId="3224433E" w14:textId="77777777" w:rsidR="000F61DE" w:rsidRPr="00687E4A" w:rsidRDefault="000F61DE" w:rsidP="000F61DE"/>
    <w:p w14:paraId="343482EE" w14:textId="77777777" w:rsidR="000F61DE" w:rsidRPr="00687E4A" w:rsidRDefault="000F61DE" w:rsidP="00466E01">
      <w:pPr>
        <w:pStyle w:val="Heading1"/>
      </w:pPr>
      <w:r w:rsidRPr="00687E4A">
        <w:br w:type="page"/>
      </w:r>
      <w:bookmarkStart w:id="37" w:name="_Toc523924879"/>
      <w:r w:rsidRPr="00687E4A">
        <w:lastRenderedPageBreak/>
        <w:t>Portfolio outcome</w:t>
      </w:r>
      <w:bookmarkEnd w:id="37"/>
    </w:p>
    <w:p w14:paraId="5D8FC365" w14:textId="77777777" w:rsidR="000F61DE" w:rsidRPr="00687E4A" w:rsidRDefault="000F61DE" w:rsidP="000F61DE">
      <w:pPr>
        <w:pStyle w:val="bulletintro0"/>
        <w:rPr>
          <w:lang w:val="en-GB"/>
        </w:rPr>
      </w:pPr>
      <w:bookmarkStart w:id="38" w:name="_Toc306030950"/>
      <w:bookmarkStart w:id="39" w:name="_Toc306031123"/>
      <w:bookmarkStart w:id="40" w:name="_Toc365737720"/>
      <w:bookmarkStart w:id="41" w:name="_Toc365794473"/>
      <w:r w:rsidRPr="00687E4A">
        <w:rPr>
          <w:lang w:val="en-GB"/>
        </w:rPr>
        <w:t>In 2017–18, CASA was responsible for a single portfolio outcome:</w:t>
      </w:r>
    </w:p>
    <w:p w14:paraId="6F47D8D9" w14:textId="77777777" w:rsidR="000F61DE" w:rsidRPr="00E65A7C" w:rsidRDefault="000F61DE" w:rsidP="000F61DE">
      <w:pPr>
        <w:pStyle w:val="Quote"/>
        <w:rPr>
          <w:sz w:val="24"/>
          <w:szCs w:val="24"/>
        </w:rPr>
      </w:pPr>
      <w:r w:rsidRPr="00E65A7C">
        <w:rPr>
          <w:sz w:val="24"/>
          <w:szCs w:val="24"/>
        </w:rPr>
        <w:t>Maximise aviation safety through a regulatory regime, detailed technical material on safety standards, comprehensive aviation industry oversight, risk analysis, industry consultation, education and training.</w:t>
      </w:r>
    </w:p>
    <w:p w14:paraId="3256F0E6" w14:textId="77777777" w:rsidR="000F61DE" w:rsidRPr="00687E4A" w:rsidRDefault="000F61DE" w:rsidP="000F61DE">
      <w:r w:rsidRPr="00687E4A">
        <w:t>The outcome was set out in the 2017–18 Infrastructure and Regional Development Portfolio Budget Statements.</w:t>
      </w:r>
    </w:p>
    <w:p w14:paraId="4C6468F7" w14:textId="77777777" w:rsidR="000F61DE" w:rsidRPr="00687E4A" w:rsidRDefault="000F61DE" w:rsidP="000F61DE">
      <w:pPr>
        <w:pStyle w:val="BulletIntro"/>
        <w:rPr>
          <w:lang w:val="en-GB"/>
        </w:rPr>
      </w:pPr>
      <w:r w:rsidRPr="00687E4A">
        <w:rPr>
          <w:lang w:val="en-GB"/>
        </w:rPr>
        <w:t>CASA’s results in achieving this outcome are measured through three performance indicators:</w:t>
      </w:r>
    </w:p>
    <w:p w14:paraId="431BBB86" w14:textId="77777777" w:rsidR="000F61DE" w:rsidRPr="00687E4A" w:rsidRDefault="000F61DE" w:rsidP="000F61DE">
      <w:pPr>
        <w:pStyle w:val="Bullet"/>
      </w:pPr>
      <w:r>
        <w:t>N</w:t>
      </w:r>
      <w:r w:rsidRPr="00687E4A">
        <w:t>umber of accidents per hours flown is reduced, by industry sector</w:t>
      </w:r>
      <w:r>
        <w:t>.</w:t>
      </w:r>
    </w:p>
    <w:p w14:paraId="19F5DDD2" w14:textId="77777777" w:rsidR="000F61DE" w:rsidRPr="00687E4A" w:rsidRDefault="000F61DE" w:rsidP="000F61DE">
      <w:pPr>
        <w:pStyle w:val="Bullet"/>
      </w:pPr>
      <w:r>
        <w:t>N</w:t>
      </w:r>
      <w:r w:rsidRPr="00687E4A">
        <w:t>umber of incidents per hours flown is reduced, by industry sector</w:t>
      </w:r>
      <w:r>
        <w:t>.</w:t>
      </w:r>
    </w:p>
    <w:p w14:paraId="084B887A" w14:textId="77777777" w:rsidR="000F61DE" w:rsidRPr="00687E4A" w:rsidRDefault="000F61DE" w:rsidP="000F61DE">
      <w:pPr>
        <w:pStyle w:val="Bullet"/>
      </w:pPr>
      <w:r>
        <w:t>C</w:t>
      </w:r>
      <w:r w:rsidRPr="00687E4A">
        <w:t>lear, open and transparent engagement with the industry to support the continuous improvement of an efficient and effective aviation safety regulatory framework.</w:t>
      </w:r>
    </w:p>
    <w:p w14:paraId="54BF52DC" w14:textId="77777777" w:rsidR="000F61DE" w:rsidRPr="00986D7A" w:rsidRDefault="000F61DE" w:rsidP="00986D7A">
      <w:pPr>
        <w:pStyle w:val="Heading2"/>
      </w:pPr>
      <w:bookmarkStart w:id="42" w:name="_Hlk521679238"/>
      <w:bookmarkStart w:id="43" w:name="_Hlk523748785"/>
      <w:r w:rsidRPr="00986D7A">
        <w:t xml:space="preserve">Reduced accidents and incidents </w:t>
      </w:r>
    </w:p>
    <w:p w14:paraId="4ADAB802" w14:textId="77777777" w:rsidR="000F61DE" w:rsidRDefault="000F61DE" w:rsidP="000F61DE">
      <w:pPr>
        <w:rPr>
          <w:szCs w:val="24"/>
          <w:lang w:val="en-AU"/>
        </w:rPr>
      </w:pPr>
      <w:r>
        <w:rPr>
          <w:szCs w:val="24"/>
        </w:rPr>
        <w:t xml:space="preserve">The accident and incident rates were analysed over the period from 2008 to 2018, based on Australian Transport Safety Bureau air safety incident reports and </w:t>
      </w:r>
      <w:r>
        <w:t>Bureau of Infrastructure, Transport and Regional Economics (BITRE) data on flying hours</w:t>
      </w:r>
      <w:r>
        <w:rPr>
          <w:szCs w:val="24"/>
        </w:rPr>
        <w:t xml:space="preserve">. </w:t>
      </w:r>
      <w:r>
        <w:t xml:space="preserve">Trend estimates are shown in figures 7 and 8. </w:t>
      </w:r>
    </w:p>
    <w:p w14:paraId="43D208C2" w14:textId="77777777" w:rsidR="000F61DE" w:rsidRDefault="000F61DE" w:rsidP="000F61DE">
      <w:pPr>
        <w:pStyle w:val="Heading3"/>
      </w:pPr>
      <w:r>
        <w:t>Findings</w:t>
      </w:r>
    </w:p>
    <w:p w14:paraId="6BA6C0C2" w14:textId="77777777" w:rsidR="000F61DE" w:rsidRDefault="00EF73E8" w:rsidP="000F61DE">
      <w:pPr>
        <w:rPr>
          <w:szCs w:val="24"/>
          <w:lang w:val="en-AU"/>
        </w:rPr>
      </w:pPr>
      <w:r>
        <w:rPr>
          <w:szCs w:val="24"/>
        </w:rPr>
        <w:t>The accident rates suggest a decreasing trend for the air transport and aerial work sectors</w:t>
      </w:r>
      <w:r w:rsidRPr="00B94E5C">
        <w:rPr>
          <w:szCs w:val="24"/>
        </w:rPr>
        <w:t xml:space="preserve"> between 2008 and estimated figures for 2018.</w:t>
      </w:r>
      <w:r w:rsidRPr="00B94E5C">
        <w:t xml:space="preserve"> R</w:t>
      </w:r>
      <w:r w:rsidRPr="00B94E5C">
        <w:rPr>
          <w:szCs w:val="24"/>
        </w:rPr>
        <w:t xml:space="preserve">ecent increases in the accident rate for air transport are consistent with the inherent volatility in the data, being less than one standard deviation from the </w:t>
      </w:r>
      <w:r>
        <w:rPr>
          <w:szCs w:val="24"/>
        </w:rPr>
        <w:t>10</w:t>
      </w:r>
      <w:r w:rsidRPr="00B94E5C">
        <w:rPr>
          <w:szCs w:val="24"/>
        </w:rPr>
        <w:t>-year average.</w:t>
      </w:r>
      <w:r>
        <w:rPr>
          <w:szCs w:val="24"/>
        </w:rPr>
        <w:t xml:space="preserve"> The trend in the general aviation sector appears to have stabilised over the past few years, while the trend for flying training has recently increased.</w:t>
      </w:r>
    </w:p>
    <w:p w14:paraId="773DBAD9" w14:textId="77777777" w:rsidR="000F61DE" w:rsidRDefault="000F61DE" w:rsidP="000F61DE">
      <w:pPr>
        <w:rPr>
          <w:szCs w:val="24"/>
        </w:rPr>
      </w:pPr>
      <w:r>
        <w:rPr>
          <w:szCs w:val="24"/>
        </w:rPr>
        <w:t>The incident rates suggest a relatively stable trend across the air transport, aerial work and general aviation sectors. Incident rates for the flying training sector indicate an increasing trend, which may be linked to an improvement in the incident reporting culture associated with the sector.</w:t>
      </w:r>
    </w:p>
    <w:p w14:paraId="16361816" w14:textId="77777777" w:rsidR="000F61DE" w:rsidRDefault="000F61DE" w:rsidP="000F61DE">
      <w:pPr>
        <w:pStyle w:val="Heading3"/>
      </w:pPr>
      <w:r>
        <w:t>Methodology</w:t>
      </w:r>
    </w:p>
    <w:p w14:paraId="3446C435" w14:textId="77777777" w:rsidR="000F61DE" w:rsidRDefault="000F61DE" w:rsidP="000F61DE">
      <w:r>
        <w:t xml:space="preserve">To report accident rates, the flying hours for 2017 were estimated based on the trend projected from historical figures for 2008 to 2016 obtained from the BITRE. Flying hours from the BITRE are collected on a calendar year basis, and had to be aligned with CASA’s financial year reporting requirements. </w:t>
      </w:r>
    </w:p>
    <w:p w14:paraId="19E1F248" w14:textId="77777777" w:rsidR="000F61DE" w:rsidRDefault="000F61DE" w:rsidP="000F61DE">
      <w:r>
        <w:t>The accident rate information for 2017–18 was calculated on the basis of the historical figures and adjusted for the 30 June end date. The quality assured occurrence information utilised in the accident rate calculations was extracted on 9 August 2018, by which date all accident data to 30 June 2018 had been processed.</w:t>
      </w:r>
    </w:p>
    <w:p w14:paraId="0C188382" w14:textId="77777777" w:rsidR="000F61DE" w:rsidRDefault="000F61DE" w:rsidP="000F61DE">
      <w:r>
        <w:t xml:space="preserve">To report incident rates, the flying hours for 2017 were estimated on the same basis as for accident rates. The quality assured occurrence information utilised in the incident </w:t>
      </w:r>
      <w:r>
        <w:lastRenderedPageBreak/>
        <w:t xml:space="preserve">rate calculations was also extracted on 9 August 2018. However, because of a seven-month lag associated with the incident quality assurance process, the rate calculations were based on data to 31 December 2017. </w:t>
      </w:r>
    </w:p>
    <w:p w14:paraId="2379D36B" w14:textId="77777777" w:rsidR="000F61DE" w:rsidRDefault="000F61DE" w:rsidP="000F61DE">
      <w:pPr>
        <w:rPr>
          <w:szCs w:val="24"/>
          <w:lang w:val="en-AU"/>
        </w:rPr>
      </w:pPr>
      <w:r>
        <w:rPr>
          <w:szCs w:val="24"/>
        </w:rPr>
        <w:t>The standard deviation (positive or negative movement) from the average is shown to highlight any statistically significant movements. Care should be taken in interpreting the sector trends, given the assumptions made in calculating the results.</w:t>
      </w:r>
    </w:p>
    <w:bookmarkEnd w:id="38"/>
    <w:bookmarkEnd w:id="39"/>
    <w:bookmarkEnd w:id="40"/>
    <w:bookmarkEnd w:id="41"/>
    <w:p w14:paraId="13B06466" w14:textId="6A2DE469" w:rsidR="000F61DE" w:rsidRDefault="000F61DE" w:rsidP="000F61DE">
      <w:pPr>
        <w:pStyle w:val="FigureName"/>
      </w:pPr>
      <w:r w:rsidRPr="006C0823">
        <w:t xml:space="preserve">Figure </w:t>
      </w:r>
      <w:r>
        <w:t>7</w:t>
      </w:r>
      <w:r w:rsidRPr="006C0823">
        <w:tab/>
        <w:t>Industry sector – accident rate trends</w:t>
      </w:r>
    </w:p>
    <w:p w14:paraId="76FC0652" w14:textId="77777777" w:rsidR="008C4B94" w:rsidRPr="00450B11" w:rsidRDefault="008C4B94" w:rsidP="008C4B94">
      <w:r w:rsidRPr="00450B11">
        <w:t>Content under this heading has been removed in this version to meet accessibility standards.</w:t>
      </w:r>
    </w:p>
    <w:p w14:paraId="0D3EEC9A" w14:textId="6A883C35" w:rsidR="000F61DE" w:rsidRDefault="000F61DE" w:rsidP="000F61DE">
      <w:pPr>
        <w:pStyle w:val="FigureName"/>
      </w:pPr>
      <w:r w:rsidRPr="006C0823">
        <w:t xml:space="preserve">Figure </w:t>
      </w:r>
      <w:r>
        <w:t>8</w:t>
      </w:r>
      <w:r w:rsidRPr="006C0823">
        <w:tab/>
        <w:t xml:space="preserve">Industry sector – </w:t>
      </w:r>
      <w:r>
        <w:t>inci</w:t>
      </w:r>
      <w:r w:rsidRPr="006C0823">
        <w:t>dent rate trends</w:t>
      </w:r>
    </w:p>
    <w:p w14:paraId="2D2885DC" w14:textId="77777777" w:rsidR="008C4B94" w:rsidRPr="00450B11" w:rsidRDefault="008C4B94" w:rsidP="008C4B94">
      <w:r w:rsidRPr="00450B11">
        <w:t>Content under this heading has been removed in this version to meet accessibility standards.</w:t>
      </w:r>
    </w:p>
    <w:bookmarkEnd w:id="42"/>
    <w:bookmarkEnd w:id="43"/>
    <w:p w14:paraId="532B05B9" w14:textId="77777777" w:rsidR="000F61DE" w:rsidRPr="00986D7A" w:rsidRDefault="000F61DE" w:rsidP="00986D7A">
      <w:pPr>
        <w:pStyle w:val="Heading2"/>
      </w:pPr>
      <w:r w:rsidRPr="00986D7A">
        <w:t xml:space="preserve">Effective engagement with industry </w:t>
      </w:r>
    </w:p>
    <w:p w14:paraId="34876732" w14:textId="77777777" w:rsidR="000F61DE" w:rsidRPr="006C0823" w:rsidRDefault="000F61DE" w:rsidP="000F61DE">
      <w:r>
        <w:t xml:space="preserve">CASA’s </w:t>
      </w:r>
      <w:r w:rsidRPr="006C0823">
        <w:t xml:space="preserve">Aviation Safety Advisory Panel </w:t>
      </w:r>
      <w:r>
        <w:t xml:space="preserve">(ASAP) </w:t>
      </w:r>
      <w:r w:rsidRPr="006C0823">
        <w:t xml:space="preserve">and a web portal dedicated to consultation </w:t>
      </w:r>
      <w:r>
        <w:t>both came into o</w:t>
      </w:r>
      <w:r w:rsidRPr="006C0823">
        <w:t>peration in July 2017.</w:t>
      </w:r>
      <w:r>
        <w:t xml:space="preserve"> These changes resulted from a </w:t>
      </w:r>
      <w:r w:rsidRPr="006C0823">
        <w:t>review of the forums in which CASA engages with industry</w:t>
      </w:r>
      <w:r>
        <w:t>, and have been broadly supported by the aviation community.</w:t>
      </w:r>
    </w:p>
    <w:p w14:paraId="498EAC99" w14:textId="77777777" w:rsidR="000F61DE" w:rsidRDefault="000F61DE" w:rsidP="000F61DE">
      <w:r>
        <w:t xml:space="preserve">The </w:t>
      </w:r>
      <w:r w:rsidR="003F1D90">
        <w:t xml:space="preserve">Government’s response to the </w:t>
      </w:r>
      <w:r>
        <w:t>2014 Aviation Safety Regulation Review identified a need for CASA to improve its service delivery and relationship with industry, including by conducting regular surveys to measure the health of its relationship with stakeholders.</w:t>
      </w:r>
    </w:p>
    <w:p w14:paraId="018055B5" w14:textId="77777777" w:rsidR="000F61DE" w:rsidRDefault="000F61DE" w:rsidP="000F61DE">
      <w:r>
        <w:t xml:space="preserve">As it had been more than two years since CASA undertook an initial stakeholder survey in 2015, CASA engaged Colmar Brunton in January 2018 to conduct a second stakeholder relationship survey, </w:t>
      </w:r>
      <w:r w:rsidRPr="00C27F03">
        <w:rPr>
          <w:i/>
        </w:rPr>
        <w:t>Measuring our Performance</w:t>
      </w:r>
      <w:r>
        <w:t>.</w:t>
      </w:r>
    </w:p>
    <w:p w14:paraId="3364B85A" w14:textId="77777777" w:rsidR="000F61DE" w:rsidRDefault="000F61DE" w:rsidP="000F61DE">
      <w:r>
        <w:t>The 2018 survey explored current stakeholder perceptions of CASA’s service provision and relationship with industry, and measured changes in perceptions since the 2015 benchmark.</w:t>
      </w:r>
    </w:p>
    <w:p w14:paraId="3A0125FF" w14:textId="77777777" w:rsidR="000F61DE" w:rsidRDefault="000F61DE" w:rsidP="000F61DE">
      <w:r>
        <w:t>The survey involved both qualitative and quantitative research methodologies:</w:t>
      </w:r>
    </w:p>
    <w:p w14:paraId="591B69AF" w14:textId="77777777" w:rsidR="000F61DE" w:rsidRPr="00B158E7" w:rsidRDefault="000F61DE" w:rsidP="000F61DE">
      <w:pPr>
        <w:pStyle w:val="Bullet"/>
      </w:pPr>
      <w:r>
        <w:t>I</w:t>
      </w:r>
      <w:r w:rsidRPr="00B158E7">
        <w:t xml:space="preserve">n-depth interviews </w:t>
      </w:r>
      <w:r>
        <w:t xml:space="preserve">were conducted </w:t>
      </w:r>
      <w:r w:rsidRPr="00B158E7">
        <w:t xml:space="preserve">with </w:t>
      </w:r>
      <w:r>
        <w:t>i</w:t>
      </w:r>
      <w:r w:rsidRPr="00B158E7">
        <w:t>ndustry participants</w:t>
      </w:r>
      <w:r>
        <w:t>,</w:t>
      </w:r>
      <w:r w:rsidRPr="00B158E7">
        <w:t xml:space="preserve"> including targeted stakeholders and a broad cross</w:t>
      </w:r>
      <w:r>
        <w:t>-</w:t>
      </w:r>
      <w:r w:rsidRPr="00B158E7">
        <w:t>section of industry participants</w:t>
      </w:r>
      <w:r>
        <w:t>.</w:t>
      </w:r>
    </w:p>
    <w:p w14:paraId="0BB25005" w14:textId="77777777" w:rsidR="000F61DE" w:rsidRPr="00B158E7" w:rsidRDefault="000F61DE" w:rsidP="000F61DE">
      <w:pPr>
        <w:pStyle w:val="Bullet"/>
      </w:pPr>
      <w:r>
        <w:t>A</w:t>
      </w:r>
      <w:r w:rsidRPr="00B158E7">
        <w:t>n online survey was sent to a random sample of 11,000 industry participants representing a broad cross</w:t>
      </w:r>
      <w:r>
        <w:t>-</w:t>
      </w:r>
      <w:r w:rsidRPr="00B158E7">
        <w:t>section of the aviation industry.</w:t>
      </w:r>
    </w:p>
    <w:p w14:paraId="52B48371" w14:textId="77777777" w:rsidR="000F61DE" w:rsidRDefault="000F61DE" w:rsidP="000F61DE">
      <w:r>
        <w:t>The survey took place from 18 April to 13 June 2018. A total of 1,168 stakeholders completed the online survey and 34 in-depth interviews were conducted.</w:t>
      </w:r>
    </w:p>
    <w:p w14:paraId="722365A8" w14:textId="77777777" w:rsidR="000F61DE" w:rsidRDefault="000F61DE" w:rsidP="000F61DE">
      <w:r>
        <w:t xml:space="preserve">Work has commenced on drafting an action plan to respond to the survey findings. </w:t>
      </w:r>
    </w:p>
    <w:p w14:paraId="52FFD58B" w14:textId="77777777" w:rsidR="000F61DE" w:rsidRDefault="000F61DE" w:rsidP="000F61DE">
      <w:r>
        <w:t>A high-level report on the survey was presented to the CASA Board at the end of June</w:t>
      </w:r>
      <w:r w:rsidR="006F4D23">
        <w:t xml:space="preserve"> 2018</w:t>
      </w:r>
      <w:r w:rsidR="00A652B5">
        <w:t>.</w:t>
      </w:r>
      <w:r w:rsidR="002B277C">
        <w:t xml:space="preserve"> The report</w:t>
      </w:r>
      <w:r w:rsidR="000E154B">
        <w:t xml:space="preserve"> indicated </w:t>
      </w:r>
      <w:r w:rsidR="002B277C">
        <w:t xml:space="preserve">that </w:t>
      </w:r>
      <w:r w:rsidR="000E154B">
        <w:t>the</w:t>
      </w:r>
      <w:r>
        <w:t xml:space="preserve"> survey outcomes were more favourable than those of the 2015 survey.</w:t>
      </w:r>
    </w:p>
    <w:p w14:paraId="3BB0048C" w14:textId="77777777" w:rsidR="000F61DE" w:rsidRDefault="000F61DE" w:rsidP="000F61DE">
      <w:r>
        <w:t>The final report will be presented to the Board, staff, stakeholders and clients in the first quarter of 2018–19.</w:t>
      </w:r>
    </w:p>
    <w:p w14:paraId="6AAB3A89" w14:textId="77777777" w:rsidR="000F61DE" w:rsidRDefault="00A301CA" w:rsidP="000F61DE">
      <w:r>
        <w:lastRenderedPageBreak/>
        <w:t>The organisation-wide Service Delivery Transformation program also commenced during 2017–18. The aim</w:t>
      </w:r>
      <w:r w:rsidR="00A652B5">
        <w:t>s</w:t>
      </w:r>
      <w:r>
        <w:t xml:space="preserve"> of the program </w:t>
      </w:r>
      <w:r w:rsidR="00A652B5">
        <w:t>are</w:t>
      </w:r>
      <w:r>
        <w:t xml:space="preserve"> to transform a number of services </w:t>
      </w:r>
      <w:r w:rsidR="00A652B5">
        <w:t>and to</w:t>
      </w:r>
      <w:r w:rsidR="00AC3579">
        <w:t xml:space="preserve"> </w:t>
      </w:r>
      <w:r>
        <w:t>deliver services that are client-centred.</w:t>
      </w:r>
    </w:p>
    <w:p w14:paraId="45F18524" w14:textId="77777777" w:rsidR="000F61DE" w:rsidRPr="006C0823" w:rsidRDefault="000F61DE" w:rsidP="000F61DE">
      <w:r>
        <w:t>CASA has made considerable progress towards achieving its goal of ensuring that its engagement with industry is effective.</w:t>
      </w:r>
    </w:p>
    <w:p w14:paraId="5D8D9B14" w14:textId="686CA6F2" w:rsidR="000F61DE" w:rsidRPr="004E3ACF" w:rsidRDefault="000F61DE" w:rsidP="000F61DE">
      <w:pPr>
        <w:pStyle w:val="Heading1"/>
        <w:rPr>
          <w:lang w:val="en-GB"/>
        </w:rPr>
      </w:pPr>
      <w:bookmarkStart w:id="44" w:name="_Toc523924880"/>
      <w:bookmarkStart w:id="45" w:name="_Hlk521921414"/>
      <w:r>
        <w:rPr>
          <w:lang w:val="en-GB"/>
        </w:rPr>
        <w:t>Corporate plan objectives</w:t>
      </w:r>
      <w:bookmarkEnd w:id="44"/>
    </w:p>
    <w:p w14:paraId="1C8348C7" w14:textId="77777777" w:rsidR="000F61DE" w:rsidRDefault="000F61DE" w:rsidP="000F61DE">
      <w:r w:rsidRPr="004E3ACF">
        <w:rPr>
          <w:iCs/>
          <w:szCs w:val="24"/>
        </w:rPr>
        <w:t xml:space="preserve">This section presents a detailed review of CASA’s performance in 2017–18 against the goals, initiatives and performance measures set out in the CASA </w:t>
      </w:r>
      <w:r w:rsidRPr="004E3ACF">
        <w:rPr>
          <w:i/>
          <w:iCs/>
          <w:szCs w:val="24"/>
        </w:rPr>
        <w:t>Corporate Plan 2017–18 to 2020–21</w:t>
      </w:r>
      <w:r w:rsidRPr="004E3ACF">
        <w:t>.</w:t>
      </w:r>
    </w:p>
    <w:p w14:paraId="738BAD17" w14:textId="77777777" w:rsidR="008053A1" w:rsidRPr="008053A1" w:rsidRDefault="008053A1" w:rsidP="008053A1">
      <w:pPr>
        <w:pStyle w:val="CommentText"/>
        <w:rPr>
          <w:rFonts w:ascii="Cambria" w:hAnsi="Cambria"/>
          <w:sz w:val="24"/>
          <w:szCs w:val="24"/>
          <w:lang w:val="en-AU"/>
        </w:rPr>
      </w:pPr>
      <w:r w:rsidRPr="008053A1">
        <w:rPr>
          <w:rFonts w:ascii="Cambria" w:hAnsi="Cambria"/>
          <w:sz w:val="24"/>
          <w:szCs w:val="24"/>
          <w:lang w:val="en-AU"/>
        </w:rPr>
        <w:t>As shown in Figure 6, the three goals of CASA’s corporate plan are achieved through five key areas of performance. For each of those areas, the corporate plan identifies initiatives and measures of success in delivering those initiatives.</w:t>
      </w:r>
    </w:p>
    <w:p w14:paraId="507C5167" w14:textId="77777777" w:rsidR="000F61DE" w:rsidRPr="004E3ACF" w:rsidRDefault="000F61DE" w:rsidP="000F61DE">
      <w:pPr>
        <w:pStyle w:val="BulletIntro"/>
        <w:rPr>
          <w:iCs/>
          <w:szCs w:val="24"/>
          <w:lang w:val="en-GB"/>
        </w:rPr>
      </w:pPr>
      <w:r w:rsidRPr="004E3ACF">
        <w:rPr>
          <w:iCs/>
          <w:szCs w:val="24"/>
          <w:lang w:val="en-GB"/>
        </w:rPr>
        <w:t xml:space="preserve">This section sets out a detailed report on performance for each </w:t>
      </w:r>
      <w:r>
        <w:rPr>
          <w:iCs/>
          <w:szCs w:val="24"/>
          <w:lang w:val="en-GB"/>
        </w:rPr>
        <w:t>measure</w:t>
      </w:r>
      <w:r w:rsidRPr="004E3ACF">
        <w:rPr>
          <w:iCs/>
          <w:szCs w:val="24"/>
          <w:lang w:val="en-GB"/>
        </w:rPr>
        <w:t>, including a ‘snapshot’ assessment using the following keys:</w:t>
      </w:r>
    </w:p>
    <w:p w14:paraId="4C4BB49C" w14:textId="77777777" w:rsidR="000F61DE" w:rsidRPr="004E3ACF" w:rsidRDefault="000F61DE" w:rsidP="000F61DE">
      <w:pPr>
        <w:ind w:left="360"/>
        <w:rPr>
          <w:iCs/>
          <w:szCs w:val="24"/>
        </w:rPr>
      </w:pPr>
      <w:r w:rsidRPr="004E3ACF">
        <w:rPr>
          <w:szCs w:val="24"/>
        </w:rPr>
        <w:sym w:font="Wingdings" w:char="F0FC"/>
      </w:r>
      <w:r w:rsidRPr="004E3ACF">
        <w:rPr>
          <w:szCs w:val="24"/>
        </w:rPr>
        <w:sym w:font="Wingdings" w:char="F0FC"/>
      </w:r>
      <w:r w:rsidRPr="004E3ACF">
        <w:rPr>
          <w:szCs w:val="24"/>
        </w:rPr>
        <w:sym w:font="Wingdings" w:char="F0FC"/>
      </w:r>
      <w:r w:rsidRPr="004E3ACF">
        <w:rPr>
          <w:iCs/>
          <w:szCs w:val="24"/>
        </w:rPr>
        <w:t xml:space="preserve"> Ongoing/completed</w:t>
      </w:r>
    </w:p>
    <w:p w14:paraId="0F5C967F" w14:textId="77777777" w:rsidR="000F61DE" w:rsidRPr="004E3ACF" w:rsidRDefault="000F61DE" w:rsidP="000F61DE">
      <w:pPr>
        <w:ind w:left="360"/>
        <w:rPr>
          <w:iCs/>
          <w:szCs w:val="24"/>
        </w:rPr>
      </w:pPr>
      <w:r w:rsidRPr="004E3ACF">
        <w:rPr>
          <w:szCs w:val="24"/>
        </w:rPr>
        <w:sym w:font="Wingdings" w:char="F0FC"/>
      </w:r>
      <w:r w:rsidRPr="004E3ACF">
        <w:rPr>
          <w:szCs w:val="24"/>
        </w:rPr>
        <w:sym w:font="Wingdings" w:char="F0FC"/>
      </w:r>
      <w:r w:rsidRPr="004E3ACF">
        <w:rPr>
          <w:iCs/>
          <w:szCs w:val="24"/>
        </w:rPr>
        <w:t xml:space="preserve"> Substantially completed/issues being managed</w:t>
      </w:r>
    </w:p>
    <w:p w14:paraId="6E064719" w14:textId="77777777" w:rsidR="000F61DE" w:rsidRPr="004E3ACF" w:rsidRDefault="000F61DE" w:rsidP="000F61DE">
      <w:pPr>
        <w:ind w:left="360"/>
        <w:rPr>
          <w:iCs/>
          <w:szCs w:val="24"/>
        </w:rPr>
      </w:pPr>
      <w:r w:rsidRPr="004E3ACF">
        <w:rPr>
          <w:szCs w:val="24"/>
        </w:rPr>
        <w:sym w:font="Wingdings" w:char="F0FC"/>
      </w:r>
      <w:r w:rsidRPr="004E3ACF">
        <w:rPr>
          <w:iCs/>
          <w:szCs w:val="24"/>
        </w:rPr>
        <w:t xml:space="preserve"> Delayed</w:t>
      </w:r>
    </w:p>
    <w:p w14:paraId="01E2766F" w14:textId="77777777" w:rsidR="000F61DE" w:rsidRPr="004E3ACF" w:rsidRDefault="000F61DE" w:rsidP="000F61DE">
      <w:pPr>
        <w:ind w:left="360"/>
        <w:rPr>
          <w:iCs/>
          <w:szCs w:val="24"/>
        </w:rPr>
      </w:pPr>
      <w:r w:rsidRPr="004E3ACF">
        <w:rPr>
          <w:iCs/>
          <w:szCs w:val="24"/>
        </w:rPr>
        <w:t>⨯ Cancelled</w:t>
      </w:r>
    </w:p>
    <w:p w14:paraId="67E6269C" w14:textId="77777777" w:rsidR="000F61DE" w:rsidRDefault="000F61DE" w:rsidP="000F61DE">
      <w:pPr>
        <w:rPr>
          <w:i/>
          <w:iCs/>
          <w:szCs w:val="24"/>
        </w:rPr>
      </w:pPr>
      <w:r>
        <w:rPr>
          <w:iCs/>
          <w:szCs w:val="24"/>
        </w:rPr>
        <w:t xml:space="preserve">The reports on the delivery of strategic initiatives are followed by reports against key performance indicators for each goal, as identified in the corporate plan and, in some cases, required under </w:t>
      </w:r>
      <w:r w:rsidRPr="00AE6CC6">
        <w:rPr>
          <w:iCs/>
          <w:szCs w:val="24"/>
        </w:rPr>
        <w:t xml:space="preserve">the Government’s Regulator Performance Framework. </w:t>
      </w:r>
    </w:p>
    <w:p w14:paraId="036427EA" w14:textId="77777777" w:rsidR="000F61DE" w:rsidRDefault="000F61DE" w:rsidP="000F61DE">
      <w:pPr>
        <w:pStyle w:val="Heading2noTOC"/>
      </w:pPr>
      <w:r>
        <w:t>Performance overview</w:t>
      </w:r>
    </w:p>
    <w:p w14:paraId="345BDC14" w14:textId="77777777" w:rsidR="00DA7A35" w:rsidRPr="00687E4A" w:rsidRDefault="00DA7A35" w:rsidP="00DA7A35">
      <w:pPr>
        <w:pStyle w:val="Heading3"/>
        <w:rPr>
          <w:lang w:val="en-GB"/>
        </w:rPr>
      </w:pPr>
      <w:r w:rsidRPr="006C0823">
        <w:rPr>
          <w:lang w:val="en-GB"/>
        </w:rPr>
        <w:t xml:space="preserve">Overall </w:t>
      </w:r>
      <w:r w:rsidRPr="00687E4A">
        <w:rPr>
          <w:lang w:val="en-GB"/>
        </w:rPr>
        <w:t>result</w:t>
      </w:r>
    </w:p>
    <w:p w14:paraId="4316BB37" w14:textId="77777777" w:rsidR="00DA7A35" w:rsidRPr="00E65A7C" w:rsidRDefault="00DA7A35" w:rsidP="009A6C3B">
      <w:pPr>
        <w:pStyle w:val="ListParagraph"/>
        <w:numPr>
          <w:ilvl w:val="0"/>
          <w:numId w:val="34"/>
        </w:numPr>
      </w:pPr>
      <w:r w:rsidRPr="00E65A7C">
        <w:t>89% of targets met</w:t>
      </w:r>
    </w:p>
    <w:p w14:paraId="5A18FF8D" w14:textId="77777777" w:rsidR="00DA7A35" w:rsidRPr="00687E4A" w:rsidRDefault="00DA7A35" w:rsidP="009A6C3B">
      <w:pPr>
        <w:pStyle w:val="ListParagraph"/>
        <w:numPr>
          <w:ilvl w:val="0"/>
          <w:numId w:val="34"/>
        </w:numPr>
      </w:pPr>
      <w:r>
        <w:t>10</w:t>
      </w:r>
      <w:r w:rsidRPr="00687E4A">
        <w:t>% substantially completed</w:t>
      </w:r>
    </w:p>
    <w:p w14:paraId="0C10A482" w14:textId="77777777" w:rsidR="00DA7A35" w:rsidRPr="00687E4A" w:rsidRDefault="00DA7A35" w:rsidP="009A6C3B">
      <w:pPr>
        <w:pStyle w:val="ListParagraph"/>
        <w:numPr>
          <w:ilvl w:val="0"/>
          <w:numId w:val="34"/>
        </w:numPr>
      </w:pPr>
      <w:r>
        <w:t>1</w:t>
      </w:r>
      <w:r w:rsidRPr="00687E4A">
        <w:t>% delayed</w:t>
      </w:r>
    </w:p>
    <w:p w14:paraId="7583D25C" w14:textId="77777777" w:rsidR="000F61DE" w:rsidRPr="006C0823" w:rsidRDefault="000F61DE" w:rsidP="000F61DE">
      <w:pPr>
        <w:rPr>
          <w:iCs/>
          <w:szCs w:val="24"/>
        </w:rPr>
      </w:pPr>
      <w:r w:rsidRPr="004E3ACF">
        <w:rPr>
          <w:iCs/>
          <w:szCs w:val="24"/>
        </w:rPr>
        <w:t xml:space="preserve">Of the 69 performance measures set for the three corporate goals in 2017–18, </w:t>
      </w:r>
      <w:r w:rsidRPr="00DA7A35">
        <w:rPr>
          <w:iCs/>
          <w:szCs w:val="24"/>
        </w:rPr>
        <w:t>89 per cent were met, 10 per cent were substantially completed and 1 per cent were delayed. T</w:t>
      </w:r>
      <w:r w:rsidRPr="006C0823">
        <w:rPr>
          <w:iCs/>
          <w:szCs w:val="24"/>
        </w:rPr>
        <w:t xml:space="preserve">his high level of achievement is consistent with CASA’s performance over the past five years. </w:t>
      </w:r>
    </w:p>
    <w:p w14:paraId="5D2A0A08" w14:textId="77777777" w:rsidR="000F61DE" w:rsidRPr="00986D7A" w:rsidRDefault="000F61DE" w:rsidP="00986D7A">
      <w:pPr>
        <w:pStyle w:val="Heading2"/>
      </w:pPr>
      <w:r w:rsidRPr="00986D7A">
        <w:t xml:space="preserve">Factors affecting performance </w:t>
      </w:r>
    </w:p>
    <w:p w14:paraId="30CFC36D" w14:textId="77777777" w:rsidR="000F61DE" w:rsidRDefault="000F61DE" w:rsidP="000F61DE">
      <w:r>
        <w:t>In 2017</w:t>
      </w:r>
      <w:r w:rsidR="00FD1F4F">
        <w:t>,</w:t>
      </w:r>
      <w:r>
        <w:t xml:space="preserve"> CASA undertook a post-implementation review of its structure. The structure, which had been in place since July 2016, was the result of a major review known as Renewing CASA. </w:t>
      </w:r>
    </w:p>
    <w:p w14:paraId="2D89035E" w14:textId="77777777" w:rsidR="000F61DE" w:rsidRDefault="000F61DE" w:rsidP="000F61DE">
      <w:r>
        <w:t>The post-implementation review was not intended to be a substantial restructure but was intended to address some areas of concern and misalignment and to clarify roles and responsibilities. The review process was generally positively received.</w:t>
      </w:r>
    </w:p>
    <w:p w14:paraId="7C52EDA9" w14:textId="77777777" w:rsidR="000F61DE" w:rsidRDefault="000F61DE" w:rsidP="000F61DE">
      <w:pPr>
        <w:rPr>
          <w:rFonts w:ascii="Calibri" w:hAnsi="Calibri"/>
          <w:sz w:val="22"/>
          <w:lang w:val="en-AU"/>
        </w:rPr>
      </w:pPr>
      <w:r>
        <w:t>A new structure commenced on 2 January 2018. Given the nature of the change, CASA’s performance may have been affected by the change process.</w:t>
      </w:r>
    </w:p>
    <w:p w14:paraId="1474554C" w14:textId="77777777" w:rsidR="000F61DE" w:rsidRPr="006C0823" w:rsidRDefault="000F61DE" w:rsidP="000F61DE">
      <w:pPr>
        <w:pStyle w:val="Heading2noTOC"/>
        <w:rPr>
          <w:lang w:val="en-GB"/>
        </w:rPr>
      </w:pPr>
      <w:r w:rsidRPr="006C0823">
        <w:rPr>
          <w:lang w:val="en-GB"/>
        </w:rPr>
        <w:br w:type="page"/>
      </w:r>
      <w:r w:rsidRPr="006C0823">
        <w:rPr>
          <w:lang w:val="en-GB"/>
        </w:rPr>
        <w:lastRenderedPageBreak/>
        <w:t>Goal 1: Maintain and enhance a fair, effective and efficient aviation safety regulat</w:t>
      </w:r>
      <w:r>
        <w:rPr>
          <w:lang w:val="en-GB"/>
        </w:rPr>
        <w:t>ion</w:t>
      </w:r>
      <w:r w:rsidRPr="006C0823">
        <w:rPr>
          <w:lang w:val="en-GB"/>
        </w:rPr>
        <w:t xml:space="preserve"> system</w:t>
      </w:r>
    </w:p>
    <w:p w14:paraId="4DF90379" w14:textId="77777777" w:rsidR="000F61DE" w:rsidRPr="006C0823" w:rsidRDefault="000F61DE" w:rsidP="000F61DE">
      <w:r w:rsidRPr="006C0823">
        <w:t xml:space="preserve">CASA focuses its efforts on maintaining, enhancing and promoting aviation safety, as set out in the </w:t>
      </w:r>
      <w:r w:rsidRPr="006C0823">
        <w:rPr>
          <w:i/>
        </w:rPr>
        <w:t>Civil Aviation Act 1988</w:t>
      </w:r>
      <w:r w:rsidRPr="006C0823">
        <w:t xml:space="preserve"> and in accordance with all government directions. CASA’s work centres on enhancing oversight and surveillance, continuing the regulatory implementation program, continuing to reform Australian-administered airspace and continuing effective enforcement to secure compliance with safety standards.</w:t>
      </w:r>
    </w:p>
    <w:p w14:paraId="65072201" w14:textId="77777777" w:rsidR="000F61DE" w:rsidRPr="00687E4A" w:rsidRDefault="000F61DE" w:rsidP="000F61DE">
      <w:pPr>
        <w:pStyle w:val="Heading3"/>
        <w:rPr>
          <w:lang w:val="en-GB"/>
        </w:rPr>
      </w:pPr>
      <w:r w:rsidRPr="006C0823">
        <w:rPr>
          <w:lang w:val="en-GB"/>
        </w:rPr>
        <w:t xml:space="preserve">Overall </w:t>
      </w:r>
      <w:r w:rsidRPr="00687E4A">
        <w:rPr>
          <w:lang w:val="en-GB"/>
        </w:rPr>
        <w:t>result</w:t>
      </w:r>
    </w:p>
    <w:p w14:paraId="5DB07387" w14:textId="77777777" w:rsidR="000F61DE" w:rsidRPr="00687E4A" w:rsidRDefault="000F61DE" w:rsidP="009A6C3B">
      <w:pPr>
        <w:pStyle w:val="ListParagraph"/>
        <w:numPr>
          <w:ilvl w:val="0"/>
          <w:numId w:val="35"/>
        </w:numPr>
      </w:pPr>
      <w:r w:rsidRPr="00687E4A">
        <w:t>75% of targets met</w:t>
      </w:r>
    </w:p>
    <w:p w14:paraId="554CE2D9" w14:textId="77777777" w:rsidR="000F61DE" w:rsidRPr="00687E4A" w:rsidRDefault="000F61DE" w:rsidP="009A6C3B">
      <w:pPr>
        <w:pStyle w:val="ListParagraph"/>
        <w:numPr>
          <w:ilvl w:val="0"/>
          <w:numId w:val="35"/>
        </w:numPr>
      </w:pPr>
      <w:r w:rsidRPr="00687E4A">
        <w:t>21% substantially completed</w:t>
      </w:r>
    </w:p>
    <w:p w14:paraId="01A792C0" w14:textId="77777777" w:rsidR="000F61DE" w:rsidRPr="00687E4A" w:rsidRDefault="000F61DE" w:rsidP="009A6C3B">
      <w:pPr>
        <w:pStyle w:val="ListParagraph"/>
        <w:numPr>
          <w:ilvl w:val="0"/>
          <w:numId w:val="35"/>
        </w:numPr>
      </w:pPr>
      <w:r w:rsidRPr="00687E4A">
        <w:t>4% delayed</w:t>
      </w:r>
    </w:p>
    <w:p w14:paraId="14B58327" w14:textId="77777777" w:rsidR="000F61DE" w:rsidRPr="00687E4A" w:rsidRDefault="000F61DE" w:rsidP="000F61DE">
      <w:r w:rsidRPr="00687E4A">
        <w:t xml:space="preserve">Of the 28 performance measures in place against this goal, 75 per cent were assessed as on track or completed, 21 per cent were substantially completed and </w:t>
      </w:r>
      <w:r>
        <w:t>4</w:t>
      </w:r>
      <w:r w:rsidRPr="00687E4A">
        <w:t xml:space="preserve"> per cent were delayed.</w:t>
      </w:r>
    </w:p>
    <w:p w14:paraId="127539E0" w14:textId="77777777" w:rsidR="000F61DE" w:rsidRPr="006C0823" w:rsidRDefault="000F61DE" w:rsidP="000F61DE">
      <w:r w:rsidRPr="00687E4A">
        <w:t>CASA’s success against this goal can be measured through its increased and ongoing consultation with the</w:t>
      </w:r>
      <w:r w:rsidRPr="006C0823">
        <w:t xml:space="preserve"> aviation community on regulatory reform</w:t>
      </w:r>
      <w:r>
        <w:t xml:space="preserve"> and on issues which are of mutual interest</w:t>
      </w:r>
      <w:r w:rsidRPr="006C0823">
        <w:t xml:space="preserve">. </w:t>
      </w:r>
      <w:r>
        <w:t xml:space="preserve">In 2017–18, CASA improved its surveillance and made changes to simplify processes for aviation medicals. </w:t>
      </w:r>
    </w:p>
    <w:p w14:paraId="6B7907AD" w14:textId="77777777" w:rsidR="000F61DE" w:rsidRPr="006C0823" w:rsidRDefault="000F61DE" w:rsidP="000F61DE">
      <w:pPr>
        <w:pStyle w:val="Heading3"/>
        <w:rPr>
          <w:lang w:val="en-GB"/>
        </w:rPr>
      </w:pPr>
      <w:r w:rsidRPr="006C0823">
        <w:rPr>
          <w:lang w:val="en-GB"/>
        </w:rPr>
        <w:t>Key achievements</w:t>
      </w:r>
    </w:p>
    <w:p w14:paraId="1D286DF0" w14:textId="77777777" w:rsidR="000F61DE" w:rsidRPr="000F1FB4" w:rsidRDefault="007C5728" w:rsidP="000F61DE">
      <w:pPr>
        <w:pStyle w:val="Bullet"/>
        <w:rPr>
          <w:szCs w:val="24"/>
        </w:rPr>
      </w:pPr>
      <w:r>
        <w:t>Significant changes to aviation medical certification were introduced, including delegation to designated aviation medical examiners (DAMEs) of the authority to issue Class 2 medical certificates; provision for pilots to conduct flying training and non-passenger carrying commercial operations under a Class 2 medical certificate instead of a Class 1 medical certificate; and a general exemption giving effect to a new Basic Class 2 medical certificate assessed to the Austroads standard for commercial driver licences.</w:t>
      </w:r>
    </w:p>
    <w:p w14:paraId="330E4DDB" w14:textId="77777777" w:rsidR="000F61DE" w:rsidRDefault="000F61DE" w:rsidP="000F61DE">
      <w:pPr>
        <w:pStyle w:val="Bullet"/>
      </w:pPr>
      <w:r w:rsidRPr="0097565F">
        <w:t xml:space="preserve">CASA’s sector risk profiling methodology </w:t>
      </w:r>
      <w:r w:rsidR="00B72B01">
        <w:t>was</w:t>
      </w:r>
      <w:r w:rsidRPr="0097565F">
        <w:t xml:space="preserve"> applied to develop risk profiles for </w:t>
      </w:r>
      <w:r>
        <w:t xml:space="preserve">seven sectors: </w:t>
      </w:r>
      <w:r w:rsidRPr="0097565F">
        <w:t>aerial mustering</w:t>
      </w:r>
      <w:r>
        <w:t>,</w:t>
      </w:r>
      <w:r w:rsidRPr="0097565F">
        <w:t xml:space="preserve"> aerodromes</w:t>
      </w:r>
      <w:r>
        <w:t>,</w:t>
      </w:r>
      <w:r w:rsidRPr="0097565F">
        <w:t xml:space="preserve"> small aeroplane transport</w:t>
      </w:r>
      <w:r>
        <w:t>,</w:t>
      </w:r>
      <w:r w:rsidRPr="0097565F">
        <w:t xml:space="preserve"> large aeroplane (exceeding 97 seats) transport</w:t>
      </w:r>
      <w:r>
        <w:t>,</w:t>
      </w:r>
      <w:r w:rsidRPr="0097565F">
        <w:t xml:space="preserve"> aeroplane medical transport</w:t>
      </w:r>
      <w:r>
        <w:t>,</w:t>
      </w:r>
      <w:r w:rsidRPr="0097565F">
        <w:t xml:space="preserve"> helicopter medical transport</w:t>
      </w:r>
      <w:r>
        <w:t xml:space="preserve">, </w:t>
      </w:r>
      <w:r w:rsidRPr="0097565F">
        <w:t xml:space="preserve">and commercial balloon. </w:t>
      </w:r>
      <w:r>
        <w:t>In addition, the Aviation Safety Committee directed that campaign surveillance be cond</w:t>
      </w:r>
      <w:r w:rsidR="00FD1F4F">
        <w:t>uct</w:t>
      </w:r>
      <w:r>
        <w:t>ed in the small aeroplane transport and commercial balloon sectors.</w:t>
      </w:r>
    </w:p>
    <w:p w14:paraId="46CD90D7" w14:textId="77777777" w:rsidR="000F61DE" w:rsidRDefault="009D6DA9" w:rsidP="000F61DE">
      <w:pPr>
        <w:pStyle w:val="Bullet"/>
      </w:pPr>
      <w:r>
        <w:rPr>
          <w:rFonts w:cs="Calibri"/>
          <w:color w:val="212121"/>
          <w:spacing w:val="3"/>
          <w:lang w:eastAsia="en-AU"/>
        </w:rPr>
        <w:t xml:space="preserve">Following the </w:t>
      </w:r>
      <w:r w:rsidR="00AE12B8">
        <w:rPr>
          <w:rFonts w:cs="Calibri"/>
          <w:color w:val="212121"/>
          <w:spacing w:val="3"/>
          <w:lang w:eastAsia="en-AU"/>
        </w:rPr>
        <w:t xml:space="preserve">International Civil Aviation Organization </w:t>
      </w:r>
      <w:r w:rsidR="001A563F">
        <w:rPr>
          <w:rFonts w:cs="Calibri"/>
          <w:color w:val="212121"/>
          <w:spacing w:val="3"/>
          <w:lang w:eastAsia="en-AU"/>
        </w:rPr>
        <w:t xml:space="preserve">(ICAO) </w:t>
      </w:r>
      <w:r w:rsidR="00AE12B8">
        <w:rPr>
          <w:rFonts w:cs="Calibri"/>
          <w:color w:val="212121"/>
          <w:spacing w:val="3"/>
          <w:lang w:eastAsia="en-AU"/>
        </w:rPr>
        <w:t xml:space="preserve">coordinated validation mission, </w:t>
      </w:r>
      <w:r w:rsidRPr="00A95E01">
        <w:rPr>
          <w:rFonts w:cs="Calibri"/>
          <w:color w:val="212121"/>
          <w:spacing w:val="3"/>
          <w:lang w:eastAsia="en-AU"/>
        </w:rPr>
        <w:t>Australia</w:t>
      </w:r>
      <w:r>
        <w:rPr>
          <w:rFonts w:cs="Calibri"/>
          <w:color w:val="212121"/>
          <w:spacing w:val="3"/>
          <w:lang w:eastAsia="en-AU"/>
        </w:rPr>
        <w:t>’</w:t>
      </w:r>
      <w:r w:rsidRPr="00A95E01">
        <w:rPr>
          <w:rFonts w:cs="Calibri"/>
          <w:color w:val="212121"/>
          <w:spacing w:val="3"/>
          <w:lang w:eastAsia="en-AU"/>
        </w:rPr>
        <w:t>s effective implementation rate increas</w:t>
      </w:r>
      <w:r w:rsidR="00AE12B8">
        <w:rPr>
          <w:rFonts w:cs="Calibri"/>
          <w:color w:val="212121"/>
          <w:spacing w:val="3"/>
          <w:lang w:eastAsia="en-AU"/>
        </w:rPr>
        <w:t>ed</w:t>
      </w:r>
      <w:r w:rsidRPr="00A95E01">
        <w:rPr>
          <w:rFonts w:cs="Calibri"/>
          <w:color w:val="212121"/>
          <w:spacing w:val="3"/>
          <w:lang w:eastAsia="en-AU"/>
        </w:rPr>
        <w:t xml:space="preserve"> from 85.05 per cent to 94.98 per cent, increasing our world standing in relation to compliance with ICAO standards and recommendations practices from 44</w:t>
      </w:r>
      <w:r w:rsidRPr="009C7451">
        <w:rPr>
          <w:rFonts w:cs="Calibri"/>
          <w:color w:val="212121"/>
          <w:spacing w:val="3"/>
          <w:lang w:eastAsia="en-AU"/>
        </w:rPr>
        <w:t>th</w:t>
      </w:r>
      <w:r w:rsidRPr="00A95E01">
        <w:rPr>
          <w:rFonts w:cs="Calibri"/>
          <w:color w:val="212121"/>
          <w:spacing w:val="3"/>
          <w:lang w:eastAsia="en-AU"/>
        </w:rPr>
        <w:t xml:space="preserve"> to </w:t>
      </w:r>
      <w:r>
        <w:rPr>
          <w:rFonts w:cs="Calibri"/>
          <w:color w:val="212121"/>
          <w:spacing w:val="3"/>
          <w:lang w:eastAsia="en-AU"/>
        </w:rPr>
        <w:t>sixth</w:t>
      </w:r>
      <w:r w:rsidRPr="00A95E01">
        <w:rPr>
          <w:rFonts w:cs="Calibri"/>
          <w:color w:val="212121"/>
          <w:spacing w:val="3"/>
          <w:lang w:eastAsia="en-AU"/>
        </w:rPr>
        <w:t xml:space="preserve">. </w:t>
      </w:r>
    </w:p>
    <w:p w14:paraId="573A707B" w14:textId="77777777" w:rsidR="000F61DE" w:rsidRPr="00D242B5" w:rsidRDefault="000F61DE" w:rsidP="000F61DE">
      <w:pPr>
        <w:pStyle w:val="Bullet"/>
      </w:pPr>
      <w:r>
        <w:t>CASA’s Office of Airspace Regulation risk assessment database project was completed on 30 June 2018. The database generates site-specific traffic and airspace information and identifies trends in aviation activity or incidents.</w:t>
      </w:r>
    </w:p>
    <w:p w14:paraId="77F9F97E" w14:textId="77777777" w:rsidR="000F61DE" w:rsidRDefault="000F61DE" w:rsidP="000F61DE">
      <w:pPr>
        <w:pStyle w:val="Bullet"/>
      </w:pPr>
      <w:r>
        <w:t>The transition process for Civil Aviation Safety Regulations (</w:t>
      </w:r>
      <w:r w:rsidRPr="00295F15">
        <w:t>CASR</w:t>
      </w:r>
      <w:r>
        <w:t>)</w:t>
      </w:r>
      <w:r w:rsidRPr="00295F15">
        <w:t xml:space="preserve"> Part 129 was completed</w:t>
      </w:r>
      <w:r>
        <w:t>.</w:t>
      </w:r>
      <w:r w:rsidRPr="00295F15">
        <w:t xml:space="preserve"> </w:t>
      </w:r>
      <w:r>
        <w:t>A</w:t>
      </w:r>
      <w:r w:rsidRPr="00295F15">
        <w:t xml:space="preserve">ll 94 </w:t>
      </w:r>
      <w:r>
        <w:t>holders of f</w:t>
      </w:r>
      <w:r w:rsidRPr="00295F15">
        <w:t xml:space="preserve">oreign </w:t>
      </w:r>
      <w:r>
        <w:t>a</w:t>
      </w:r>
      <w:r w:rsidRPr="00295F15">
        <w:t>ir</w:t>
      </w:r>
      <w:r>
        <w:t xml:space="preserve"> transport</w:t>
      </w:r>
      <w:r w:rsidRPr="00295F15">
        <w:t xml:space="preserve"> </w:t>
      </w:r>
      <w:r>
        <w:t>a</w:t>
      </w:r>
      <w:r w:rsidRPr="00295F15">
        <w:t xml:space="preserve">ir </w:t>
      </w:r>
      <w:r>
        <w:t>o</w:t>
      </w:r>
      <w:r w:rsidRPr="00295F15">
        <w:t xml:space="preserve">perator </w:t>
      </w:r>
      <w:r>
        <w:t>c</w:t>
      </w:r>
      <w:r w:rsidRPr="00295F15">
        <w:t>ertificates transitioned within the two-year transition period.</w:t>
      </w:r>
    </w:p>
    <w:p w14:paraId="4BE55CAB" w14:textId="77777777" w:rsidR="000F61DE" w:rsidRDefault="000F61DE" w:rsidP="000F61DE">
      <w:pPr>
        <w:pStyle w:val="Bullet"/>
      </w:pPr>
      <w:r>
        <w:lastRenderedPageBreak/>
        <w:t>T</w:t>
      </w:r>
      <w:r w:rsidRPr="00C93EB3">
        <w:t xml:space="preserve">he </w:t>
      </w:r>
      <w:r>
        <w:t xml:space="preserve">arrangements in place with the </w:t>
      </w:r>
      <w:r w:rsidRPr="00C93EB3">
        <w:t>International Air Transport Association</w:t>
      </w:r>
      <w:r>
        <w:t xml:space="preserve"> (IATA) to provide CASA with access to IATA </w:t>
      </w:r>
      <w:r w:rsidR="00D137C5">
        <w:t>o</w:t>
      </w:r>
      <w:r>
        <w:t xml:space="preserve">perational </w:t>
      </w:r>
      <w:r w:rsidR="00D137C5">
        <w:t>s</w:t>
      </w:r>
      <w:r>
        <w:t xml:space="preserve">afety </w:t>
      </w:r>
      <w:r w:rsidR="00D137C5">
        <w:t>a</w:t>
      </w:r>
      <w:r>
        <w:t>udit reports on foreign operators, to augment existing audit and surveillance activities, were extended in 2017–18 to include Australian international operators.</w:t>
      </w:r>
      <w:r w:rsidRPr="004A36F3">
        <w:t xml:space="preserve"> </w:t>
      </w:r>
      <w:r>
        <w:t>This enhances the effectiveness of CASA’s oversight and surveillance of regulated carriers and contributes to greater efficiency for the operators involved.</w:t>
      </w:r>
    </w:p>
    <w:p w14:paraId="3920FCBD" w14:textId="77777777" w:rsidR="000F61DE" w:rsidRDefault="000F61DE" w:rsidP="000F61DE">
      <w:pPr>
        <w:pStyle w:val="Bullet"/>
      </w:pPr>
      <w:bookmarkStart w:id="46" w:name="_Hlk521405059"/>
      <w:r>
        <w:t xml:space="preserve">CASA is a member of </w:t>
      </w:r>
      <w:r w:rsidR="005D3523">
        <w:t>a counterterrorism s</w:t>
      </w:r>
      <w:r>
        <w:t xml:space="preserve">teering </w:t>
      </w:r>
      <w:r w:rsidR="005D3523">
        <w:t>g</w:t>
      </w:r>
      <w:r>
        <w:t>roup (coordinated by the Department of Home Affairs) examining safety and security aspects of the use of counter-drone technology, and a member of the group’s legal issues sub-committee.</w:t>
      </w:r>
      <w:bookmarkEnd w:id="46"/>
      <w:r>
        <w:t xml:space="preserve"> CASA also engages with academic institutions and other government agencies in the development of </w:t>
      </w:r>
      <w:r w:rsidRPr="006C0823">
        <w:t>remotely piloted aircraft systems</w:t>
      </w:r>
      <w:r>
        <w:t xml:space="preserve"> (RPAS) activities as part of its </w:t>
      </w:r>
      <w:r w:rsidR="005D3523">
        <w:t>s</w:t>
      </w:r>
      <w:r>
        <w:t xml:space="preserve">afety </w:t>
      </w:r>
      <w:r w:rsidR="005D3523">
        <w:t>p</w:t>
      </w:r>
      <w:r>
        <w:t xml:space="preserve">artnerships for </w:t>
      </w:r>
      <w:r w:rsidR="005D3523">
        <w:t>r</w:t>
      </w:r>
      <w:r>
        <w:t xml:space="preserve">esearch and </w:t>
      </w:r>
      <w:r w:rsidR="005D3523">
        <w:t>d</w:t>
      </w:r>
      <w:r>
        <w:t>evelopment initiative.</w:t>
      </w:r>
    </w:p>
    <w:p w14:paraId="418CB8B9" w14:textId="77777777" w:rsidR="000F61DE" w:rsidRDefault="000F61DE" w:rsidP="000F61DE">
      <w:pPr>
        <w:pStyle w:val="Bullet"/>
      </w:pPr>
      <w:r>
        <w:t xml:space="preserve">CASA actively contributed to the work of the Department of Infrastructure, Regional Development and Cities and the Department of Finance in the development of options for managing insurance and indemnity related issues that affect the transition of delegates </w:t>
      </w:r>
      <w:r w:rsidR="000547CC">
        <w:t xml:space="preserve">exercising powers </w:t>
      </w:r>
      <w:r>
        <w:t>under the Civil Aviation Regulations to authorisation holders under the Civil Aviation Safety Regulations.</w:t>
      </w:r>
    </w:p>
    <w:p w14:paraId="4E9777C9" w14:textId="77777777" w:rsidR="000F61DE" w:rsidRPr="006C0823" w:rsidRDefault="000F61DE" w:rsidP="000F61DE">
      <w:pPr>
        <w:pStyle w:val="Heading3"/>
        <w:rPr>
          <w:lang w:val="en-GB"/>
        </w:rPr>
      </w:pPr>
      <w:r w:rsidRPr="006C0823">
        <w:rPr>
          <w:lang w:val="en-GB"/>
        </w:rPr>
        <w:t>Challenges</w:t>
      </w:r>
    </w:p>
    <w:p w14:paraId="23DB270C" w14:textId="77777777" w:rsidR="000F61DE" w:rsidRPr="0071567F" w:rsidRDefault="000F61DE" w:rsidP="000F61DE">
      <w:pPr>
        <w:rPr>
          <w:iCs/>
        </w:rPr>
      </w:pPr>
      <w:r w:rsidRPr="0071567F">
        <w:rPr>
          <w:iCs/>
        </w:rPr>
        <w:t xml:space="preserve">The challenge of maintaining and enhancing a fair, </w:t>
      </w:r>
      <w:r>
        <w:rPr>
          <w:iCs/>
        </w:rPr>
        <w:t xml:space="preserve">proportionate, </w:t>
      </w:r>
      <w:r w:rsidRPr="0071567F">
        <w:rPr>
          <w:iCs/>
        </w:rPr>
        <w:t xml:space="preserve">effective and efficient aviation safety regulatory system revolves around the understanding and balancing of many competing interests, methods and philosophies. </w:t>
      </w:r>
    </w:p>
    <w:p w14:paraId="2975C6B6" w14:textId="77777777" w:rsidR="000F61DE" w:rsidRPr="002616DC" w:rsidRDefault="000F61DE" w:rsidP="000F61DE">
      <w:pPr>
        <w:rPr>
          <w:iCs/>
        </w:rPr>
      </w:pPr>
      <w:r w:rsidRPr="0071567F">
        <w:rPr>
          <w:iCs/>
        </w:rPr>
        <w:t xml:space="preserve">CASA has </w:t>
      </w:r>
      <w:r>
        <w:rPr>
          <w:iCs/>
        </w:rPr>
        <w:t>responded to</w:t>
      </w:r>
      <w:r w:rsidRPr="0071567F">
        <w:rPr>
          <w:iCs/>
        </w:rPr>
        <w:t xml:space="preserve"> the challenge by:</w:t>
      </w:r>
    </w:p>
    <w:p w14:paraId="2654F54F" w14:textId="77777777" w:rsidR="000F61DE" w:rsidRPr="0071567F" w:rsidRDefault="000F61DE" w:rsidP="000F61DE">
      <w:pPr>
        <w:pStyle w:val="Bullet"/>
      </w:pPr>
      <w:r>
        <w:t>leveraging the ASAP and associated technical working groups as part of CASA’s commitment to collaborating with interested parties in a meaningful way</w:t>
      </w:r>
    </w:p>
    <w:p w14:paraId="24538C3A" w14:textId="77777777" w:rsidR="000F61DE" w:rsidRPr="0071567F" w:rsidRDefault="000F61DE" w:rsidP="000F61DE">
      <w:pPr>
        <w:pStyle w:val="Bullet"/>
      </w:pPr>
      <w:r>
        <w:t xml:space="preserve">taking significant steps towards improving </w:t>
      </w:r>
      <w:r w:rsidRPr="0071567F">
        <w:t xml:space="preserve">service systems throughout the organisation to </w:t>
      </w:r>
      <w:r>
        <w:t>enhance the service experience for clients</w:t>
      </w:r>
      <w:r w:rsidRPr="0071567F">
        <w:t xml:space="preserve"> </w:t>
      </w:r>
    </w:p>
    <w:p w14:paraId="34374D36" w14:textId="77777777" w:rsidR="000F61DE" w:rsidRDefault="000F61DE" w:rsidP="000F61DE">
      <w:pPr>
        <w:pStyle w:val="Bullet"/>
      </w:pPr>
      <w:r>
        <w:t>delivering r</w:t>
      </w:r>
      <w:r w:rsidRPr="0071567F">
        <w:t xml:space="preserve">egulatory </w:t>
      </w:r>
      <w:r>
        <w:t>p</w:t>
      </w:r>
      <w:r w:rsidRPr="0071567F">
        <w:t xml:space="preserve">hilosophy </w:t>
      </w:r>
      <w:r>
        <w:t>workshops within the organisation, complemented by a focused program on d</w:t>
      </w:r>
      <w:r w:rsidRPr="00C40BE0">
        <w:t xml:space="preserve">iscretion, </w:t>
      </w:r>
      <w:r>
        <w:t>p</w:t>
      </w:r>
      <w:r w:rsidRPr="00C40BE0">
        <w:t xml:space="preserve">roportionality and </w:t>
      </w:r>
      <w:r>
        <w:t>j</w:t>
      </w:r>
      <w:r w:rsidRPr="00C40BE0">
        <w:t xml:space="preserve">ust </w:t>
      </w:r>
      <w:r>
        <w:t>c</w:t>
      </w:r>
      <w:r w:rsidRPr="00C40BE0">
        <w:t>ulture</w:t>
      </w:r>
    </w:p>
    <w:p w14:paraId="4899D6AD" w14:textId="77777777" w:rsidR="000F61DE" w:rsidRDefault="000F61DE" w:rsidP="000F61DE">
      <w:pPr>
        <w:pStyle w:val="Bullet"/>
      </w:pPr>
      <w:r>
        <w:t>continuing the evolution of CASA’s regulatory posture</w:t>
      </w:r>
      <w:r w:rsidRPr="0071567F">
        <w:t xml:space="preserve">. </w:t>
      </w:r>
    </w:p>
    <w:p w14:paraId="50CD7E51" w14:textId="77777777" w:rsidR="000F61DE" w:rsidRPr="006C0823" w:rsidRDefault="000F61DE" w:rsidP="000F61DE">
      <w:pPr>
        <w:pStyle w:val="Heading3"/>
        <w:rPr>
          <w:lang w:val="en-GB"/>
        </w:rPr>
      </w:pPr>
      <w:r w:rsidRPr="006C0823">
        <w:rPr>
          <w:lang w:val="en-GB"/>
        </w:rPr>
        <w:br w:type="page"/>
      </w:r>
      <w:r w:rsidRPr="006C0823">
        <w:rPr>
          <w:lang w:val="en-GB"/>
        </w:rPr>
        <w:lastRenderedPageBreak/>
        <w:t xml:space="preserve">Key performance area </w:t>
      </w:r>
      <w:r>
        <w:rPr>
          <w:lang w:val="en-GB"/>
        </w:rPr>
        <w:t>–</w:t>
      </w:r>
      <w:r w:rsidRPr="006C0823">
        <w:rPr>
          <w:lang w:val="en-GB"/>
        </w:rPr>
        <w:t xml:space="preserve"> Aviation safety regulation and service delivery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8059"/>
      </w:tblGrid>
      <w:tr w:rsidR="000F61DE" w:rsidRPr="006C0823" w14:paraId="0318F006" w14:textId="77777777" w:rsidTr="009C57EC">
        <w:tc>
          <w:tcPr>
            <w:tcW w:w="531" w:type="pct"/>
            <w:shd w:val="clear" w:color="auto" w:fill="B8CCE4"/>
          </w:tcPr>
          <w:p w14:paraId="7673D099" w14:textId="77777777" w:rsidR="000F61DE" w:rsidRPr="006C0823" w:rsidRDefault="000F61DE" w:rsidP="006E2310">
            <w:pPr>
              <w:pStyle w:val="TableHeading"/>
              <w:spacing w:before="90" w:after="90"/>
              <w:rPr>
                <w:rFonts w:eastAsia="Times New Roman"/>
              </w:rPr>
            </w:pPr>
            <w:r w:rsidRPr="006C0823">
              <w:rPr>
                <w:rFonts w:eastAsia="Times New Roman"/>
              </w:rPr>
              <w:t>Initiative</w:t>
            </w:r>
          </w:p>
          <w:p w14:paraId="5416825B" w14:textId="77777777" w:rsidR="000F61DE" w:rsidRPr="006C0823" w:rsidRDefault="000F61DE" w:rsidP="006E2310">
            <w:pPr>
              <w:pStyle w:val="TableHeading"/>
              <w:spacing w:before="90" w:after="90"/>
              <w:rPr>
                <w:rFonts w:eastAsia="Times New Roman"/>
              </w:rPr>
            </w:pPr>
            <w:r w:rsidRPr="006C0823">
              <w:rPr>
                <w:rFonts w:eastAsia="Times New Roman"/>
              </w:rPr>
              <w:t xml:space="preserve">1.1 </w:t>
            </w:r>
          </w:p>
        </w:tc>
        <w:tc>
          <w:tcPr>
            <w:tcW w:w="4469" w:type="pct"/>
            <w:shd w:val="clear" w:color="auto" w:fill="B8CCE4"/>
          </w:tcPr>
          <w:p w14:paraId="7E93B1CD" w14:textId="77777777" w:rsidR="000F61DE" w:rsidRPr="00E56C0A" w:rsidRDefault="000F61DE" w:rsidP="006E2310">
            <w:pPr>
              <w:pStyle w:val="TableText"/>
              <w:rPr>
                <w:b/>
              </w:rPr>
            </w:pPr>
            <w:r w:rsidRPr="00E56C0A">
              <w:rPr>
                <w:b/>
              </w:rPr>
              <w:t>Ensure the Australian civil aviation safety regulatory regime is complete and optimised for aviation safety performance, taking into account a pragmatic, practical and proportionate approach to regulation as it applies to risk in different industry sectors</w:t>
            </w:r>
          </w:p>
        </w:tc>
      </w:tr>
      <w:tr w:rsidR="000F61DE" w:rsidRPr="006C0823" w14:paraId="5F16E03D" w14:textId="77777777" w:rsidTr="009C57EC">
        <w:tc>
          <w:tcPr>
            <w:tcW w:w="531" w:type="pct"/>
            <w:shd w:val="clear" w:color="auto" w:fill="D9D9D9"/>
          </w:tcPr>
          <w:p w14:paraId="6EBCD50B" w14:textId="77777777" w:rsidR="000F61DE" w:rsidRPr="006C0823" w:rsidRDefault="000F61DE" w:rsidP="006E2310">
            <w:pPr>
              <w:pStyle w:val="TableHeading"/>
              <w:spacing w:before="90" w:after="90"/>
              <w:rPr>
                <w:rFonts w:eastAsia="Times New Roman"/>
              </w:rPr>
            </w:pPr>
            <w:r w:rsidRPr="006C0823">
              <w:rPr>
                <w:rFonts w:eastAsia="Times New Roman"/>
              </w:rPr>
              <w:t>Measure</w:t>
            </w:r>
          </w:p>
        </w:tc>
        <w:tc>
          <w:tcPr>
            <w:tcW w:w="4469" w:type="pct"/>
            <w:shd w:val="clear" w:color="auto" w:fill="D9D9D9"/>
          </w:tcPr>
          <w:p w14:paraId="5D45F00C" w14:textId="77777777" w:rsidR="000F61DE" w:rsidRPr="006C0823" w:rsidRDefault="000F61DE" w:rsidP="006E2310">
            <w:pPr>
              <w:pStyle w:val="TableText"/>
            </w:pPr>
            <w:r>
              <w:rPr>
                <w:rFonts w:cs="ArialMT"/>
                <w:color w:val="000000"/>
              </w:rPr>
              <w:t>D</w:t>
            </w:r>
            <w:r w:rsidRPr="00760D9F">
              <w:rPr>
                <w:rFonts w:cs="ArialMT"/>
                <w:color w:val="000000"/>
              </w:rPr>
              <w:t>evelop and commence implementation of the final tranche of regulatory reform</w:t>
            </w:r>
          </w:p>
        </w:tc>
      </w:tr>
      <w:tr w:rsidR="000F61DE" w:rsidRPr="006C0823" w14:paraId="5C72F7EC" w14:textId="77777777" w:rsidTr="009C57EC">
        <w:tc>
          <w:tcPr>
            <w:tcW w:w="531" w:type="pct"/>
          </w:tcPr>
          <w:p w14:paraId="0BA562DF"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62CECF44" w14:textId="77777777" w:rsidR="000F61DE" w:rsidRPr="006C0823" w:rsidRDefault="000F61DE" w:rsidP="006E2310">
            <w:pPr>
              <w:pStyle w:val="TableHeading"/>
              <w:keepNext w:val="0"/>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32F23DC5" w14:textId="77777777" w:rsidR="000F61DE" w:rsidRPr="00D05F36" w:rsidRDefault="000F61DE" w:rsidP="006E2310">
            <w:pPr>
              <w:rPr>
                <w:rFonts w:ascii="Arial Narrow" w:eastAsia="MS Mincho" w:hAnsi="Arial Narrow" w:cs="Arial"/>
                <w:sz w:val="20"/>
              </w:rPr>
            </w:pPr>
            <w:r w:rsidRPr="00D05F36">
              <w:rPr>
                <w:rFonts w:ascii="Arial Narrow" w:eastAsia="MS Mincho" w:hAnsi="Arial Narrow" w:cs="Arial"/>
                <w:sz w:val="20"/>
              </w:rPr>
              <w:t xml:space="preserve">The final tranche of regulatory reform </w:t>
            </w:r>
            <w:r>
              <w:rPr>
                <w:rFonts w:ascii="Arial Narrow" w:eastAsia="MS Mincho" w:hAnsi="Arial Narrow" w:cs="Arial"/>
                <w:sz w:val="20"/>
              </w:rPr>
              <w:t>–</w:t>
            </w:r>
            <w:r w:rsidRPr="00D05F36">
              <w:rPr>
                <w:rFonts w:ascii="Arial Narrow" w:eastAsia="MS Mincho" w:hAnsi="Arial Narrow" w:cs="Arial"/>
                <w:sz w:val="20"/>
              </w:rPr>
              <w:t xml:space="preserve"> C</w:t>
            </w:r>
            <w:r>
              <w:rPr>
                <w:rFonts w:ascii="Arial Narrow" w:eastAsia="MS Mincho" w:hAnsi="Arial Narrow" w:cs="Arial"/>
                <w:sz w:val="20"/>
              </w:rPr>
              <w:t xml:space="preserve">ivil </w:t>
            </w:r>
            <w:r w:rsidRPr="00D05F36">
              <w:rPr>
                <w:rFonts w:ascii="Arial Narrow" w:eastAsia="MS Mincho" w:hAnsi="Arial Narrow" w:cs="Arial"/>
                <w:sz w:val="20"/>
              </w:rPr>
              <w:t>A</w:t>
            </w:r>
            <w:r>
              <w:rPr>
                <w:rFonts w:ascii="Arial Narrow" w:eastAsia="MS Mincho" w:hAnsi="Arial Narrow" w:cs="Arial"/>
                <w:sz w:val="20"/>
              </w:rPr>
              <w:t xml:space="preserve">viation </w:t>
            </w:r>
            <w:r w:rsidRPr="00D05F36">
              <w:rPr>
                <w:rFonts w:ascii="Arial Narrow" w:eastAsia="MS Mincho" w:hAnsi="Arial Narrow" w:cs="Arial"/>
                <w:sz w:val="20"/>
              </w:rPr>
              <w:t>S</w:t>
            </w:r>
            <w:r>
              <w:rPr>
                <w:rFonts w:ascii="Arial Narrow" w:eastAsia="MS Mincho" w:hAnsi="Arial Narrow" w:cs="Arial"/>
                <w:sz w:val="20"/>
              </w:rPr>
              <w:t xml:space="preserve">afety </w:t>
            </w:r>
            <w:r w:rsidRPr="00D05F36">
              <w:rPr>
                <w:rFonts w:ascii="Arial Narrow" w:eastAsia="MS Mincho" w:hAnsi="Arial Narrow" w:cs="Arial"/>
                <w:sz w:val="20"/>
              </w:rPr>
              <w:t>R</w:t>
            </w:r>
            <w:r>
              <w:rPr>
                <w:rFonts w:ascii="Arial Narrow" w:eastAsia="MS Mincho" w:hAnsi="Arial Narrow" w:cs="Arial"/>
                <w:sz w:val="20"/>
              </w:rPr>
              <w:t>egulations (CASR)</w:t>
            </w:r>
            <w:r w:rsidRPr="00D05F36">
              <w:rPr>
                <w:rFonts w:ascii="Arial Narrow" w:eastAsia="MS Mincho" w:hAnsi="Arial Narrow" w:cs="Arial"/>
                <w:sz w:val="20"/>
              </w:rPr>
              <w:t xml:space="preserve"> Parts 91, </w:t>
            </w:r>
            <w:r w:rsidR="00601D9F" w:rsidRPr="00D05F36">
              <w:rPr>
                <w:rFonts w:ascii="Arial Narrow" w:eastAsia="MS Mincho" w:hAnsi="Arial Narrow" w:cs="Arial"/>
                <w:sz w:val="20"/>
              </w:rPr>
              <w:t xml:space="preserve">103, 105, </w:t>
            </w:r>
            <w:r w:rsidRPr="00D05F36">
              <w:rPr>
                <w:rFonts w:ascii="Arial Narrow" w:eastAsia="MS Mincho" w:hAnsi="Arial Narrow" w:cs="Arial"/>
                <w:sz w:val="20"/>
              </w:rPr>
              <w:t xml:space="preserve">119, 121, </w:t>
            </w:r>
            <w:r w:rsidR="00601D9F" w:rsidRPr="00D05F36">
              <w:rPr>
                <w:rFonts w:ascii="Arial Narrow" w:eastAsia="MS Mincho" w:hAnsi="Arial Narrow" w:cs="Arial"/>
                <w:sz w:val="20"/>
              </w:rPr>
              <w:t>131</w:t>
            </w:r>
            <w:r w:rsidR="00601D9F">
              <w:rPr>
                <w:rFonts w:ascii="Arial Narrow" w:eastAsia="MS Mincho" w:hAnsi="Arial Narrow" w:cs="Arial"/>
                <w:sz w:val="20"/>
              </w:rPr>
              <w:t xml:space="preserve">, </w:t>
            </w:r>
            <w:r w:rsidRPr="00D05F36">
              <w:rPr>
                <w:rFonts w:ascii="Arial Narrow" w:eastAsia="MS Mincho" w:hAnsi="Arial Narrow" w:cs="Arial"/>
                <w:sz w:val="20"/>
              </w:rPr>
              <w:t xml:space="preserve">133, 135, 138 </w:t>
            </w:r>
            <w:r>
              <w:rPr>
                <w:rFonts w:ascii="Arial Narrow" w:eastAsia="MS Mincho" w:hAnsi="Arial Narrow" w:cs="Arial"/>
                <w:sz w:val="20"/>
              </w:rPr>
              <w:t xml:space="preserve">– </w:t>
            </w:r>
            <w:r w:rsidRPr="00D05F36">
              <w:rPr>
                <w:rFonts w:ascii="Arial Narrow" w:eastAsia="MS Mincho" w:hAnsi="Arial Narrow" w:cs="Arial"/>
                <w:sz w:val="20"/>
              </w:rPr>
              <w:t>has commenced.</w:t>
            </w:r>
            <w:r>
              <w:rPr>
                <w:rFonts w:ascii="Arial Narrow" w:eastAsia="MS Mincho" w:hAnsi="Arial Narrow" w:cs="Arial"/>
                <w:sz w:val="20"/>
              </w:rPr>
              <w:t xml:space="preserve"> </w:t>
            </w:r>
            <w:r w:rsidRPr="00D05F36">
              <w:rPr>
                <w:rFonts w:ascii="Arial Narrow" w:eastAsia="MS Mincho" w:hAnsi="Arial Narrow" w:cs="Arial"/>
                <w:sz w:val="20"/>
              </w:rPr>
              <w:t xml:space="preserve">Public consultation for CASR Part 91 and the Part 91 Manual of Standards was completed in May 2018. </w:t>
            </w:r>
          </w:p>
          <w:p w14:paraId="12386EC8" w14:textId="77777777" w:rsidR="000F61DE" w:rsidRPr="00D05F36" w:rsidRDefault="000F61DE" w:rsidP="006E2310">
            <w:pPr>
              <w:rPr>
                <w:rFonts w:ascii="Arial Narrow" w:eastAsia="MS Mincho" w:hAnsi="Arial Narrow" w:cs="Arial"/>
                <w:sz w:val="20"/>
              </w:rPr>
            </w:pPr>
            <w:r w:rsidRPr="00D05F36">
              <w:rPr>
                <w:rFonts w:ascii="Arial Narrow" w:eastAsia="MS Mincho" w:hAnsi="Arial Narrow" w:cs="Arial"/>
                <w:sz w:val="20"/>
              </w:rPr>
              <w:t xml:space="preserve">Aviation Safety Advisory Panel </w:t>
            </w:r>
            <w:r>
              <w:rPr>
                <w:rFonts w:ascii="Arial Narrow" w:eastAsia="MS Mincho" w:hAnsi="Arial Narrow" w:cs="Arial"/>
                <w:sz w:val="20"/>
              </w:rPr>
              <w:t>t</w:t>
            </w:r>
            <w:r w:rsidRPr="00D05F36">
              <w:rPr>
                <w:rFonts w:ascii="Arial Narrow" w:eastAsia="MS Mincho" w:hAnsi="Arial Narrow" w:cs="Arial"/>
                <w:sz w:val="20"/>
              </w:rPr>
              <w:t xml:space="preserve">echnical </w:t>
            </w:r>
            <w:r>
              <w:rPr>
                <w:rFonts w:ascii="Arial Narrow" w:eastAsia="MS Mincho" w:hAnsi="Arial Narrow" w:cs="Arial"/>
                <w:sz w:val="20"/>
              </w:rPr>
              <w:t>w</w:t>
            </w:r>
            <w:r w:rsidRPr="00D05F36">
              <w:rPr>
                <w:rFonts w:ascii="Arial Narrow" w:eastAsia="MS Mincho" w:hAnsi="Arial Narrow" w:cs="Arial"/>
                <w:sz w:val="20"/>
              </w:rPr>
              <w:t xml:space="preserve">orking </w:t>
            </w:r>
            <w:r>
              <w:rPr>
                <w:rFonts w:ascii="Arial Narrow" w:eastAsia="MS Mincho" w:hAnsi="Arial Narrow" w:cs="Arial"/>
                <w:sz w:val="20"/>
              </w:rPr>
              <w:t>g</w:t>
            </w:r>
            <w:r w:rsidRPr="00D05F36">
              <w:rPr>
                <w:rFonts w:ascii="Arial Narrow" w:eastAsia="MS Mincho" w:hAnsi="Arial Narrow" w:cs="Arial"/>
                <w:sz w:val="20"/>
              </w:rPr>
              <w:t xml:space="preserve">roup meetings </w:t>
            </w:r>
            <w:r>
              <w:rPr>
                <w:rFonts w:ascii="Arial Narrow" w:eastAsia="MS Mincho" w:hAnsi="Arial Narrow" w:cs="Arial"/>
                <w:sz w:val="20"/>
              </w:rPr>
              <w:t>were</w:t>
            </w:r>
            <w:r w:rsidRPr="00D05F36">
              <w:rPr>
                <w:rFonts w:ascii="Arial Narrow" w:eastAsia="MS Mincho" w:hAnsi="Arial Narrow" w:cs="Arial"/>
                <w:sz w:val="20"/>
              </w:rPr>
              <w:t xml:space="preserve"> conducted for CASR Parts 121, 133 and 135. CASR Part 119 was discussed at each of the three working group meetings.</w:t>
            </w:r>
          </w:p>
          <w:p w14:paraId="19FEBBAF" w14:textId="77777777" w:rsidR="000F61DE" w:rsidRPr="006C0823" w:rsidRDefault="000F61DE" w:rsidP="006E2310">
            <w:pPr>
              <w:pStyle w:val="TableText"/>
              <w:rPr>
                <w:szCs w:val="22"/>
              </w:rPr>
            </w:pPr>
            <w:r w:rsidRPr="00D05F36">
              <w:rPr>
                <w:rFonts w:eastAsia="MS Mincho" w:cs="Arial"/>
              </w:rPr>
              <w:t xml:space="preserve">CASR Part 149 </w:t>
            </w:r>
            <w:r w:rsidR="00D35C6F">
              <w:rPr>
                <w:rFonts w:eastAsia="MS Mincho" w:cs="Arial"/>
              </w:rPr>
              <w:t>was</w:t>
            </w:r>
            <w:r w:rsidRPr="00D05F36">
              <w:rPr>
                <w:rFonts w:eastAsia="MS Mincho" w:cs="Arial"/>
              </w:rPr>
              <w:t xml:space="preserve"> made in July 2018.</w:t>
            </w:r>
          </w:p>
        </w:tc>
      </w:tr>
      <w:tr w:rsidR="000F61DE" w:rsidRPr="006C0823" w14:paraId="25F13B49" w14:textId="77777777" w:rsidTr="009C57EC">
        <w:tc>
          <w:tcPr>
            <w:tcW w:w="531" w:type="pct"/>
            <w:shd w:val="clear" w:color="auto" w:fill="D9D9D9"/>
          </w:tcPr>
          <w:p w14:paraId="419E0049" w14:textId="77777777" w:rsidR="000F61DE" w:rsidRPr="006C0823" w:rsidRDefault="000F61DE" w:rsidP="006E2310">
            <w:pPr>
              <w:pStyle w:val="TableHeading"/>
              <w:spacing w:before="90" w:after="90"/>
              <w:rPr>
                <w:rFonts w:eastAsia="Times New Roman"/>
              </w:rPr>
            </w:pPr>
            <w:r w:rsidRPr="006C0823">
              <w:rPr>
                <w:rFonts w:eastAsia="Times New Roman"/>
              </w:rPr>
              <w:t>Measure</w:t>
            </w:r>
          </w:p>
        </w:tc>
        <w:tc>
          <w:tcPr>
            <w:tcW w:w="4469" w:type="pct"/>
            <w:shd w:val="clear" w:color="auto" w:fill="D9D9D9"/>
          </w:tcPr>
          <w:p w14:paraId="657DCB68" w14:textId="77777777" w:rsidR="000F61DE" w:rsidRPr="006C0823" w:rsidRDefault="000F61DE" w:rsidP="006E2310">
            <w:pPr>
              <w:pStyle w:val="TableText"/>
            </w:pPr>
            <w:r>
              <w:rPr>
                <w:rFonts w:cs="ArialMT"/>
                <w:color w:val="000000"/>
              </w:rPr>
              <w:t>D</w:t>
            </w:r>
            <w:r w:rsidRPr="00760D9F">
              <w:rPr>
                <w:rFonts w:cs="ArialMT"/>
                <w:color w:val="000000"/>
              </w:rPr>
              <w:t>evelop safety performance indicators</w:t>
            </w:r>
          </w:p>
        </w:tc>
      </w:tr>
      <w:tr w:rsidR="000F61DE" w:rsidRPr="006C0823" w14:paraId="0F8B84DF" w14:textId="77777777" w:rsidTr="009C57EC">
        <w:tc>
          <w:tcPr>
            <w:tcW w:w="531" w:type="pct"/>
          </w:tcPr>
          <w:p w14:paraId="327C2594"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5FBA723C" w14:textId="77777777" w:rsidR="000F61DE" w:rsidRPr="006C0823" w:rsidRDefault="000F61DE" w:rsidP="006E2310">
            <w:pPr>
              <w:pStyle w:val="TableHeading"/>
              <w:keepNext w:val="0"/>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0EBD4EFA" w14:textId="77777777" w:rsidR="000F61DE" w:rsidRPr="00D05F36" w:rsidRDefault="000F61DE" w:rsidP="003E3D4F">
            <w:pPr>
              <w:pStyle w:val="CommentText"/>
              <w:rPr>
                <w:rFonts w:ascii="Arial Narrow" w:hAnsi="Arial Narrow"/>
                <w:sz w:val="20"/>
              </w:rPr>
            </w:pPr>
            <w:r w:rsidRPr="00D05F36">
              <w:rPr>
                <w:rFonts w:ascii="Arial Narrow" w:hAnsi="Arial Narrow"/>
                <w:sz w:val="20"/>
              </w:rPr>
              <w:t xml:space="preserve">The initial phase of a summary of available data sources was finalised. The </w:t>
            </w:r>
            <w:r w:rsidR="003E3D4F">
              <w:rPr>
                <w:rFonts w:ascii="Arial Narrow" w:hAnsi="Arial Narrow"/>
                <w:sz w:val="20"/>
                <w:lang w:val="en-AU"/>
              </w:rPr>
              <w:t xml:space="preserve">report on the </w:t>
            </w:r>
            <w:r w:rsidR="0047760B">
              <w:rPr>
                <w:rFonts w:ascii="Arial Narrow" w:hAnsi="Arial Narrow"/>
                <w:sz w:val="20"/>
                <w:lang w:val="en-AU"/>
              </w:rPr>
              <w:t>d</w:t>
            </w:r>
            <w:r w:rsidRPr="0047760B">
              <w:rPr>
                <w:rFonts w:ascii="Arial Narrow" w:hAnsi="Arial Narrow"/>
                <w:sz w:val="20"/>
              </w:rPr>
              <w:t xml:space="preserve">evelopment of </w:t>
            </w:r>
            <w:r w:rsidR="0047760B">
              <w:rPr>
                <w:rFonts w:ascii="Arial Narrow" w:hAnsi="Arial Narrow"/>
                <w:sz w:val="20"/>
                <w:lang w:val="en-AU"/>
              </w:rPr>
              <w:t>s</w:t>
            </w:r>
            <w:r w:rsidRPr="0047760B">
              <w:rPr>
                <w:rFonts w:ascii="Arial Narrow" w:hAnsi="Arial Narrow"/>
                <w:sz w:val="20"/>
              </w:rPr>
              <w:t xml:space="preserve">afety </w:t>
            </w:r>
            <w:r w:rsidR="0047760B">
              <w:rPr>
                <w:rFonts w:ascii="Arial Narrow" w:hAnsi="Arial Narrow"/>
                <w:sz w:val="20"/>
                <w:lang w:val="en-AU"/>
              </w:rPr>
              <w:t>p</w:t>
            </w:r>
            <w:r w:rsidRPr="0047760B">
              <w:rPr>
                <w:rFonts w:ascii="Arial Narrow" w:hAnsi="Arial Narrow"/>
                <w:sz w:val="20"/>
              </w:rPr>
              <w:t xml:space="preserve">erformance </w:t>
            </w:r>
            <w:r w:rsidR="0047760B">
              <w:rPr>
                <w:rFonts w:ascii="Arial Narrow" w:hAnsi="Arial Narrow"/>
                <w:sz w:val="20"/>
                <w:lang w:val="en-AU"/>
              </w:rPr>
              <w:t>i</w:t>
            </w:r>
            <w:r w:rsidRPr="0047760B">
              <w:rPr>
                <w:rFonts w:ascii="Arial Narrow" w:hAnsi="Arial Narrow"/>
                <w:sz w:val="20"/>
              </w:rPr>
              <w:t xml:space="preserve">ndicators </w:t>
            </w:r>
            <w:r>
              <w:rPr>
                <w:rFonts w:ascii="Arial Narrow" w:hAnsi="Arial Narrow"/>
                <w:sz w:val="20"/>
                <w:lang w:val="en-AU"/>
              </w:rPr>
              <w:t>was</w:t>
            </w:r>
            <w:r w:rsidRPr="00D05F36">
              <w:rPr>
                <w:rFonts w:ascii="Arial Narrow" w:hAnsi="Arial Narrow"/>
                <w:sz w:val="20"/>
              </w:rPr>
              <w:t xml:space="preserve"> completed</w:t>
            </w:r>
            <w:r>
              <w:rPr>
                <w:rFonts w:ascii="Arial Narrow" w:hAnsi="Arial Narrow"/>
                <w:sz w:val="20"/>
                <w:lang w:val="en-AU"/>
              </w:rPr>
              <w:t>,</w:t>
            </w:r>
            <w:r w:rsidRPr="00D05F36">
              <w:rPr>
                <w:rFonts w:ascii="Arial Narrow" w:hAnsi="Arial Narrow"/>
                <w:sz w:val="20"/>
              </w:rPr>
              <w:t xml:space="preserve"> and include</w:t>
            </w:r>
            <w:r>
              <w:rPr>
                <w:rFonts w:ascii="Arial Narrow" w:hAnsi="Arial Narrow"/>
                <w:sz w:val="20"/>
                <w:lang w:val="en-AU"/>
              </w:rPr>
              <w:t>d</w:t>
            </w:r>
            <w:r w:rsidRPr="00D05F36">
              <w:rPr>
                <w:rFonts w:ascii="Arial Narrow" w:hAnsi="Arial Narrow"/>
                <w:sz w:val="20"/>
              </w:rPr>
              <w:t xml:space="preserve"> recommendations on safety performance indicators for CASA and activities t</w:t>
            </w:r>
            <w:r>
              <w:rPr>
                <w:rFonts w:ascii="Arial Narrow" w:hAnsi="Arial Narrow"/>
                <w:sz w:val="20"/>
                <w:lang w:val="en-AU"/>
              </w:rPr>
              <w:t>o</w:t>
            </w:r>
            <w:r w:rsidRPr="00D05F36">
              <w:rPr>
                <w:rFonts w:ascii="Arial Narrow" w:hAnsi="Arial Narrow"/>
                <w:sz w:val="20"/>
              </w:rPr>
              <w:t xml:space="preserve"> support CASA’s understanding of safety performance in the future.</w:t>
            </w:r>
          </w:p>
        </w:tc>
      </w:tr>
      <w:tr w:rsidR="000F61DE" w:rsidRPr="006C0823" w14:paraId="37F5399B" w14:textId="77777777" w:rsidTr="009C57EC">
        <w:tc>
          <w:tcPr>
            <w:tcW w:w="531" w:type="pct"/>
            <w:shd w:val="clear" w:color="auto" w:fill="D9D9D9"/>
          </w:tcPr>
          <w:p w14:paraId="76750D64" w14:textId="77777777" w:rsidR="000F61DE" w:rsidRPr="006C0823" w:rsidRDefault="000F61DE" w:rsidP="006E2310">
            <w:pPr>
              <w:pStyle w:val="TableHeading"/>
              <w:spacing w:before="90" w:after="90"/>
              <w:rPr>
                <w:rFonts w:eastAsia="Times New Roman"/>
              </w:rPr>
            </w:pPr>
            <w:r w:rsidRPr="006C0823">
              <w:rPr>
                <w:rFonts w:eastAsia="Times New Roman"/>
              </w:rPr>
              <w:t>Measure</w:t>
            </w:r>
          </w:p>
        </w:tc>
        <w:tc>
          <w:tcPr>
            <w:tcW w:w="4469" w:type="pct"/>
            <w:shd w:val="clear" w:color="auto" w:fill="D9D9D9"/>
          </w:tcPr>
          <w:p w14:paraId="038F9FE1" w14:textId="77777777" w:rsidR="000F61DE" w:rsidRPr="006C0823" w:rsidRDefault="000F61DE" w:rsidP="006E2310">
            <w:pPr>
              <w:pStyle w:val="TableText"/>
            </w:pPr>
            <w:r>
              <w:rPr>
                <w:rFonts w:cs="ArialMT"/>
                <w:color w:val="000000"/>
              </w:rPr>
              <w:t>E</w:t>
            </w:r>
            <w:r w:rsidRPr="00760D9F">
              <w:rPr>
                <w:rFonts w:cs="ArialMT"/>
                <w:color w:val="000000"/>
              </w:rPr>
              <w:t>nsure all internal process manuals are current</w:t>
            </w:r>
          </w:p>
        </w:tc>
      </w:tr>
      <w:tr w:rsidR="000F61DE" w:rsidRPr="006C0823" w14:paraId="6EF70AAF" w14:textId="77777777" w:rsidTr="009C57EC">
        <w:tc>
          <w:tcPr>
            <w:tcW w:w="531" w:type="pct"/>
          </w:tcPr>
          <w:p w14:paraId="55AFB1FE"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504C5070" w14:textId="77777777" w:rsidR="000F61DE" w:rsidRPr="006C0823" w:rsidRDefault="000F61DE" w:rsidP="006E2310">
            <w:pPr>
              <w:pStyle w:val="TableHeading"/>
              <w:keepNext w:val="0"/>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1AB6B97F" w14:textId="77777777" w:rsidR="000F61DE" w:rsidRPr="006C0823" w:rsidRDefault="000F61DE" w:rsidP="006E2310">
            <w:pPr>
              <w:pStyle w:val="TableText"/>
            </w:pPr>
            <w:r>
              <w:rPr>
                <w:rFonts w:cs="Arial"/>
              </w:rPr>
              <w:t>Internal process manuals were monitored to ensure that the content remained current.</w:t>
            </w:r>
          </w:p>
        </w:tc>
      </w:tr>
      <w:tr w:rsidR="000F61DE" w:rsidRPr="006C0823" w14:paraId="16245CF9" w14:textId="77777777" w:rsidTr="009C57EC">
        <w:tc>
          <w:tcPr>
            <w:tcW w:w="531" w:type="pct"/>
            <w:shd w:val="clear" w:color="auto" w:fill="D9D9D9"/>
          </w:tcPr>
          <w:p w14:paraId="1661DBB4" w14:textId="77777777" w:rsidR="000F61DE" w:rsidRPr="006C0823" w:rsidRDefault="000F61DE" w:rsidP="006E2310">
            <w:pPr>
              <w:pStyle w:val="TableHeading"/>
              <w:spacing w:before="90" w:after="90"/>
              <w:rPr>
                <w:rFonts w:eastAsia="Times New Roman"/>
              </w:rPr>
            </w:pPr>
            <w:r w:rsidRPr="006C0823">
              <w:rPr>
                <w:rFonts w:eastAsia="Times New Roman"/>
              </w:rPr>
              <w:t>Measure</w:t>
            </w:r>
          </w:p>
        </w:tc>
        <w:tc>
          <w:tcPr>
            <w:tcW w:w="4469" w:type="pct"/>
            <w:shd w:val="clear" w:color="auto" w:fill="D9D9D9"/>
          </w:tcPr>
          <w:p w14:paraId="4336533E" w14:textId="77777777" w:rsidR="000F61DE" w:rsidRPr="006C0823" w:rsidRDefault="000F61DE" w:rsidP="006E2310">
            <w:pPr>
              <w:pStyle w:val="TableText"/>
            </w:pPr>
            <w:r>
              <w:rPr>
                <w:rFonts w:cs="ArialMT"/>
                <w:color w:val="000000"/>
              </w:rPr>
              <w:t>Review our</w:t>
            </w:r>
            <w:r w:rsidRPr="00760D9F">
              <w:rPr>
                <w:rFonts w:cs="ArialMT"/>
                <w:color w:val="000000"/>
              </w:rPr>
              <w:t xml:space="preserve"> RPAS safety regulatory strategy to </w:t>
            </w:r>
            <w:r>
              <w:rPr>
                <w:rFonts w:cs="ArialMT"/>
                <w:color w:val="000000"/>
              </w:rPr>
              <w:t>inform</w:t>
            </w:r>
            <w:r w:rsidRPr="00760D9F">
              <w:rPr>
                <w:rFonts w:cs="ArialMT"/>
                <w:color w:val="000000"/>
              </w:rPr>
              <w:t xml:space="preserve"> future regulation of RPAS</w:t>
            </w:r>
            <w:r>
              <w:rPr>
                <w:rFonts w:cs="ArialMT"/>
                <w:color w:val="000000"/>
              </w:rPr>
              <w:t xml:space="preserve"> in consultation with the Government, industry and the community</w:t>
            </w:r>
          </w:p>
        </w:tc>
      </w:tr>
      <w:tr w:rsidR="000F61DE" w:rsidRPr="006C0823" w14:paraId="5063711D" w14:textId="77777777" w:rsidTr="009C57EC">
        <w:tc>
          <w:tcPr>
            <w:tcW w:w="531" w:type="pct"/>
            <w:shd w:val="clear" w:color="auto" w:fill="auto"/>
          </w:tcPr>
          <w:p w14:paraId="0C0F8212"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49FD9633" w14:textId="77777777" w:rsidR="000F61DE" w:rsidRPr="006C0823" w:rsidRDefault="000F61DE" w:rsidP="006E2310">
            <w:pPr>
              <w:pStyle w:val="TableHeading"/>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shd w:val="clear" w:color="auto" w:fill="auto"/>
          </w:tcPr>
          <w:p w14:paraId="2077FC12" w14:textId="77777777" w:rsidR="00EA74CF" w:rsidRPr="00D05F36" w:rsidRDefault="00EA74CF" w:rsidP="00EA74CF">
            <w:pPr>
              <w:pStyle w:val="TableText1"/>
              <w:rPr>
                <w:rFonts w:cs="Arial"/>
              </w:rPr>
            </w:pPr>
            <w:r w:rsidRPr="00D05F36">
              <w:rPr>
                <w:rFonts w:cs="Arial"/>
              </w:rPr>
              <w:t xml:space="preserve">CASA </w:t>
            </w:r>
            <w:r>
              <w:rPr>
                <w:rFonts w:cs="Arial"/>
              </w:rPr>
              <w:t>publish</w:t>
            </w:r>
            <w:r w:rsidRPr="00D05F36">
              <w:rPr>
                <w:rFonts w:cs="Arial"/>
              </w:rPr>
              <w:t>ed a high-level policy document</w:t>
            </w:r>
            <w:r>
              <w:rPr>
                <w:rFonts w:cs="Arial"/>
              </w:rPr>
              <w:t>,</w:t>
            </w:r>
            <w:r w:rsidRPr="00D05F36">
              <w:rPr>
                <w:rFonts w:cs="Arial"/>
              </w:rPr>
              <w:t xml:space="preserve"> the </w:t>
            </w:r>
            <w:r w:rsidRPr="00357E80">
              <w:rPr>
                <w:rFonts w:cs="Arial"/>
                <w:i/>
              </w:rPr>
              <w:t>Review of Aviation Safety Regulation of Remotely Piloted Aircraft Systems</w:t>
            </w:r>
            <w:r>
              <w:t xml:space="preserve"> report</w:t>
            </w:r>
            <w:r>
              <w:rPr>
                <w:rFonts w:cs="Arial"/>
              </w:rPr>
              <w:t>,</w:t>
            </w:r>
            <w:r w:rsidRPr="00D05F36">
              <w:rPr>
                <w:rFonts w:cs="Arial"/>
              </w:rPr>
              <w:t xml:space="preserve"> </w:t>
            </w:r>
            <w:r>
              <w:rPr>
                <w:rFonts w:cs="Arial"/>
              </w:rPr>
              <w:t>on</w:t>
            </w:r>
            <w:r w:rsidRPr="00D05F36">
              <w:rPr>
                <w:rFonts w:cs="Arial"/>
              </w:rPr>
              <w:t xml:space="preserve"> 10 May 2018. The report </w:t>
            </w:r>
            <w:r>
              <w:rPr>
                <w:rFonts w:cs="Arial"/>
              </w:rPr>
              <w:t>wa</w:t>
            </w:r>
            <w:r w:rsidRPr="00D05F36">
              <w:rPr>
                <w:rFonts w:cs="Arial"/>
              </w:rPr>
              <w:t xml:space="preserve">s informed by analysis of </w:t>
            </w:r>
            <w:r>
              <w:rPr>
                <w:rFonts w:cs="Arial"/>
              </w:rPr>
              <w:t xml:space="preserve">a </w:t>
            </w:r>
            <w:r w:rsidRPr="00D05F36">
              <w:rPr>
                <w:rFonts w:cs="Arial"/>
              </w:rPr>
              <w:t xml:space="preserve">2017 </w:t>
            </w:r>
            <w:r>
              <w:rPr>
                <w:rFonts w:cs="Arial"/>
              </w:rPr>
              <w:t>d</w:t>
            </w:r>
            <w:r w:rsidRPr="00D05F36">
              <w:rPr>
                <w:rFonts w:cs="Arial"/>
              </w:rPr>
              <w:t>iscussion paper. CASA will consider the Government</w:t>
            </w:r>
            <w:r>
              <w:rPr>
                <w:rFonts w:cs="Arial"/>
              </w:rPr>
              <w:t xml:space="preserve">’s response to the recommendations from the Senate </w:t>
            </w:r>
            <w:r w:rsidRPr="00D05F36">
              <w:rPr>
                <w:rFonts w:cs="Arial"/>
              </w:rPr>
              <w:t xml:space="preserve">Rural and Regional Affairs </w:t>
            </w:r>
            <w:r>
              <w:rPr>
                <w:rFonts w:cs="Arial"/>
              </w:rPr>
              <w:t xml:space="preserve">and </w:t>
            </w:r>
            <w:r w:rsidRPr="00D05F36">
              <w:rPr>
                <w:rFonts w:cs="Arial"/>
              </w:rPr>
              <w:t xml:space="preserve">Transport </w:t>
            </w:r>
            <w:r>
              <w:rPr>
                <w:rFonts w:cs="Arial"/>
              </w:rPr>
              <w:t xml:space="preserve">References Committee </w:t>
            </w:r>
            <w:r w:rsidRPr="00D05F36">
              <w:rPr>
                <w:rFonts w:cs="Arial"/>
              </w:rPr>
              <w:t>as required.</w:t>
            </w:r>
          </w:p>
          <w:p w14:paraId="360DF457" w14:textId="77777777" w:rsidR="000F61DE" w:rsidRPr="006C0823" w:rsidRDefault="00EA74CF" w:rsidP="00EA74CF">
            <w:pPr>
              <w:pStyle w:val="TableText"/>
            </w:pPr>
            <w:r w:rsidRPr="00D05F36">
              <w:rPr>
                <w:rFonts w:cs="Arial"/>
              </w:rPr>
              <w:t>The regulatory roadmap is under development. CASA will work with consultants to further develop content in 2018–19.</w:t>
            </w:r>
          </w:p>
        </w:tc>
      </w:tr>
      <w:tr w:rsidR="000F61DE" w:rsidRPr="006C0823" w14:paraId="4E109467" w14:textId="77777777" w:rsidTr="009C57EC">
        <w:tc>
          <w:tcPr>
            <w:tcW w:w="531" w:type="pct"/>
            <w:shd w:val="clear" w:color="auto" w:fill="D9D9D9"/>
          </w:tcPr>
          <w:p w14:paraId="11F758A1" w14:textId="77777777" w:rsidR="000F61DE" w:rsidRPr="006C0823" w:rsidRDefault="000F61DE" w:rsidP="006E2310">
            <w:pPr>
              <w:pStyle w:val="TableHeading"/>
              <w:spacing w:before="90" w:after="90"/>
              <w:rPr>
                <w:rFonts w:eastAsia="Times New Roman"/>
              </w:rPr>
            </w:pPr>
            <w:r w:rsidRPr="006C0823">
              <w:rPr>
                <w:rFonts w:eastAsia="Times New Roman"/>
              </w:rPr>
              <w:t>Measure</w:t>
            </w:r>
          </w:p>
        </w:tc>
        <w:tc>
          <w:tcPr>
            <w:tcW w:w="4469" w:type="pct"/>
            <w:shd w:val="clear" w:color="auto" w:fill="D9D9D9"/>
          </w:tcPr>
          <w:p w14:paraId="590FCBF6" w14:textId="77777777" w:rsidR="000F61DE" w:rsidRPr="006C0823" w:rsidRDefault="000F61DE" w:rsidP="006E2310">
            <w:pPr>
              <w:pStyle w:val="TableText"/>
            </w:pPr>
            <w:r>
              <w:rPr>
                <w:rFonts w:cs="ArialMT"/>
                <w:color w:val="000000"/>
              </w:rPr>
              <w:t>C</w:t>
            </w:r>
            <w:r w:rsidRPr="00B05844">
              <w:rPr>
                <w:rFonts w:cs="ArialMT"/>
                <w:color w:val="000000"/>
              </w:rPr>
              <w:t>ontinue</w:t>
            </w:r>
            <w:r>
              <w:rPr>
                <w:rFonts w:cs="ArialMT"/>
                <w:color w:val="000000"/>
              </w:rPr>
              <w:t xml:space="preserve"> the implementation of the Government’s response to the Aviation Safety Regulation Review</w:t>
            </w:r>
          </w:p>
        </w:tc>
      </w:tr>
      <w:tr w:rsidR="000F61DE" w:rsidRPr="006C0823" w14:paraId="7F69A35D" w14:textId="77777777" w:rsidTr="009C57EC">
        <w:tc>
          <w:tcPr>
            <w:tcW w:w="531" w:type="pct"/>
          </w:tcPr>
          <w:p w14:paraId="6D1A0CCE"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1B6A2F6D" w14:textId="77777777" w:rsidR="000F61DE" w:rsidRPr="006C0823" w:rsidRDefault="000F61DE" w:rsidP="006E2310">
            <w:pPr>
              <w:pStyle w:val="TableHeading"/>
              <w:keepNext w:val="0"/>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53AA3459" w14:textId="77777777" w:rsidR="000F61DE" w:rsidRPr="00D05F36" w:rsidRDefault="000F61DE" w:rsidP="006E2310">
            <w:pPr>
              <w:pStyle w:val="TableText1"/>
            </w:pPr>
            <w:r>
              <w:t>Two</w:t>
            </w:r>
            <w:r w:rsidRPr="00B81BEF">
              <w:t xml:space="preserve"> Aviation Safety Regulation Review (ASRR)</w:t>
            </w:r>
            <w:r w:rsidRPr="00D05F36">
              <w:t xml:space="preserve"> recommendations</w:t>
            </w:r>
            <w:r>
              <w:t xml:space="preserve">, 32 and 33, are yet </w:t>
            </w:r>
            <w:r w:rsidRPr="00D05F36">
              <w:t xml:space="preserve">to </w:t>
            </w:r>
            <w:r>
              <w:t xml:space="preserve">be </w:t>
            </w:r>
            <w:r w:rsidRPr="00D05F36">
              <w:t>complete</w:t>
            </w:r>
            <w:r>
              <w:t>d</w:t>
            </w:r>
            <w:r w:rsidRPr="00D05F36">
              <w:t xml:space="preserve">. </w:t>
            </w:r>
            <w:r>
              <w:t xml:space="preserve">Implementation of </w:t>
            </w:r>
            <w:r w:rsidRPr="00D05F36">
              <w:t xml:space="preserve">Recommendation 32 will not begin until after the </w:t>
            </w:r>
            <w:r>
              <w:t>o</w:t>
            </w:r>
            <w:r w:rsidRPr="00D05F36">
              <w:t xml:space="preserve">perations </w:t>
            </w:r>
            <w:r>
              <w:t>s</w:t>
            </w:r>
            <w:r w:rsidRPr="00D05F36">
              <w:t>uite</w:t>
            </w:r>
            <w:r w:rsidR="0047760B">
              <w:t xml:space="preserve"> of</w:t>
            </w:r>
            <w:r w:rsidRPr="00D05F36">
              <w:t xml:space="preserve"> Parts ha</w:t>
            </w:r>
            <w:r w:rsidR="00AB2602">
              <w:t>s</w:t>
            </w:r>
            <w:r w:rsidRPr="00D05F36">
              <w:t xml:space="preserve"> been finalised</w:t>
            </w:r>
            <w:r>
              <w:t>.</w:t>
            </w:r>
            <w:r w:rsidRPr="00D05F36">
              <w:t xml:space="preserve"> Recommendation 33 </w:t>
            </w:r>
            <w:r>
              <w:t>is being implemented</w:t>
            </w:r>
            <w:r w:rsidRPr="00D05F36">
              <w:t xml:space="preserve"> in line with the regulatory </w:t>
            </w:r>
            <w:r w:rsidR="003553CE">
              <w:t xml:space="preserve">reform </w:t>
            </w:r>
            <w:r w:rsidRPr="00D05F36">
              <w:t>timeline.</w:t>
            </w:r>
          </w:p>
          <w:p w14:paraId="43A72CAC" w14:textId="77777777" w:rsidR="000F61DE" w:rsidRPr="006C0823" w:rsidRDefault="000F61DE" w:rsidP="006E2310">
            <w:pPr>
              <w:pStyle w:val="TableText"/>
            </w:pPr>
            <w:r w:rsidRPr="00D05F36">
              <w:t xml:space="preserve">Recommendations 23 and 25 were completed </w:t>
            </w:r>
            <w:r>
              <w:t xml:space="preserve">on </w:t>
            </w:r>
            <w:r w:rsidRPr="00D05F36">
              <w:t>1 November 2017 when changes to CASA’s surveillance came into effect.</w:t>
            </w:r>
          </w:p>
        </w:tc>
      </w:tr>
      <w:tr w:rsidR="000F61DE" w:rsidRPr="006C0823" w14:paraId="0E616826" w14:textId="77777777" w:rsidTr="009C57EC">
        <w:tc>
          <w:tcPr>
            <w:tcW w:w="531" w:type="pct"/>
            <w:shd w:val="clear" w:color="auto" w:fill="B8CCE4"/>
          </w:tcPr>
          <w:p w14:paraId="12AD21AC" w14:textId="77777777" w:rsidR="000F61DE" w:rsidRPr="006C0823" w:rsidRDefault="000F61DE" w:rsidP="006E2310">
            <w:pPr>
              <w:pStyle w:val="TableHeading"/>
              <w:spacing w:before="90" w:after="90"/>
              <w:rPr>
                <w:rFonts w:eastAsia="Times New Roman"/>
              </w:rPr>
            </w:pPr>
            <w:r w:rsidRPr="006C0823">
              <w:rPr>
                <w:rFonts w:eastAsia="Times New Roman"/>
              </w:rPr>
              <w:t>Initiative</w:t>
            </w:r>
          </w:p>
          <w:p w14:paraId="16F172C4" w14:textId="77777777" w:rsidR="000F61DE" w:rsidRPr="006C0823" w:rsidRDefault="000F61DE" w:rsidP="006E2310">
            <w:pPr>
              <w:pStyle w:val="TableHeading"/>
              <w:spacing w:before="90" w:after="90"/>
              <w:rPr>
                <w:rFonts w:eastAsia="Times New Roman"/>
                <w:color w:val="C6D9F1"/>
              </w:rPr>
            </w:pPr>
            <w:r w:rsidRPr="006C0823">
              <w:rPr>
                <w:rFonts w:eastAsia="Times New Roman"/>
              </w:rPr>
              <w:t xml:space="preserve">1.2 </w:t>
            </w:r>
          </w:p>
        </w:tc>
        <w:tc>
          <w:tcPr>
            <w:tcW w:w="4469" w:type="pct"/>
            <w:shd w:val="clear" w:color="auto" w:fill="B8CCE4"/>
          </w:tcPr>
          <w:p w14:paraId="47CC9448" w14:textId="77777777" w:rsidR="000F61DE" w:rsidRPr="00E56C0A" w:rsidRDefault="000F61DE" w:rsidP="006E2310">
            <w:pPr>
              <w:pStyle w:val="TableText"/>
              <w:rPr>
                <w:rFonts w:eastAsia="Times New Roman"/>
              </w:rPr>
            </w:pPr>
            <w:r w:rsidRPr="00E56C0A">
              <w:rPr>
                <w:b/>
              </w:rPr>
              <w:t>Ensure CASA’s actions achieve the requisite aviation safety performance without unnecessarily impeding industry and important public interests</w:t>
            </w:r>
          </w:p>
        </w:tc>
      </w:tr>
      <w:tr w:rsidR="000F61DE" w:rsidRPr="006C0823" w14:paraId="69191BFC" w14:textId="77777777" w:rsidTr="009C57EC">
        <w:tc>
          <w:tcPr>
            <w:tcW w:w="531" w:type="pct"/>
            <w:shd w:val="clear" w:color="auto" w:fill="D9D9D9"/>
          </w:tcPr>
          <w:p w14:paraId="49E5330D" w14:textId="77777777" w:rsidR="000F61DE" w:rsidRPr="006C0823" w:rsidRDefault="000F61DE" w:rsidP="006E2310">
            <w:pPr>
              <w:pStyle w:val="TableHeading"/>
              <w:spacing w:before="90" w:after="90"/>
              <w:rPr>
                <w:rFonts w:eastAsia="Times New Roman"/>
              </w:rPr>
            </w:pPr>
            <w:r w:rsidRPr="006C0823">
              <w:rPr>
                <w:rFonts w:eastAsia="Times New Roman"/>
              </w:rPr>
              <w:t>Measure</w:t>
            </w:r>
          </w:p>
        </w:tc>
        <w:tc>
          <w:tcPr>
            <w:tcW w:w="4469" w:type="pct"/>
            <w:shd w:val="clear" w:color="auto" w:fill="D9D9D9"/>
          </w:tcPr>
          <w:p w14:paraId="78E44ADE" w14:textId="77777777" w:rsidR="000F61DE" w:rsidRPr="006C0823" w:rsidRDefault="000F61DE" w:rsidP="006E2310">
            <w:pPr>
              <w:pStyle w:val="TableText"/>
              <w:rPr>
                <w:rFonts w:eastAsia="Times New Roman"/>
              </w:rPr>
            </w:pPr>
            <w:r>
              <w:t>Embed the principles of CASA’s regulatory philosophy across the workforce</w:t>
            </w:r>
          </w:p>
        </w:tc>
      </w:tr>
      <w:tr w:rsidR="000F61DE" w:rsidRPr="006C0823" w14:paraId="7321466C" w14:textId="77777777" w:rsidTr="009C57EC">
        <w:trPr>
          <w:trHeight w:val="238"/>
        </w:trPr>
        <w:tc>
          <w:tcPr>
            <w:tcW w:w="531" w:type="pct"/>
          </w:tcPr>
          <w:p w14:paraId="03537DC6"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350CC5A2" w14:textId="77777777" w:rsidR="000F61DE" w:rsidRPr="006C0823" w:rsidRDefault="000F61DE" w:rsidP="006E2310">
            <w:pPr>
              <w:pStyle w:val="TableHeading"/>
              <w:keepNext w:val="0"/>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4606B43E" w14:textId="77777777" w:rsidR="003F1D90" w:rsidRDefault="003F1D90" w:rsidP="003F1D90">
            <w:pPr>
              <w:pStyle w:val="TableText"/>
              <w:rPr>
                <w:rFonts w:cs="Arial"/>
              </w:rPr>
            </w:pPr>
            <w:r>
              <w:rPr>
                <w:rFonts w:cs="Arial"/>
              </w:rPr>
              <w:t>CASA completed revisions of its</w:t>
            </w:r>
            <w:r w:rsidRPr="008056D8">
              <w:rPr>
                <w:rFonts w:cs="Arial"/>
              </w:rPr>
              <w:t xml:space="preserve"> program and materials </w:t>
            </w:r>
            <w:r>
              <w:rPr>
                <w:rFonts w:cs="Arial"/>
              </w:rPr>
              <w:t>for</w:t>
            </w:r>
            <w:r w:rsidRPr="008056D8">
              <w:rPr>
                <w:rFonts w:cs="Arial"/>
              </w:rPr>
              <w:t xml:space="preserve"> inculcati</w:t>
            </w:r>
            <w:r>
              <w:rPr>
                <w:rFonts w:cs="Arial"/>
              </w:rPr>
              <w:t>ng the principles of the regulatory philosophy among</w:t>
            </w:r>
            <w:r w:rsidRPr="008056D8">
              <w:rPr>
                <w:rFonts w:cs="Arial"/>
              </w:rPr>
              <w:t xml:space="preserve"> manage</w:t>
            </w:r>
            <w:r>
              <w:rPr>
                <w:rFonts w:cs="Arial"/>
              </w:rPr>
              <w:t>rs</w:t>
            </w:r>
            <w:r w:rsidRPr="008056D8">
              <w:rPr>
                <w:rFonts w:cs="Arial"/>
              </w:rPr>
              <w:t xml:space="preserve"> and staff</w:t>
            </w:r>
            <w:r>
              <w:rPr>
                <w:rFonts w:cs="Arial"/>
              </w:rPr>
              <w:t>.</w:t>
            </w:r>
          </w:p>
          <w:p w14:paraId="0A3D7795" w14:textId="77777777" w:rsidR="000F61DE" w:rsidRPr="006C0823" w:rsidRDefault="003F1D90" w:rsidP="003F1D90">
            <w:pPr>
              <w:pStyle w:val="TableText"/>
            </w:pPr>
            <w:r>
              <w:rPr>
                <w:rFonts w:cs="Arial"/>
              </w:rPr>
              <w:t>A program of focused workshops on discretion, proportionality and just culture is under development for delivery in the fourth quarter of 2018 and early 2019. A targeted pilot workshop was delivered for new remotely piloted aircraft systems inspectors. New workshops on implementing the regulatory philosophy are to be delivered in 2019, with a view to including industry participants.</w:t>
            </w:r>
          </w:p>
        </w:tc>
      </w:tr>
      <w:tr w:rsidR="000F61DE" w:rsidRPr="006C0823" w14:paraId="63D47AD6" w14:textId="77777777" w:rsidTr="009C57EC">
        <w:tc>
          <w:tcPr>
            <w:tcW w:w="531" w:type="pct"/>
            <w:shd w:val="clear" w:color="auto" w:fill="D9D9D9"/>
          </w:tcPr>
          <w:p w14:paraId="5E979F62" w14:textId="77777777" w:rsidR="000F61DE" w:rsidRPr="006C0823" w:rsidRDefault="000F61DE" w:rsidP="006E2310">
            <w:pPr>
              <w:pStyle w:val="TableHeading"/>
              <w:spacing w:before="90" w:after="90"/>
              <w:rPr>
                <w:rFonts w:eastAsia="Times New Roman"/>
              </w:rPr>
            </w:pPr>
            <w:r w:rsidRPr="006C0823">
              <w:rPr>
                <w:rFonts w:eastAsia="Times New Roman"/>
              </w:rPr>
              <w:lastRenderedPageBreak/>
              <w:t>Measure</w:t>
            </w:r>
          </w:p>
        </w:tc>
        <w:tc>
          <w:tcPr>
            <w:tcW w:w="4469" w:type="pct"/>
            <w:shd w:val="clear" w:color="auto" w:fill="D9D9D9"/>
          </w:tcPr>
          <w:p w14:paraId="79CA6012" w14:textId="77777777" w:rsidR="000F61DE" w:rsidRPr="006C0823" w:rsidRDefault="000F61DE" w:rsidP="006E2310">
            <w:pPr>
              <w:pStyle w:val="TableText"/>
              <w:rPr>
                <w:rFonts w:eastAsia="Times New Roman"/>
              </w:rPr>
            </w:pPr>
            <w:r>
              <w:t>Develop and measure performance against service delivery standards for all regulatory services tasks</w:t>
            </w:r>
          </w:p>
        </w:tc>
      </w:tr>
      <w:tr w:rsidR="000F61DE" w:rsidRPr="006C0823" w14:paraId="56F0B56B" w14:textId="77777777" w:rsidTr="009C57EC">
        <w:trPr>
          <w:trHeight w:val="238"/>
        </w:trPr>
        <w:tc>
          <w:tcPr>
            <w:tcW w:w="531" w:type="pct"/>
          </w:tcPr>
          <w:p w14:paraId="69795DF3"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701616EE" w14:textId="77777777" w:rsidR="000F61DE" w:rsidRPr="006C0823" w:rsidRDefault="000F61DE" w:rsidP="006E2310">
            <w:pPr>
              <w:pStyle w:val="TableHeading"/>
              <w:keepNext w:val="0"/>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1A7A98A2" w14:textId="77777777" w:rsidR="00EF73E8" w:rsidRPr="00EF73E8" w:rsidRDefault="00EF73E8" w:rsidP="006E2310">
            <w:pPr>
              <w:rPr>
                <w:rFonts w:ascii="Arial Narrow" w:hAnsi="Arial Narrow" w:cs="Arial"/>
                <w:sz w:val="20"/>
              </w:rPr>
            </w:pPr>
            <w:bookmarkStart w:id="47" w:name="_Hlk518389692"/>
            <w:r w:rsidRPr="00EF73E8">
              <w:rPr>
                <w:rFonts w:ascii="Arial Narrow" w:hAnsi="Arial Narrow" w:cs="Arial"/>
                <w:sz w:val="20"/>
              </w:rPr>
              <w:t>Development of a national oversight plan to manage CASA priorities in conducting regulatory services, surveillance and national sector campaigns was agreed, and scoping work commenced for the associated improvement to be delivered in 2018–20.</w:t>
            </w:r>
          </w:p>
          <w:p w14:paraId="6C3E2F2E" w14:textId="77777777" w:rsidR="000F61DE" w:rsidRPr="00EF73E8" w:rsidRDefault="000F61DE" w:rsidP="006E2310">
            <w:pPr>
              <w:rPr>
                <w:rFonts w:ascii="Arial Narrow" w:hAnsi="Arial Narrow" w:cs="Arial"/>
                <w:sz w:val="20"/>
              </w:rPr>
            </w:pPr>
            <w:r w:rsidRPr="00EF73E8">
              <w:rPr>
                <w:rFonts w:ascii="Arial Narrow" w:hAnsi="Arial Narrow" w:cs="Arial"/>
                <w:sz w:val="20"/>
              </w:rPr>
              <w:t xml:space="preserve">Work commenced on a new operating model which will establish baselines for quantity, quality and timeliness of services, so that practical indicators are defined for measured and managed regulatory services tasks. </w:t>
            </w:r>
            <w:bookmarkEnd w:id="47"/>
          </w:p>
          <w:p w14:paraId="28A4D79F" w14:textId="77777777" w:rsidR="000F61DE" w:rsidRPr="00EF73E8" w:rsidRDefault="000F61DE" w:rsidP="006E2310">
            <w:pPr>
              <w:pStyle w:val="TableText"/>
            </w:pPr>
            <w:r w:rsidRPr="00EF73E8">
              <w:rPr>
                <w:rFonts w:cs="Arial"/>
              </w:rPr>
              <w:t xml:space="preserve">CASA has established </w:t>
            </w:r>
            <w:r w:rsidR="003553CE" w:rsidRPr="00EF73E8">
              <w:rPr>
                <w:rFonts w:cs="Arial"/>
              </w:rPr>
              <w:t>a</w:t>
            </w:r>
            <w:r w:rsidRPr="00EF73E8">
              <w:rPr>
                <w:rFonts w:cs="Arial"/>
              </w:rPr>
              <w:t xml:space="preserve"> team to define and introduce a national operating model to monitor and review divisional performance against targets and time frames for regulatory service and surveillance functions.</w:t>
            </w:r>
          </w:p>
        </w:tc>
      </w:tr>
      <w:tr w:rsidR="000F61DE" w:rsidRPr="006C0823" w14:paraId="683742C6" w14:textId="77777777" w:rsidTr="009C57EC">
        <w:trPr>
          <w:trHeight w:val="238"/>
        </w:trPr>
        <w:tc>
          <w:tcPr>
            <w:tcW w:w="531" w:type="pct"/>
            <w:shd w:val="clear" w:color="auto" w:fill="D0CECE"/>
          </w:tcPr>
          <w:p w14:paraId="6B6CAEB9" w14:textId="77777777" w:rsidR="000F61DE" w:rsidRPr="006C0823" w:rsidRDefault="000F61DE" w:rsidP="006E2310">
            <w:pPr>
              <w:pStyle w:val="TableHeading"/>
              <w:keepNext w:val="0"/>
              <w:spacing w:before="90" w:after="90"/>
              <w:rPr>
                <w:rFonts w:eastAsia="Times New Roman"/>
              </w:rPr>
            </w:pPr>
            <w:r w:rsidRPr="006C0823">
              <w:rPr>
                <w:rFonts w:eastAsia="Times New Roman"/>
              </w:rPr>
              <w:t>Measure</w:t>
            </w:r>
          </w:p>
        </w:tc>
        <w:tc>
          <w:tcPr>
            <w:tcW w:w="4469" w:type="pct"/>
            <w:shd w:val="clear" w:color="auto" w:fill="D0CECE"/>
          </w:tcPr>
          <w:p w14:paraId="4377DBC7" w14:textId="77777777" w:rsidR="000F61DE" w:rsidRPr="006C0823" w:rsidRDefault="000F61DE" w:rsidP="006E2310">
            <w:pPr>
              <w:pStyle w:val="TableText"/>
            </w:pPr>
            <w:r>
              <w:t>Implement an internationally-benchmarked process for establishing unsafe conditions in-service</w:t>
            </w:r>
            <w:r>
              <w:br/>
              <w:t>(airworthiness directives)</w:t>
            </w:r>
          </w:p>
        </w:tc>
      </w:tr>
      <w:tr w:rsidR="000F61DE" w:rsidRPr="006C0823" w14:paraId="378C1318" w14:textId="77777777" w:rsidTr="009C57EC">
        <w:trPr>
          <w:trHeight w:val="238"/>
        </w:trPr>
        <w:tc>
          <w:tcPr>
            <w:tcW w:w="531" w:type="pct"/>
          </w:tcPr>
          <w:p w14:paraId="2B098BD5"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2846456B" w14:textId="77777777" w:rsidR="000F61DE" w:rsidRPr="006C0823" w:rsidRDefault="000F61DE" w:rsidP="006E2310">
            <w:pPr>
              <w:pStyle w:val="TableHeading"/>
              <w:keepNext w:val="0"/>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2AE1E7F3" w14:textId="77777777" w:rsidR="000F61DE" w:rsidRPr="006C0823" w:rsidRDefault="000F61DE" w:rsidP="006E2310">
            <w:pPr>
              <w:pStyle w:val="TableText"/>
            </w:pPr>
            <w:r>
              <w:rPr>
                <w:rFonts w:eastAsia="MS Mincho" w:cs="Arial"/>
              </w:rPr>
              <w:t xml:space="preserve">A new process to consider airworthiness concerns and issues was developed </w:t>
            </w:r>
            <w:r w:rsidRPr="00166969">
              <w:rPr>
                <w:rFonts w:eastAsia="MS Mincho" w:cs="Arial"/>
              </w:rPr>
              <w:t>and is under trial. The process is internationally benchmarked against E</w:t>
            </w:r>
            <w:r>
              <w:rPr>
                <w:rFonts w:eastAsia="MS Mincho" w:cs="Arial"/>
              </w:rPr>
              <w:t xml:space="preserve">uropean </w:t>
            </w:r>
            <w:r w:rsidRPr="00166969">
              <w:rPr>
                <w:rFonts w:eastAsia="MS Mincho" w:cs="Arial"/>
              </w:rPr>
              <w:t>A</w:t>
            </w:r>
            <w:r>
              <w:rPr>
                <w:rFonts w:eastAsia="MS Mincho" w:cs="Arial"/>
              </w:rPr>
              <w:t xml:space="preserve">viation </w:t>
            </w:r>
            <w:r w:rsidRPr="00166969">
              <w:rPr>
                <w:rFonts w:eastAsia="MS Mincho" w:cs="Arial"/>
              </w:rPr>
              <w:t>S</w:t>
            </w:r>
            <w:r>
              <w:rPr>
                <w:rFonts w:eastAsia="MS Mincho" w:cs="Arial"/>
              </w:rPr>
              <w:t xml:space="preserve">afety </w:t>
            </w:r>
            <w:r w:rsidRPr="00166969">
              <w:rPr>
                <w:rFonts w:eastAsia="MS Mincho" w:cs="Arial"/>
              </w:rPr>
              <w:t>A</w:t>
            </w:r>
            <w:r>
              <w:rPr>
                <w:rFonts w:eastAsia="MS Mincho" w:cs="Arial"/>
              </w:rPr>
              <w:t>gency</w:t>
            </w:r>
            <w:r w:rsidRPr="00166969">
              <w:rPr>
                <w:rFonts w:eastAsia="MS Mincho" w:cs="Arial"/>
              </w:rPr>
              <w:t xml:space="preserve"> and </w:t>
            </w:r>
            <w:r>
              <w:rPr>
                <w:rFonts w:eastAsia="MS Mincho" w:cs="Arial"/>
              </w:rPr>
              <w:t xml:space="preserve">United States </w:t>
            </w:r>
            <w:r w:rsidRPr="00166969">
              <w:rPr>
                <w:rFonts w:eastAsia="MS Mincho" w:cs="Arial"/>
              </w:rPr>
              <w:t>F</w:t>
            </w:r>
            <w:r>
              <w:rPr>
                <w:rFonts w:eastAsia="MS Mincho" w:cs="Arial"/>
              </w:rPr>
              <w:t xml:space="preserve">ederal </w:t>
            </w:r>
            <w:r w:rsidRPr="00166969">
              <w:rPr>
                <w:rFonts w:eastAsia="MS Mincho" w:cs="Arial"/>
              </w:rPr>
              <w:t>A</w:t>
            </w:r>
            <w:r>
              <w:rPr>
                <w:rFonts w:eastAsia="MS Mincho" w:cs="Arial"/>
              </w:rPr>
              <w:t xml:space="preserve">viation </w:t>
            </w:r>
            <w:r w:rsidRPr="00166969">
              <w:rPr>
                <w:rFonts w:eastAsia="MS Mincho" w:cs="Arial"/>
              </w:rPr>
              <w:t>A</w:t>
            </w:r>
            <w:r>
              <w:rPr>
                <w:rFonts w:eastAsia="MS Mincho" w:cs="Arial"/>
              </w:rPr>
              <w:t>dministration (FAA)</w:t>
            </w:r>
            <w:r w:rsidRPr="00166969">
              <w:rPr>
                <w:rFonts w:eastAsia="MS Mincho" w:cs="Arial"/>
              </w:rPr>
              <w:t xml:space="preserve"> equivalents.</w:t>
            </w:r>
            <w:r w:rsidRPr="006C0823">
              <w:t xml:space="preserve"> </w:t>
            </w:r>
          </w:p>
        </w:tc>
      </w:tr>
      <w:tr w:rsidR="000F61DE" w:rsidRPr="006C0823" w14:paraId="7481342F" w14:textId="77777777" w:rsidTr="009C57EC">
        <w:tc>
          <w:tcPr>
            <w:tcW w:w="531" w:type="pct"/>
            <w:shd w:val="clear" w:color="auto" w:fill="B8CCE4"/>
          </w:tcPr>
          <w:p w14:paraId="13C553F1" w14:textId="77777777" w:rsidR="000F61DE" w:rsidRPr="006C0823" w:rsidRDefault="000F61DE" w:rsidP="006E2310">
            <w:pPr>
              <w:pStyle w:val="TableHeading"/>
              <w:spacing w:before="90" w:after="90"/>
              <w:rPr>
                <w:rFonts w:eastAsia="Times New Roman"/>
              </w:rPr>
            </w:pPr>
            <w:r w:rsidRPr="006C0823">
              <w:rPr>
                <w:rFonts w:eastAsia="Times New Roman"/>
              </w:rPr>
              <w:t>Initiative</w:t>
            </w:r>
          </w:p>
          <w:p w14:paraId="1431FE53" w14:textId="77777777" w:rsidR="000F61DE" w:rsidRPr="006C0823" w:rsidRDefault="000F61DE" w:rsidP="006E2310">
            <w:pPr>
              <w:pStyle w:val="TableHeading"/>
              <w:keepNext w:val="0"/>
              <w:spacing w:before="90" w:after="90"/>
              <w:rPr>
                <w:rFonts w:eastAsia="Times New Roman"/>
              </w:rPr>
            </w:pPr>
            <w:r w:rsidRPr="006C0823">
              <w:rPr>
                <w:rFonts w:eastAsia="Times New Roman"/>
              </w:rPr>
              <w:t xml:space="preserve">1.3 </w:t>
            </w:r>
          </w:p>
        </w:tc>
        <w:tc>
          <w:tcPr>
            <w:tcW w:w="4469" w:type="pct"/>
            <w:shd w:val="clear" w:color="auto" w:fill="B8CCE4"/>
          </w:tcPr>
          <w:p w14:paraId="5CF66B5A" w14:textId="77777777" w:rsidR="000F61DE" w:rsidRPr="00E56C0A" w:rsidRDefault="000F61DE" w:rsidP="006E2310">
            <w:pPr>
              <w:pStyle w:val="TableText"/>
              <w:rPr>
                <w:rFonts w:eastAsia="Times New Roman"/>
              </w:rPr>
            </w:pPr>
            <w:r w:rsidRPr="00E56C0A">
              <w:rPr>
                <w:b/>
              </w:rPr>
              <w:t>Promote, develop and improve CASA’s regulatory philosophy</w:t>
            </w:r>
          </w:p>
        </w:tc>
      </w:tr>
      <w:tr w:rsidR="000F61DE" w:rsidRPr="006C0823" w14:paraId="5F13ABA0" w14:textId="77777777" w:rsidTr="009C57EC">
        <w:tc>
          <w:tcPr>
            <w:tcW w:w="531" w:type="pct"/>
            <w:shd w:val="clear" w:color="auto" w:fill="D9D9D9"/>
          </w:tcPr>
          <w:p w14:paraId="1BBBDCC6" w14:textId="77777777" w:rsidR="000F61DE" w:rsidRPr="006C0823" w:rsidRDefault="000F61DE" w:rsidP="006E2310">
            <w:pPr>
              <w:pStyle w:val="TableHeading"/>
              <w:spacing w:before="90" w:after="90"/>
              <w:rPr>
                <w:rFonts w:eastAsia="Times New Roman"/>
                <w:color w:val="C6D9F1"/>
              </w:rPr>
            </w:pPr>
            <w:r w:rsidRPr="006C0823">
              <w:rPr>
                <w:rFonts w:eastAsia="Times New Roman"/>
              </w:rPr>
              <w:t>Measure</w:t>
            </w:r>
          </w:p>
        </w:tc>
        <w:tc>
          <w:tcPr>
            <w:tcW w:w="4469" w:type="pct"/>
            <w:shd w:val="clear" w:color="auto" w:fill="D9D9D9"/>
          </w:tcPr>
          <w:p w14:paraId="11114869" w14:textId="77777777" w:rsidR="000F61DE" w:rsidRPr="006C0823" w:rsidRDefault="000F61DE" w:rsidP="006E2310">
            <w:pPr>
              <w:pStyle w:val="TableText"/>
              <w:rPr>
                <w:rFonts w:eastAsia="Times New Roman"/>
              </w:rPr>
            </w:pPr>
            <w:r>
              <w:rPr>
                <w:rFonts w:cs="ArialMT"/>
                <w:color w:val="000000"/>
              </w:rPr>
              <w:t>I</w:t>
            </w:r>
            <w:r w:rsidRPr="00760D9F">
              <w:rPr>
                <w:rFonts w:cs="ArialMT"/>
                <w:color w:val="000000"/>
              </w:rPr>
              <w:t xml:space="preserve">mplement </w:t>
            </w:r>
            <w:r>
              <w:rPr>
                <w:rFonts w:cs="ArialMT"/>
                <w:color w:val="000000"/>
              </w:rPr>
              <w:t>and monitor compliance with the principles of CASA’s regulatory philosophy</w:t>
            </w:r>
          </w:p>
        </w:tc>
      </w:tr>
      <w:tr w:rsidR="000F61DE" w:rsidRPr="006C0823" w14:paraId="3674B007" w14:textId="77777777" w:rsidTr="009C57EC">
        <w:tc>
          <w:tcPr>
            <w:tcW w:w="531" w:type="pct"/>
          </w:tcPr>
          <w:p w14:paraId="10ABFDE8"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31386C86" w14:textId="77777777" w:rsidR="000F61DE" w:rsidRPr="006C0823" w:rsidRDefault="000F61DE" w:rsidP="006E2310">
            <w:pPr>
              <w:pStyle w:val="TableHeading"/>
              <w:keepNext w:val="0"/>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5CA80FD8" w14:textId="77777777" w:rsidR="000F61DE" w:rsidRPr="006C0823" w:rsidRDefault="000F61DE" w:rsidP="006E2310">
            <w:pPr>
              <w:pStyle w:val="TableText"/>
              <w:rPr>
                <w:rFonts w:eastAsia="Times New Roman"/>
              </w:rPr>
            </w:pPr>
            <w:r>
              <w:rPr>
                <w:rFonts w:cs="Arial"/>
              </w:rPr>
              <w:t>CASA managers and staff in line areas are working together on complaints about deficient or defective implementation of the principles of CASA’s regulatory philosophy. Processes are being reinvigorated to ensure that actions taken in line with regulatory philosophy principles are recorded (internally and in communications with stakeholders). These approaches will be included in future training programs for CASA inspectorate staff and their managers.</w:t>
            </w:r>
          </w:p>
        </w:tc>
      </w:tr>
      <w:tr w:rsidR="000F61DE" w:rsidRPr="006C0823" w14:paraId="422F08EB" w14:textId="77777777" w:rsidTr="009C57EC">
        <w:trPr>
          <w:trHeight w:val="238"/>
        </w:trPr>
        <w:tc>
          <w:tcPr>
            <w:tcW w:w="531" w:type="pct"/>
            <w:shd w:val="clear" w:color="auto" w:fill="D9D9D9"/>
          </w:tcPr>
          <w:p w14:paraId="3591DF39" w14:textId="77777777" w:rsidR="000F61DE" w:rsidRPr="006C0823" w:rsidRDefault="000F61DE" w:rsidP="006E2310">
            <w:pPr>
              <w:pStyle w:val="TableHeading"/>
              <w:spacing w:before="90" w:after="90"/>
              <w:rPr>
                <w:rFonts w:eastAsia="Times New Roman"/>
              </w:rPr>
            </w:pPr>
            <w:r w:rsidRPr="006C0823">
              <w:rPr>
                <w:rFonts w:eastAsia="Times New Roman"/>
              </w:rPr>
              <w:t>Measure</w:t>
            </w:r>
          </w:p>
        </w:tc>
        <w:tc>
          <w:tcPr>
            <w:tcW w:w="4469" w:type="pct"/>
            <w:shd w:val="clear" w:color="auto" w:fill="D9D9D9"/>
          </w:tcPr>
          <w:p w14:paraId="382D7004" w14:textId="77777777" w:rsidR="000F61DE" w:rsidRPr="006C0823" w:rsidRDefault="000F61DE" w:rsidP="006E2310">
            <w:pPr>
              <w:pStyle w:val="TableText"/>
              <w:rPr>
                <w:rFonts w:eastAsia="Times New Roman"/>
              </w:rPr>
            </w:pPr>
            <w:r>
              <w:rPr>
                <w:rFonts w:cs="ArialMT"/>
                <w:color w:val="000000"/>
              </w:rPr>
              <w:t>I</w:t>
            </w:r>
            <w:r w:rsidRPr="00760D9F">
              <w:rPr>
                <w:rFonts w:cs="ArialMT"/>
                <w:color w:val="000000"/>
              </w:rPr>
              <w:t>mplement a multi-phased internal and external communication plan to raise awareness and understanding of CASA’s regulatory philosophy</w:t>
            </w:r>
          </w:p>
        </w:tc>
      </w:tr>
      <w:tr w:rsidR="000F61DE" w:rsidRPr="006C0823" w14:paraId="19BB2A0B" w14:textId="77777777" w:rsidTr="009C57EC">
        <w:trPr>
          <w:trHeight w:val="238"/>
        </w:trPr>
        <w:tc>
          <w:tcPr>
            <w:tcW w:w="531" w:type="pct"/>
          </w:tcPr>
          <w:p w14:paraId="2175F371"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4509083F" w14:textId="77777777" w:rsidR="000F61DE" w:rsidRPr="006C0823" w:rsidRDefault="000F61DE" w:rsidP="006E2310">
            <w:pPr>
              <w:pStyle w:val="TableHeading"/>
              <w:keepNext w:val="0"/>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068E3CB2" w14:textId="77777777" w:rsidR="000F61DE" w:rsidRPr="006C0823" w:rsidRDefault="003F1D90" w:rsidP="003F1D90">
            <w:pPr>
              <w:pStyle w:val="TableText1"/>
              <w:rPr>
                <w:rFonts w:eastAsia="Times New Roman"/>
              </w:rPr>
            </w:pPr>
            <w:r>
              <w:t xml:space="preserve">Enhanced training programs </w:t>
            </w:r>
            <w:r w:rsidR="000D1D1B">
              <w:t>have been</w:t>
            </w:r>
            <w:r>
              <w:t xml:space="preserve"> developed to raise awareness and understanding of CASA’s regulatory philosophy among CASA management and staff as well as members of the aviation community. </w:t>
            </w:r>
          </w:p>
        </w:tc>
      </w:tr>
      <w:tr w:rsidR="000F61DE" w:rsidRPr="006C0823" w14:paraId="46A472A0" w14:textId="77777777" w:rsidTr="009C57EC">
        <w:trPr>
          <w:trHeight w:val="238"/>
        </w:trPr>
        <w:tc>
          <w:tcPr>
            <w:tcW w:w="531" w:type="pct"/>
            <w:shd w:val="clear" w:color="auto" w:fill="D9D9D9"/>
          </w:tcPr>
          <w:p w14:paraId="3C48B65F" w14:textId="77777777" w:rsidR="000F61DE" w:rsidRPr="006C0823" w:rsidRDefault="000F61DE" w:rsidP="006E2310">
            <w:pPr>
              <w:pStyle w:val="TableHeading"/>
              <w:spacing w:before="90" w:after="90"/>
              <w:rPr>
                <w:rFonts w:eastAsia="Times New Roman"/>
              </w:rPr>
            </w:pPr>
            <w:r w:rsidRPr="006C0823">
              <w:rPr>
                <w:rFonts w:eastAsia="Times New Roman"/>
              </w:rPr>
              <w:t>Measure</w:t>
            </w:r>
          </w:p>
        </w:tc>
        <w:tc>
          <w:tcPr>
            <w:tcW w:w="4469" w:type="pct"/>
            <w:shd w:val="clear" w:color="auto" w:fill="D9D9D9"/>
          </w:tcPr>
          <w:p w14:paraId="4C893433" w14:textId="77777777" w:rsidR="000F61DE" w:rsidRPr="006C0823" w:rsidRDefault="000F61DE" w:rsidP="00EF73E8">
            <w:pPr>
              <w:pStyle w:val="TableText"/>
              <w:rPr>
                <w:rFonts w:eastAsia="Times New Roman"/>
              </w:rPr>
            </w:pPr>
            <w:r>
              <w:rPr>
                <w:rFonts w:cs="ArialMT"/>
                <w:color w:val="000000"/>
              </w:rPr>
              <w:t>D</w:t>
            </w:r>
            <w:r w:rsidRPr="00565CD8">
              <w:rPr>
                <w:rFonts w:cs="ArialMT"/>
                <w:color w:val="000000"/>
              </w:rPr>
              <w:t xml:space="preserve">evelop and introduce strategies and practices </w:t>
            </w:r>
            <w:r>
              <w:rPr>
                <w:rFonts w:cs="ArialMT"/>
                <w:color w:val="000000"/>
              </w:rPr>
              <w:t>which</w:t>
            </w:r>
            <w:r w:rsidRPr="00565CD8">
              <w:rPr>
                <w:rFonts w:cs="ArialMT"/>
                <w:color w:val="000000"/>
              </w:rPr>
              <w:t xml:space="preserve"> foster voluntary compliance and the achievement of higher standards of safety</w:t>
            </w:r>
          </w:p>
        </w:tc>
      </w:tr>
      <w:tr w:rsidR="000F61DE" w:rsidRPr="006C0823" w14:paraId="5932FE83" w14:textId="77777777" w:rsidTr="009C57EC">
        <w:trPr>
          <w:trHeight w:val="238"/>
        </w:trPr>
        <w:tc>
          <w:tcPr>
            <w:tcW w:w="531" w:type="pct"/>
            <w:shd w:val="clear" w:color="auto" w:fill="auto"/>
          </w:tcPr>
          <w:p w14:paraId="2DCE45C2"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5D56F0F3" w14:textId="77777777" w:rsidR="000F61DE" w:rsidRPr="006C0823" w:rsidRDefault="000F61DE" w:rsidP="006E2310">
            <w:pPr>
              <w:pStyle w:val="TableHeading"/>
              <w:spacing w:before="90" w:after="90"/>
              <w:rPr>
                <w:rFonts w:eastAsia="Times New Roman"/>
              </w:rPr>
            </w:pPr>
            <w:r w:rsidRPr="006C0823">
              <w:rPr>
                <w:rFonts w:eastAsia="Times New Roman"/>
              </w:rPr>
              <w:sym w:font="Wingdings" w:char="F0FC"/>
            </w:r>
            <w:r w:rsidRPr="006C0823">
              <w:rPr>
                <w:rFonts w:eastAsia="Times New Roman"/>
              </w:rPr>
              <w:sym w:font="Wingdings" w:char="F0FC"/>
            </w:r>
          </w:p>
        </w:tc>
        <w:tc>
          <w:tcPr>
            <w:tcW w:w="4469" w:type="pct"/>
            <w:shd w:val="clear" w:color="auto" w:fill="auto"/>
          </w:tcPr>
          <w:p w14:paraId="6B66936F" w14:textId="77777777" w:rsidR="000F61DE" w:rsidRPr="00565CD8" w:rsidRDefault="000F61DE" w:rsidP="006E2310">
            <w:pPr>
              <w:pStyle w:val="TableText"/>
              <w:rPr>
                <w:rFonts w:cs="ArialMT"/>
                <w:color w:val="000000"/>
              </w:rPr>
            </w:pPr>
            <w:r>
              <w:rPr>
                <w:rFonts w:cs="Arial"/>
              </w:rPr>
              <w:t xml:space="preserve">An initiative for the promulgation of </w:t>
            </w:r>
            <w:r w:rsidRPr="008C50B6">
              <w:t>special safety notifications</w:t>
            </w:r>
            <w:r>
              <w:t xml:space="preserve"> similar to</w:t>
            </w:r>
            <w:r>
              <w:rPr>
                <w:rFonts w:cs="Arial"/>
              </w:rPr>
              <w:t xml:space="preserve"> the FAA’s Safety Alerts for Operators is under review, with a view to the introduction of an appropriate mechanism in the </w:t>
            </w:r>
            <w:r w:rsidRPr="008C50B6">
              <w:t>first</w:t>
            </w:r>
            <w:r>
              <w:rPr>
                <w:rFonts w:cs="Arial"/>
              </w:rPr>
              <w:t xml:space="preserve"> quarter of 2018–19.</w:t>
            </w:r>
          </w:p>
        </w:tc>
      </w:tr>
      <w:tr w:rsidR="000F61DE" w:rsidRPr="006C0823" w14:paraId="3D10D56E" w14:textId="77777777" w:rsidTr="009C57EC">
        <w:trPr>
          <w:trHeight w:val="238"/>
        </w:trPr>
        <w:tc>
          <w:tcPr>
            <w:tcW w:w="531" w:type="pct"/>
            <w:shd w:val="clear" w:color="auto" w:fill="D9D9D9"/>
          </w:tcPr>
          <w:p w14:paraId="145AC4BB" w14:textId="77777777" w:rsidR="000F61DE" w:rsidRPr="006C0823" w:rsidRDefault="000F61DE" w:rsidP="006E2310">
            <w:pPr>
              <w:pStyle w:val="TableHeading"/>
              <w:spacing w:before="90" w:after="90"/>
              <w:rPr>
                <w:rFonts w:eastAsia="Times New Roman"/>
              </w:rPr>
            </w:pPr>
            <w:r w:rsidRPr="006C0823">
              <w:rPr>
                <w:rFonts w:eastAsia="Times New Roman"/>
              </w:rPr>
              <w:t>Measure</w:t>
            </w:r>
          </w:p>
        </w:tc>
        <w:tc>
          <w:tcPr>
            <w:tcW w:w="4469" w:type="pct"/>
            <w:shd w:val="clear" w:color="auto" w:fill="D9D9D9"/>
          </w:tcPr>
          <w:p w14:paraId="7939E4F0" w14:textId="77777777" w:rsidR="000F61DE" w:rsidRPr="00565CD8" w:rsidRDefault="000F61DE" w:rsidP="006E2310">
            <w:pPr>
              <w:pStyle w:val="TableText"/>
              <w:rPr>
                <w:rFonts w:cs="ArialMT"/>
                <w:color w:val="000000"/>
              </w:rPr>
            </w:pPr>
            <w:r>
              <w:rPr>
                <w:rFonts w:cs="ArialMT"/>
                <w:color w:val="000000"/>
              </w:rPr>
              <w:t>C</w:t>
            </w:r>
            <w:r w:rsidRPr="004038BA">
              <w:rPr>
                <w:rFonts w:cs="ArialMT"/>
                <w:color w:val="000000"/>
              </w:rPr>
              <w:t xml:space="preserve">ontinue to develop and deliver enforcement </w:t>
            </w:r>
            <w:r>
              <w:rPr>
                <w:rFonts w:cs="ArialMT"/>
                <w:color w:val="000000"/>
              </w:rPr>
              <w:t xml:space="preserve">and related </w:t>
            </w:r>
            <w:r w:rsidRPr="004038BA">
              <w:rPr>
                <w:rFonts w:cs="ArialMT"/>
                <w:color w:val="000000"/>
              </w:rPr>
              <w:t xml:space="preserve">training to ensure the principles of CASA’s </w:t>
            </w:r>
            <w:r>
              <w:rPr>
                <w:rFonts w:cs="ArialMT"/>
                <w:color w:val="000000"/>
              </w:rPr>
              <w:t>r</w:t>
            </w:r>
            <w:r w:rsidRPr="004038BA">
              <w:rPr>
                <w:rFonts w:cs="ArialMT"/>
                <w:color w:val="000000"/>
              </w:rPr>
              <w:t xml:space="preserve">egulatory </w:t>
            </w:r>
            <w:r>
              <w:rPr>
                <w:rFonts w:cs="ArialMT"/>
                <w:color w:val="000000"/>
              </w:rPr>
              <w:t>p</w:t>
            </w:r>
            <w:r w:rsidRPr="004038BA">
              <w:rPr>
                <w:rFonts w:cs="ArialMT"/>
                <w:color w:val="000000"/>
              </w:rPr>
              <w:t>hilosophy are applied</w:t>
            </w:r>
          </w:p>
        </w:tc>
      </w:tr>
      <w:tr w:rsidR="000F61DE" w:rsidRPr="006C0823" w14:paraId="49658D6A" w14:textId="77777777" w:rsidTr="009C57EC">
        <w:trPr>
          <w:trHeight w:val="238"/>
        </w:trPr>
        <w:tc>
          <w:tcPr>
            <w:tcW w:w="531" w:type="pct"/>
          </w:tcPr>
          <w:p w14:paraId="49D8BBBF"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1AA75F9D" w14:textId="77777777" w:rsidR="000F61DE" w:rsidRPr="006C0823" w:rsidRDefault="000F61DE" w:rsidP="006E2310">
            <w:pPr>
              <w:pStyle w:val="TableHeading"/>
              <w:keepNext w:val="0"/>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220BB99E" w14:textId="77777777" w:rsidR="000F61DE" w:rsidRDefault="000F61DE" w:rsidP="006E2310">
            <w:pPr>
              <w:pStyle w:val="TableText"/>
              <w:rPr>
                <w:rFonts w:cs="Arial"/>
              </w:rPr>
            </w:pPr>
            <w:r>
              <w:rPr>
                <w:rFonts w:cs="Arial"/>
              </w:rPr>
              <w:t>Enforcement-related training was delivered by CASA subject matter experts throughout the organisation. Initial discussions were held on providing appropriate enforcement-related training for the</w:t>
            </w:r>
            <w:r w:rsidRPr="006C0823">
              <w:rPr>
                <w:rFonts w:eastAsia="Times New Roman"/>
              </w:rPr>
              <w:t xml:space="preserve"> Civil Aviation Safety Authority of P</w:t>
            </w:r>
            <w:r>
              <w:rPr>
                <w:rFonts w:eastAsia="Times New Roman"/>
              </w:rPr>
              <w:t xml:space="preserve">apua </w:t>
            </w:r>
            <w:r w:rsidRPr="006C0823">
              <w:rPr>
                <w:rFonts w:eastAsia="Times New Roman"/>
              </w:rPr>
              <w:t>N</w:t>
            </w:r>
            <w:r>
              <w:rPr>
                <w:rFonts w:eastAsia="Times New Roman"/>
              </w:rPr>
              <w:t xml:space="preserve">ew </w:t>
            </w:r>
            <w:r w:rsidRPr="006C0823">
              <w:rPr>
                <w:rFonts w:eastAsia="Times New Roman"/>
              </w:rPr>
              <w:t>G</w:t>
            </w:r>
            <w:r>
              <w:rPr>
                <w:rFonts w:eastAsia="Times New Roman"/>
              </w:rPr>
              <w:t>uinea</w:t>
            </w:r>
            <w:r>
              <w:rPr>
                <w:rFonts w:cs="Arial"/>
              </w:rPr>
              <w:t xml:space="preserve"> and the Indonesian Directorate General of Civil Aviation. </w:t>
            </w:r>
          </w:p>
          <w:p w14:paraId="36DCA2FD" w14:textId="77777777" w:rsidR="000F61DE" w:rsidRPr="006C0823" w:rsidRDefault="000F61DE" w:rsidP="006E2310">
            <w:pPr>
              <w:pStyle w:val="TableText"/>
            </w:pPr>
            <w:r>
              <w:rPr>
                <w:rFonts w:cs="Arial"/>
              </w:rPr>
              <w:t>Presentations on CASA’s recognised best practice approach in this area were made to the Victorian Building Authority and the House of Representatives Standing Committee on Tax and Revenue.</w:t>
            </w:r>
          </w:p>
        </w:tc>
      </w:tr>
      <w:tr w:rsidR="000F61DE" w:rsidRPr="006C0823" w14:paraId="61CAF201" w14:textId="77777777" w:rsidTr="009C57EC">
        <w:tc>
          <w:tcPr>
            <w:tcW w:w="531" w:type="pct"/>
            <w:shd w:val="clear" w:color="auto" w:fill="B8CCE4"/>
          </w:tcPr>
          <w:p w14:paraId="57EEFC9D" w14:textId="77777777" w:rsidR="000F61DE" w:rsidRPr="006C0823" w:rsidRDefault="000F61DE" w:rsidP="006E2310">
            <w:pPr>
              <w:pStyle w:val="TableHeading"/>
              <w:spacing w:before="90" w:after="90"/>
              <w:rPr>
                <w:rFonts w:eastAsia="Times New Roman"/>
              </w:rPr>
            </w:pPr>
            <w:r w:rsidRPr="006C0823">
              <w:rPr>
                <w:rFonts w:eastAsia="Times New Roman"/>
              </w:rPr>
              <w:t>Initiative</w:t>
            </w:r>
          </w:p>
          <w:p w14:paraId="065DFC77" w14:textId="77777777" w:rsidR="000F61DE" w:rsidRPr="006C0823" w:rsidRDefault="000F61DE" w:rsidP="006E2310">
            <w:pPr>
              <w:pStyle w:val="TableHeading"/>
              <w:spacing w:before="90" w:after="90"/>
              <w:rPr>
                <w:rFonts w:eastAsia="Times New Roman"/>
              </w:rPr>
            </w:pPr>
            <w:r w:rsidRPr="006C0823">
              <w:rPr>
                <w:rFonts w:eastAsia="Times New Roman"/>
              </w:rPr>
              <w:t>1.4</w:t>
            </w:r>
          </w:p>
        </w:tc>
        <w:tc>
          <w:tcPr>
            <w:tcW w:w="4469" w:type="pct"/>
            <w:shd w:val="clear" w:color="auto" w:fill="B8CCE4"/>
          </w:tcPr>
          <w:p w14:paraId="5EAB0425" w14:textId="77777777" w:rsidR="000F61DE" w:rsidRPr="00E56C0A" w:rsidRDefault="000F61DE" w:rsidP="006E2310">
            <w:pPr>
              <w:pStyle w:val="TableText"/>
              <w:rPr>
                <w:rFonts w:eastAsia="Times New Roman"/>
              </w:rPr>
            </w:pPr>
            <w:r w:rsidRPr="00E56C0A">
              <w:rPr>
                <w:rFonts w:cs="Arial"/>
                <w:b/>
              </w:rPr>
              <w:t>Improve the client experience through the provision of regulatory and licensing services</w:t>
            </w:r>
          </w:p>
        </w:tc>
      </w:tr>
      <w:tr w:rsidR="000F61DE" w:rsidRPr="006C0823" w14:paraId="6F9B1CEB" w14:textId="77777777" w:rsidTr="009C57EC">
        <w:trPr>
          <w:trHeight w:val="238"/>
        </w:trPr>
        <w:tc>
          <w:tcPr>
            <w:tcW w:w="531" w:type="pct"/>
            <w:shd w:val="clear" w:color="auto" w:fill="D9D9D9"/>
          </w:tcPr>
          <w:p w14:paraId="41B30627" w14:textId="77777777" w:rsidR="000F61DE" w:rsidRPr="006C0823" w:rsidRDefault="000F61DE" w:rsidP="006E2310">
            <w:pPr>
              <w:pStyle w:val="TableHeading"/>
              <w:spacing w:before="90" w:after="90"/>
              <w:rPr>
                <w:rFonts w:eastAsia="Times New Roman"/>
              </w:rPr>
            </w:pPr>
            <w:r w:rsidRPr="006C0823">
              <w:rPr>
                <w:rFonts w:eastAsia="Times New Roman"/>
              </w:rPr>
              <w:t>Measure</w:t>
            </w:r>
          </w:p>
        </w:tc>
        <w:tc>
          <w:tcPr>
            <w:tcW w:w="4469" w:type="pct"/>
            <w:shd w:val="clear" w:color="auto" w:fill="D9D9D9"/>
          </w:tcPr>
          <w:p w14:paraId="0BFFCE54" w14:textId="77777777" w:rsidR="000F61DE" w:rsidRPr="006C0823" w:rsidRDefault="000F61DE" w:rsidP="006E2310">
            <w:pPr>
              <w:pStyle w:val="TableText"/>
              <w:rPr>
                <w:rFonts w:eastAsia="Times New Roman"/>
              </w:rPr>
            </w:pPr>
            <w:r>
              <w:rPr>
                <w:rFonts w:cs="Arial"/>
              </w:rPr>
              <w:t>D</w:t>
            </w:r>
            <w:r w:rsidRPr="00C05D32">
              <w:rPr>
                <w:rFonts w:cs="Arial"/>
              </w:rPr>
              <w:t>evelop a customer service charter that will shape the way we deliver client services</w:t>
            </w:r>
          </w:p>
        </w:tc>
      </w:tr>
      <w:tr w:rsidR="000F61DE" w:rsidRPr="006C0823" w14:paraId="551C8AD3" w14:textId="77777777" w:rsidTr="009C57EC">
        <w:trPr>
          <w:trHeight w:val="238"/>
        </w:trPr>
        <w:tc>
          <w:tcPr>
            <w:tcW w:w="531" w:type="pct"/>
          </w:tcPr>
          <w:p w14:paraId="2CB14A40"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287A3BDD" w14:textId="77777777" w:rsidR="000F61DE" w:rsidRPr="006C0823" w:rsidRDefault="000F61DE" w:rsidP="006E2310">
            <w:pPr>
              <w:pStyle w:val="TableHeading"/>
              <w:spacing w:before="90" w:after="90"/>
              <w:rPr>
                <w:rFonts w:eastAsia="Times New Roman"/>
              </w:rPr>
            </w:pPr>
            <w:r w:rsidRPr="006C0823">
              <w:rPr>
                <w:rFonts w:eastAsia="Times New Roman"/>
              </w:rPr>
              <w:sym w:font="Wingdings" w:char="F0FC"/>
            </w:r>
            <w:r w:rsidRPr="006C0823">
              <w:rPr>
                <w:rFonts w:eastAsia="Times New Roman"/>
              </w:rPr>
              <w:sym w:font="Wingdings" w:char="F0FC"/>
            </w:r>
          </w:p>
        </w:tc>
        <w:tc>
          <w:tcPr>
            <w:tcW w:w="4469" w:type="pct"/>
          </w:tcPr>
          <w:p w14:paraId="7457531E" w14:textId="77777777" w:rsidR="000F61DE" w:rsidRPr="006C0823" w:rsidRDefault="000F61DE" w:rsidP="006E2310">
            <w:pPr>
              <w:pStyle w:val="TableText"/>
              <w:rPr>
                <w:rFonts w:eastAsia="Times New Roman"/>
              </w:rPr>
            </w:pPr>
            <w:r>
              <w:rPr>
                <w:rFonts w:cs="Arial"/>
              </w:rPr>
              <w:t xml:space="preserve">The drafting of the service charter is well advanced and is expected to be finalised in the first quarter of </w:t>
            </w:r>
            <w:r w:rsidR="00A95C6C">
              <w:rPr>
                <w:rFonts w:cs="Arial"/>
              </w:rPr>
              <w:br/>
            </w:r>
            <w:r>
              <w:rPr>
                <w:rFonts w:cs="Arial"/>
              </w:rPr>
              <w:t>2018–19</w:t>
            </w:r>
            <w:r w:rsidRPr="006C0823">
              <w:t>.</w:t>
            </w:r>
          </w:p>
        </w:tc>
      </w:tr>
      <w:tr w:rsidR="000F61DE" w:rsidRPr="006C0823" w14:paraId="3EB32A31" w14:textId="77777777" w:rsidTr="009C57EC">
        <w:trPr>
          <w:trHeight w:val="238"/>
        </w:trPr>
        <w:tc>
          <w:tcPr>
            <w:tcW w:w="531" w:type="pct"/>
            <w:shd w:val="clear" w:color="auto" w:fill="D9D9D9"/>
          </w:tcPr>
          <w:p w14:paraId="4306B444" w14:textId="77777777" w:rsidR="000F61DE" w:rsidRPr="006C0823" w:rsidRDefault="000F61DE" w:rsidP="006E2310">
            <w:pPr>
              <w:pStyle w:val="TableHeading"/>
              <w:spacing w:before="90" w:after="90"/>
              <w:rPr>
                <w:rFonts w:eastAsia="Times New Roman"/>
              </w:rPr>
            </w:pPr>
            <w:r w:rsidRPr="006C0823">
              <w:rPr>
                <w:rFonts w:eastAsia="Times New Roman"/>
              </w:rPr>
              <w:lastRenderedPageBreak/>
              <w:t>Measure</w:t>
            </w:r>
          </w:p>
        </w:tc>
        <w:tc>
          <w:tcPr>
            <w:tcW w:w="4469" w:type="pct"/>
            <w:shd w:val="clear" w:color="auto" w:fill="D9D9D9"/>
          </w:tcPr>
          <w:p w14:paraId="733E78F4" w14:textId="77777777" w:rsidR="000F61DE" w:rsidRPr="006C0823" w:rsidRDefault="000F61DE" w:rsidP="006E2310">
            <w:pPr>
              <w:pStyle w:val="TableText"/>
              <w:rPr>
                <w:rFonts w:eastAsia="Times New Roman"/>
              </w:rPr>
            </w:pPr>
            <w:r>
              <w:rPr>
                <w:rFonts w:cs="Arial"/>
              </w:rPr>
              <w:t>O</w:t>
            </w:r>
            <w:r w:rsidRPr="00C05D32">
              <w:rPr>
                <w:rFonts w:cs="Arial"/>
              </w:rPr>
              <w:t>ptimise client service channel options with an imperative to provide self-service and digital options</w:t>
            </w:r>
          </w:p>
        </w:tc>
      </w:tr>
      <w:tr w:rsidR="000F61DE" w:rsidRPr="006C0823" w14:paraId="27A303E3" w14:textId="77777777" w:rsidTr="009C57EC">
        <w:trPr>
          <w:trHeight w:val="238"/>
        </w:trPr>
        <w:tc>
          <w:tcPr>
            <w:tcW w:w="531" w:type="pct"/>
          </w:tcPr>
          <w:p w14:paraId="7A6675E2"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47C5685F" w14:textId="77777777" w:rsidR="000F61DE" w:rsidRPr="006C0823" w:rsidRDefault="000F61DE" w:rsidP="006E2310">
            <w:pPr>
              <w:pStyle w:val="TableHeading"/>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7B41D55B" w14:textId="77777777" w:rsidR="000F61DE" w:rsidRPr="006C0823" w:rsidRDefault="00BB2303" w:rsidP="006E2310">
            <w:pPr>
              <w:pStyle w:val="TableText"/>
              <w:rPr>
                <w:rFonts w:eastAsia="Times New Roman"/>
              </w:rPr>
            </w:pPr>
            <w:r w:rsidRPr="00BB2303">
              <w:t>CASA completed the development of a new client</w:t>
            </w:r>
            <w:r w:rsidR="003E3D4F">
              <w:t>-</w:t>
            </w:r>
            <w:r w:rsidRPr="00BB2303">
              <w:t>facing portal and a self</w:t>
            </w:r>
            <w:r w:rsidR="003E3D4F">
              <w:t>-</w:t>
            </w:r>
            <w:r w:rsidRPr="00BB2303">
              <w:t xml:space="preserve">service digital </w:t>
            </w:r>
            <w:r w:rsidR="003E3D4F">
              <w:t xml:space="preserve">aviation </w:t>
            </w:r>
            <w:r w:rsidR="00C754DA">
              <w:t>reference</w:t>
            </w:r>
            <w:r w:rsidR="003E3D4F">
              <w:t xml:space="preserve"> number</w:t>
            </w:r>
            <w:r w:rsidRPr="00BB2303">
              <w:t xml:space="preserve"> application process to go live on 2 July 2018.</w:t>
            </w:r>
          </w:p>
        </w:tc>
      </w:tr>
      <w:tr w:rsidR="000F61DE" w:rsidRPr="006C0823" w14:paraId="6AF8EBAD" w14:textId="77777777" w:rsidTr="009C57EC">
        <w:trPr>
          <w:trHeight w:val="238"/>
        </w:trPr>
        <w:tc>
          <w:tcPr>
            <w:tcW w:w="531" w:type="pct"/>
            <w:shd w:val="clear" w:color="auto" w:fill="D9D9D9"/>
          </w:tcPr>
          <w:p w14:paraId="33D8F0CF" w14:textId="77777777" w:rsidR="000F61DE" w:rsidRPr="006C0823" w:rsidRDefault="000F61DE" w:rsidP="006E2310">
            <w:pPr>
              <w:pStyle w:val="TableHeading"/>
              <w:spacing w:before="90" w:after="90"/>
              <w:rPr>
                <w:rFonts w:eastAsia="Times New Roman"/>
              </w:rPr>
            </w:pPr>
            <w:r w:rsidRPr="006C0823">
              <w:rPr>
                <w:rFonts w:eastAsia="Times New Roman"/>
              </w:rPr>
              <w:t>Measure</w:t>
            </w:r>
          </w:p>
        </w:tc>
        <w:tc>
          <w:tcPr>
            <w:tcW w:w="4469" w:type="pct"/>
            <w:shd w:val="clear" w:color="auto" w:fill="D9D9D9"/>
          </w:tcPr>
          <w:p w14:paraId="249B0AC5" w14:textId="77777777" w:rsidR="000F61DE" w:rsidRPr="006C0823" w:rsidRDefault="000F61DE" w:rsidP="006E2310">
            <w:pPr>
              <w:pStyle w:val="TableText"/>
            </w:pPr>
            <w:r>
              <w:rPr>
                <w:rFonts w:cs="Arial"/>
              </w:rPr>
              <w:t>C</w:t>
            </w:r>
            <w:r w:rsidRPr="00C05D32">
              <w:rPr>
                <w:rFonts w:cs="Arial"/>
              </w:rPr>
              <w:t>reat</w:t>
            </w:r>
            <w:r>
              <w:rPr>
                <w:rFonts w:cs="Arial"/>
              </w:rPr>
              <w:t>e an</w:t>
            </w:r>
            <w:r w:rsidRPr="00C05D32">
              <w:rPr>
                <w:rFonts w:cs="Arial"/>
              </w:rPr>
              <w:t xml:space="preserve"> efficient, simple and accessible client experience</w:t>
            </w:r>
          </w:p>
        </w:tc>
      </w:tr>
      <w:tr w:rsidR="000F61DE" w:rsidRPr="006C0823" w14:paraId="43FB5398" w14:textId="77777777" w:rsidTr="009C57EC">
        <w:trPr>
          <w:trHeight w:val="238"/>
        </w:trPr>
        <w:tc>
          <w:tcPr>
            <w:tcW w:w="531" w:type="pct"/>
            <w:shd w:val="clear" w:color="auto" w:fill="FFFFFF"/>
          </w:tcPr>
          <w:p w14:paraId="6A7629F5"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52347B3D" w14:textId="77777777" w:rsidR="000F61DE" w:rsidRPr="006C0823" w:rsidRDefault="000F61DE" w:rsidP="006E2310">
            <w:pPr>
              <w:pStyle w:val="TableHeading"/>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shd w:val="clear" w:color="auto" w:fill="FFFFFF"/>
          </w:tcPr>
          <w:p w14:paraId="4268A7D4" w14:textId="77777777" w:rsidR="000F61DE" w:rsidRPr="006C0823" w:rsidRDefault="000F61DE" w:rsidP="006E2310">
            <w:pPr>
              <w:pStyle w:val="TableText"/>
            </w:pPr>
            <w:r>
              <w:rPr>
                <w:rFonts w:cs="Arial"/>
              </w:rPr>
              <w:t>CASA participated in the first meeting of the ICAO Electronic Personnel Licensing Taskforce and contributed to the drafting of proposed amendments to Chapter 5 of ICAO Annex 1 that will enable the use of electronic personnel licences.</w:t>
            </w:r>
          </w:p>
        </w:tc>
      </w:tr>
      <w:tr w:rsidR="000F61DE" w:rsidRPr="006C0823" w14:paraId="4C0A7F3D" w14:textId="77777777" w:rsidTr="009C57EC">
        <w:trPr>
          <w:trHeight w:val="238"/>
        </w:trPr>
        <w:tc>
          <w:tcPr>
            <w:tcW w:w="531" w:type="pct"/>
            <w:shd w:val="clear" w:color="auto" w:fill="D9D9D9"/>
          </w:tcPr>
          <w:p w14:paraId="1BC2D76C" w14:textId="77777777" w:rsidR="000F61DE" w:rsidRPr="006C0823" w:rsidRDefault="000F61DE" w:rsidP="006E2310">
            <w:pPr>
              <w:pStyle w:val="TableHeading"/>
              <w:spacing w:before="90" w:after="90"/>
              <w:rPr>
                <w:rFonts w:eastAsia="Times New Roman"/>
              </w:rPr>
            </w:pPr>
            <w:r w:rsidRPr="006C0823">
              <w:rPr>
                <w:rFonts w:eastAsia="Times New Roman"/>
              </w:rPr>
              <w:t>Measure</w:t>
            </w:r>
          </w:p>
        </w:tc>
        <w:tc>
          <w:tcPr>
            <w:tcW w:w="4469" w:type="pct"/>
            <w:shd w:val="clear" w:color="auto" w:fill="D9D9D9"/>
          </w:tcPr>
          <w:p w14:paraId="1CCEFE9D" w14:textId="77777777" w:rsidR="000F61DE" w:rsidRPr="006C0823" w:rsidRDefault="000F61DE" w:rsidP="006E2310">
            <w:pPr>
              <w:pStyle w:val="TableText"/>
              <w:rPr>
                <w:rFonts w:eastAsia="Times New Roman"/>
              </w:rPr>
            </w:pPr>
            <w:r>
              <w:t>Adopt, develop and drive a digital first approach to medical certification that supports the objectives of our service delivery</w:t>
            </w:r>
          </w:p>
        </w:tc>
      </w:tr>
      <w:tr w:rsidR="000F61DE" w:rsidRPr="006C0823" w14:paraId="0973DC40" w14:textId="77777777" w:rsidTr="009C57EC">
        <w:trPr>
          <w:trHeight w:val="238"/>
        </w:trPr>
        <w:tc>
          <w:tcPr>
            <w:tcW w:w="531" w:type="pct"/>
          </w:tcPr>
          <w:p w14:paraId="49C01576" w14:textId="77777777" w:rsidR="000F61DE" w:rsidRPr="006C0823" w:rsidRDefault="000F61DE" w:rsidP="006E2310">
            <w:pPr>
              <w:pStyle w:val="TableHeading"/>
              <w:keepNext w:val="0"/>
              <w:spacing w:before="90" w:after="90"/>
              <w:rPr>
                <w:rFonts w:eastAsia="Times New Roman"/>
              </w:rPr>
            </w:pPr>
            <w:r w:rsidRPr="006C0823">
              <w:rPr>
                <w:rFonts w:eastAsia="Times New Roman"/>
              </w:rPr>
              <w:t>Result</w:t>
            </w:r>
          </w:p>
          <w:p w14:paraId="69042296" w14:textId="77777777" w:rsidR="000F61DE" w:rsidRPr="006C0823" w:rsidRDefault="000F61DE" w:rsidP="006E2310">
            <w:pPr>
              <w:pStyle w:val="TableHeading"/>
              <w:spacing w:before="90" w:after="9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5EAFC2B6" w14:textId="77777777" w:rsidR="000F61DE" w:rsidRPr="008056D8" w:rsidRDefault="000F61DE" w:rsidP="006E2310">
            <w:pPr>
              <w:rPr>
                <w:rFonts w:ascii="Arial Narrow" w:hAnsi="Arial Narrow" w:cs="Arial"/>
                <w:sz w:val="20"/>
              </w:rPr>
            </w:pPr>
            <w:r w:rsidRPr="008056D8">
              <w:rPr>
                <w:rFonts w:ascii="Arial Narrow" w:hAnsi="Arial Narrow" w:cs="Arial"/>
                <w:sz w:val="20"/>
              </w:rPr>
              <w:t>All planned aviation medicine reforms were delivered on time and with all objectives met. This included:</w:t>
            </w:r>
          </w:p>
          <w:p w14:paraId="17CDA160" w14:textId="77777777" w:rsidR="000F61DE" w:rsidRPr="008056D8" w:rsidRDefault="000F61DE" w:rsidP="006E2310">
            <w:pPr>
              <w:pStyle w:val="TableBullet"/>
            </w:pPr>
            <w:r w:rsidRPr="008056D8">
              <w:t>exten</w:t>
            </w:r>
            <w:r>
              <w:t xml:space="preserve">ding Class 2 medical certificates to cover </w:t>
            </w:r>
            <w:r w:rsidRPr="008056D8">
              <w:t>non-passenger-carrying commercial operations</w:t>
            </w:r>
          </w:p>
          <w:p w14:paraId="46B4B0DF" w14:textId="77777777" w:rsidR="000F61DE" w:rsidRPr="008056D8" w:rsidRDefault="000F61DE" w:rsidP="006E2310">
            <w:pPr>
              <w:pStyle w:val="TableBullet"/>
            </w:pPr>
            <w:r w:rsidRPr="008056D8">
              <w:t xml:space="preserve">allowing </w:t>
            </w:r>
            <w:r>
              <w:t>d</w:t>
            </w:r>
            <w:r w:rsidRPr="008056D8">
              <w:t xml:space="preserve">esignated </w:t>
            </w:r>
            <w:r>
              <w:t>a</w:t>
            </w:r>
            <w:r w:rsidRPr="008056D8">
              <w:t xml:space="preserve">viation </w:t>
            </w:r>
            <w:r>
              <w:t>m</w:t>
            </w:r>
            <w:r w:rsidRPr="008056D8">
              <w:t xml:space="preserve">edical </w:t>
            </w:r>
            <w:r>
              <w:t>e</w:t>
            </w:r>
            <w:r w:rsidRPr="008056D8">
              <w:t>xaminers to assess and issue a Class 2 medical certificate application at the time of examination</w:t>
            </w:r>
          </w:p>
          <w:p w14:paraId="1CF2426A" w14:textId="77777777" w:rsidR="000F61DE" w:rsidRPr="008056D8" w:rsidRDefault="000F61DE" w:rsidP="006E2310">
            <w:pPr>
              <w:pStyle w:val="TableBullet"/>
            </w:pPr>
            <w:r w:rsidRPr="008056D8">
              <w:t>launch</w:t>
            </w:r>
            <w:r>
              <w:t>ing</w:t>
            </w:r>
            <w:r w:rsidRPr="008056D8">
              <w:t xml:space="preserve"> the Basic Class 2 medical</w:t>
            </w:r>
            <w:r>
              <w:t xml:space="preserve"> certificate.</w:t>
            </w:r>
          </w:p>
          <w:p w14:paraId="14EAA976" w14:textId="77777777" w:rsidR="000F61DE" w:rsidRPr="006C0823" w:rsidRDefault="000F61DE" w:rsidP="006E2310">
            <w:pPr>
              <w:pStyle w:val="TableText"/>
              <w:rPr>
                <w:rFonts w:eastAsia="Times New Roman"/>
              </w:rPr>
            </w:pPr>
            <w:r w:rsidRPr="008056D8">
              <w:rPr>
                <w:rFonts w:cs="Arial"/>
              </w:rPr>
              <w:t xml:space="preserve">A number of enhancements were made to </w:t>
            </w:r>
            <w:r>
              <w:rPr>
                <w:rFonts w:cs="Arial"/>
              </w:rPr>
              <w:t>CASA’s m</w:t>
            </w:r>
            <w:r w:rsidRPr="008056D8">
              <w:rPr>
                <w:rFonts w:cs="Arial"/>
              </w:rPr>
              <w:t xml:space="preserve">edical </w:t>
            </w:r>
            <w:r>
              <w:rPr>
                <w:rFonts w:cs="Arial"/>
              </w:rPr>
              <w:t>r</w:t>
            </w:r>
            <w:r w:rsidRPr="008056D8">
              <w:rPr>
                <w:rFonts w:cs="Arial"/>
              </w:rPr>
              <w:t xml:space="preserve">ecords </w:t>
            </w:r>
            <w:r>
              <w:rPr>
                <w:rFonts w:cs="Arial"/>
              </w:rPr>
              <w:t>s</w:t>
            </w:r>
            <w:r w:rsidRPr="008056D8">
              <w:rPr>
                <w:rFonts w:cs="Arial"/>
              </w:rPr>
              <w:t>ystem</w:t>
            </w:r>
            <w:r>
              <w:rPr>
                <w:rFonts w:cs="Arial"/>
              </w:rPr>
              <w:t xml:space="preserve"> to</w:t>
            </w:r>
            <w:r w:rsidRPr="008056D8">
              <w:rPr>
                <w:rFonts w:cs="Arial"/>
              </w:rPr>
              <w:t xml:space="preserve"> enable more streamlined processing of all classes of medical certificates, including a greater proportion of system-issued medical certificates.</w:t>
            </w:r>
          </w:p>
        </w:tc>
      </w:tr>
    </w:tbl>
    <w:p w14:paraId="3CD5488F" w14:textId="77777777" w:rsidR="000F61DE" w:rsidRDefault="000F61DE" w:rsidP="000F61DE">
      <w:pPr>
        <w:pStyle w:val="Heading3"/>
        <w:rPr>
          <w:lang w:val="en-GB"/>
        </w:rPr>
      </w:pPr>
      <w:bookmarkStart w:id="48" w:name="_Hlk526330215"/>
      <w:r w:rsidRPr="006C0823">
        <w:rPr>
          <w:lang w:val="en-GB"/>
        </w:rPr>
        <w:t>Key performance area</w:t>
      </w:r>
      <w:r>
        <w:rPr>
          <w:lang w:val="en-GB"/>
        </w:rPr>
        <w:t xml:space="preserve"> – </w:t>
      </w:r>
      <w:r w:rsidRPr="006C0823">
        <w:rPr>
          <w:lang w:val="en-GB"/>
        </w:rPr>
        <w:t>Industry oversight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8059"/>
      </w:tblGrid>
      <w:tr w:rsidR="000F61DE" w:rsidRPr="006C0823" w14:paraId="61330C85" w14:textId="77777777" w:rsidTr="00A86663">
        <w:tc>
          <w:tcPr>
            <w:tcW w:w="531" w:type="pct"/>
            <w:shd w:val="clear" w:color="auto" w:fill="B8CCE4"/>
          </w:tcPr>
          <w:p w14:paraId="5D4D7076" w14:textId="77777777" w:rsidR="000F61DE" w:rsidRPr="006C0823" w:rsidRDefault="000F61DE" w:rsidP="006E2310">
            <w:pPr>
              <w:pStyle w:val="TableHeading"/>
              <w:rPr>
                <w:rFonts w:eastAsia="Times New Roman"/>
              </w:rPr>
            </w:pPr>
            <w:r w:rsidRPr="006C0823">
              <w:rPr>
                <w:rFonts w:eastAsia="Times New Roman"/>
              </w:rPr>
              <w:t>Initiative</w:t>
            </w:r>
          </w:p>
          <w:p w14:paraId="7EE048E3" w14:textId="77777777" w:rsidR="000F61DE" w:rsidRPr="006C0823" w:rsidRDefault="000F61DE" w:rsidP="006E2310">
            <w:pPr>
              <w:pStyle w:val="TableHeading"/>
              <w:rPr>
                <w:rFonts w:eastAsia="Times New Roman"/>
              </w:rPr>
            </w:pPr>
            <w:r w:rsidRPr="006C0823">
              <w:rPr>
                <w:rFonts w:eastAsia="Times New Roman"/>
              </w:rPr>
              <w:t>1.5</w:t>
            </w:r>
          </w:p>
        </w:tc>
        <w:tc>
          <w:tcPr>
            <w:tcW w:w="4469" w:type="pct"/>
            <w:shd w:val="clear" w:color="auto" w:fill="B8CCE4"/>
          </w:tcPr>
          <w:p w14:paraId="7D592D7D" w14:textId="77777777" w:rsidR="000F61DE" w:rsidRPr="002B6E3E" w:rsidRDefault="000F61DE" w:rsidP="006E2310">
            <w:pPr>
              <w:pStyle w:val="TableText"/>
              <w:rPr>
                <w:b/>
              </w:rPr>
            </w:pPr>
            <w:r w:rsidRPr="002B6E3E">
              <w:rPr>
                <w:b/>
              </w:rPr>
              <w:t>Conduct regulatory services and surveillance of the aviation industry to assure aviation safety performance</w:t>
            </w:r>
          </w:p>
        </w:tc>
      </w:tr>
      <w:tr w:rsidR="000F61DE" w:rsidRPr="006C0823" w14:paraId="07C2DED0" w14:textId="77777777" w:rsidTr="00A86663">
        <w:tc>
          <w:tcPr>
            <w:tcW w:w="531" w:type="pct"/>
            <w:shd w:val="clear" w:color="auto" w:fill="D9D9D9"/>
          </w:tcPr>
          <w:p w14:paraId="7E742ABF" w14:textId="77777777" w:rsidR="000F61DE" w:rsidRPr="006C0823" w:rsidRDefault="000F61DE" w:rsidP="006E2310">
            <w:pPr>
              <w:pStyle w:val="TableHeading"/>
              <w:rPr>
                <w:rFonts w:eastAsia="Times New Roman"/>
              </w:rPr>
            </w:pPr>
            <w:r w:rsidRPr="006C0823">
              <w:rPr>
                <w:rFonts w:eastAsia="Times New Roman"/>
              </w:rPr>
              <w:t>Measure</w:t>
            </w:r>
          </w:p>
        </w:tc>
        <w:tc>
          <w:tcPr>
            <w:tcW w:w="4469" w:type="pct"/>
            <w:shd w:val="clear" w:color="auto" w:fill="D9D9D9"/>
          </w:tcPr>
          <w:p w14:paraId="4998D8D2" w14:textId="77777777" w:rsidR="000F61DE" w:rsidRPr="006C0823" w:rsidRDefault="000F61DE" w:rsidP="006E2310">
            <w:pPr>
              <w:pStyle w:val="TableText"/>
              <w:rPr>
                <w:rFonts w:eastAsia="Times New Roman"/>
              </w:rPr>
            </w:pPr>
            <w:r>
              <w:t>D</w:t>
            </w:r>
            <w:r w:rsidRPr="009521D3">
              <w:t>evelop and commence implementation of the National</w:t>
            </w:r>
            <w:r>
              <w:t xml:space="preserve"> Surveillance Selection Process</w:t>
            </w:r>
            <w:r w:rsidRPr="009521D3">
              <w:t>, a nationally coordinated systematic approach to prioritisation of surveillance activity across CASA</w:t>
            </w:r>
          </w:p>
        </w:tc>
      </w:tr>
      <w:tr w:rsidR="000F61DE" w:rsidRPr="006C0823" w14:paraId="52A5CB45" w14:textId="77777777" w:rsidTr="00A86663">
        <w:tc>
          <w:tcPr>
            <w:tcW w:w="531" w:type="pct"/>
            <w:shd w:val="clear" w:color="auto" w:fill="FFFFFF"/>
          </w:tcPr>
          <w:p w14:paraId="59EA81F7" w14:textId="77777777" w:rsidR="000F61DE" w:rsidRPr="006C0823" w:rsidRDefault="000F61DE" w:rsidP="006E2310">
            <w:pPr>
              <w:pStyle w:val="TableHeading"/>
              <w:keepNext w:val="0"/>
              <w:rPr>
                <w:rFonts w:eastAsia="Times New Roman"/>
              </w:rPr>
            </w:pPr>
            <w:r w:rsidRPr="006C0823">
              <w:rPr>
                <w:rFonts w:eastAsia="Times New Roman"/>
              </w:rPr>
              <w:t>Result</w:t>
            </w:r>
          </w:p>
          <w:p w14:paraId="1488C79C"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shd w:val="clear" w:color="auto" w:fill="FFFFFF"/>
          </w:tcPr>
          <w:p w14:paraId="5E5E6E35" w14:textId="77777777" w:rsidR="000F61DE" w:rsidRPr="008056D8" w:rsidRDefault="000F61DE" w:rsidP="006E2310">
            <w:pPr>
              <w:rPr>
                <w:rFonts w:ascii="Arial Narrow" w:hAnsi="Arial Narrow" w:cs="Arial"/>
                <w:sz w:val="20"/>
              </w:rPr>
            </w:pPr>
            <w:r w:rsidRPr="008056D8">
              <w:rPr>
                <w:rFonts w:ascii="Arial Narrow" w:hAnsi="Arial Narrow" w:cs="Arial"/>
                <w:sz w:val="20"/>
              </w:rPr>
              <w:t>The National Surveillance Selection Process (NSSP) was developed with a phased approach. Phase 2 of the NSSP was finalised on 30 June 2018</w:t>
            </w:r>
            <w:r>
              <w:rPr>
                <w:rFonts w:ascii="Arial Narrow" w:hAnsi="Arial Narrow" w:cs="Arial"/>
                <w:sz w:val="20"/>
              </w:rPr>
              <w:t xml:space="preserve"> and</w:t>
            </w:r>
            <w:r w:rsidRPr="008056D8">
              <w:rPr>
                <w:rFonts w:ascii="Arial Narrow" w:hAnsi="Arial Narrow" w:cs="Arial"/>
                <w:sz w:val="20"/>
              </w:rPr>
              <w:t xml:space="preserve"> the final phase </w:t>
            </w:r>
            <w:r>
              <w:rPr>
                <w:rFonts w:ascii="Arial Narrow" w:hAnsi="Arial Narrow" w:cs="Arial"/>
                <w:sz w:val="20"/>
              </w:rPr>
              <w:t xml:space="preserve">will </w:t>
            </w:r>
            <w:r w:rsidRPr="008056D8">
              <w:rPr>
                <w:rFonts w:ascii="Arial Narrow" w:hAnsi="Arial Narrow" w:cs="Arial"/>
                <w:sz w:val="20"/>
              </w:rPr>
              <w:t>commenc</w:t>
            </w:r>
            <w:r>
              <w:rPr>
                <w:rFonts w:ascii="Arial Narrow" w:hAnsi="Arial Narrow" w:cs="Arial"/>
                <w:sz w:val="20"/>
              </w:rPr>
              <w:t>e</w:t>
            </w:r>
            <w:r w:rsidRPr="008056D8">
              <w:rPr>
                <w:rFonts w:ascii="Arial Narrow" w:hAnsi="Arial Narrow" w:cs="Arial"/>
                <w:sz w:val="20"/>
              </w:rPr>
              <w:t xml:space="preserve"> in 2018–19.</w:t>
            </w:r>
          </w:p>
          <w:p w14:paraId="67B6CC7B" w14:textId="77777777" w:rsidR="00EF73E8" w:rsidRDefault="00EF73E8" w:rsidP="00EF73E8">
            <w:pPr>
              <w:rPr>
                <w:rFonts w:ascii="Arial Narrow" w:hAnsi="Arial Narrow" w:cs="Arial"/>
                <w:sz w:val="20"/>
              </w:rPr>
            </w:pPr>
            <w:r w:rsidRPr="008056D8">
              <w:rPr>
                <w:rFonts w:ascii="Arial Narrow" w:hAnsi="Arial Narrow" w:cs="Arial"/>
                <w:sz w:val="20"/>
              </w:rPr>
              <w:t>The NSSP’s primary function</w:t>
            </w:r>
            <w:r>
              <w:rPr>
                <w:rFonts w:ascii="Arial Narrow" w:hAnsi="Arial Narrow" w:cs="Arial"/>
                <w:sz w:val="20"/>
              </w:rPr>
              <w:t>s</w:t>
            </w:r>
            <w:r w:rsidRPr="008056D8">
              <w:rPr>
                <w:rFonts w:ascii="Arial Narrow" w:hAnsi="Arial Narrow" w:cs="Arial"/>
                <w:sz w:val="20"/>
              </w:rPr>
              <w:t xml:space="preserve"> </w:t>
            </w:r>
            <w:r>
              <w:rPr>
                <w:rFonts w:ascii="Arial Narrow" w:hAnsi="Arial Narrow" w:cs="Arial"/>
                <w:sz w:val="20"/>
              </w:rPr>
              <w:t>are</w:t>
            </w:r>
            <w:r w:rsidRPr="008056D8">
              <w:rPr>
                <w:rFonts w:ascii="Arial Narrow" w:hAnsi="Arial Narrow" w:cs="Arial"/>
                <w:sz w:val="20"/>
              </w:rPr>
              <w:t xml:space="preserve"> to provide an objective, evidence-driven </w:t>
            </w:r>
            <w:r>
              <w:rPr>
                <w:rFonts w:ascii="Arial Narrow" w:hAnsi="Arial Narrow" w:cs="Arial"/>
                <w:sz w:val="20"/>
              </w:rPr>
              <w:t xml:space="preserve">and risk-based </w:t>
            </w:r>
            <w:r w:rsidRPr="008056D8">
              <w:rPr>
                <w:rFonts w:ascii="Arial Narrow" w:hAnsi="Arial Narrow" w:cs="Arial"/>
                <w:sz w:val="20"/>
              </w:rPr>
              <w:t xml:space="preserve">approach to CASA’s </w:t>
            </w:r>
            <w:r>
              <w:rPr>
                <w:rFonts w:ascii="Arial Narrow" w:hAnsi="Arial Narrow" w:cs="Arial"/>
                <w:sz w:val="20"/>
              </w:rPr>
              <w:t>a</w:t>
            </w:r>
            <w:r w:rsidRPr="008056D8">
              <w:rPr>
                <w:rFonts w:ascii="Arial Narrow" w:hAnsi="Arial Narrow" w:cs="Arial"/>
                <w:sz w:val="20"/>
              </w:rPr>
              <w:t xml:space="preserve">uthorisation </w:t>
            </w:r>
            <w:r>
              <w:rPr>
                <w:rFonts w:ascii="Arial Narrow" w:hAnsi="Arial Narrow" w:cs="Arial"/>
                <w:sz w:val="20"/>
              </w:rPr>
              <w:t>h</w:t>
            </w:r>
            <w:r w:rsidRPr="008056D8">
              <w:rPr>
                <w:rFonts w:ascii="Arial Narrow" w:hAnsi="Arial Narrow" w:cs="Arial"/>
                <w:sz w:val="20"/>
              </w:rPr>
              <w:t xml:space="preserve">older audit scheduling, </w:t>
            </w:r>
            <w:r>
              <w:rPr>
                <w:rFonts w:ascii="Arial Narrow" w:hAnsi="Arial Narrow" w:cs="Arial"/>
                <w:sz w:val="20"/>
              </w:rPr>
              <w:t>and to assist</w:t>
            </w:r>
            <w:r w:rsidRPr="008056D8">
              <w:rPr>
                <w:rFonts w:ascii="Arial Narrow" w:hAnsi="Arial Narrow" w:cs="Arial"/>
                <w:sz w:val="20"/>
              </w:rPr>
              <w:t xml:space="preserve"> in the identification of required </w:t>
            </w:r>
            <w:r>
              <w:rPr>
                <w:rFonts w:ascii="Arial Narrow" w:hAnsi="Arial Narrow" w:cs="Arial"/>
                <w:sz w:val="20"/>
              </w:rPr>
              <w:t>i</w:t>
            </w:r>
            <w:r w:rsidRPr="008056D8">
              <w:rPr>
                <w:rFonts w:ascii="Arial Narrow" w:hAnsi="Arial Narrow" w:cs="Arial"/>
                <w:sz w:val="20"/>
              </w:rPr>
              <w:t>nspectorate resources. The NSSP is one</w:t>
            </w:r>
            <w:r>
              <w:rPr>
                <w:rFonts w:ascii="Arial Narrow" w:hAnsi="Arial Narrow" w:cs="Arial"/>
                <w:sz w:val="20"/>
              </w:rPr>
              <w:t xml:space="preserve"> of the four pillars</w:t>
            </w:r>
            <w:r w:rsidRPr="008056D8">
              <w:rPr>
                <w:rFonts w:ascii="Arial Narrow" w:hAnsi="Arial Narrow" w:cs="Arial"/>
                <w:sz w:val="20"/>
              </w:rPr>
              <w:t xml:space="preserve"> of the </w:t>
            </w:r>
            <w:r w:rsidR="00FD1F4F">
              <w:rPr>
                <w:rFonts w:ascii="Arial Narrow" w:hAnsi="Arial Narrow" w:cs="Arial"/>
                <w:sz w:val="20"/>
              </w:rPr>
              <w:t>n</w:t>
            </w:r>
            <w:r w:rsidRPr="008056D8">
              <w:rPr>
                <w:rFonts w:ascii="Arial Narrow" w:hAnsi="Arial Narrow" w:cs="Arial"/>
                <w:sz w:val="20"/>
              </w:rPr>
              <w:t xml:space="preserve">ational </w:t>
            </w:r>
            <w:r w:rsidR="00FD1F4F">
              <w:rPr>
                <w:rFonts w:ascii="Arial Narrow" w:hAnsi="Arial Narrow" w:cs="Arial"/>
                <w:sz w:val="20"/>
              </w:rPr>
              <w:t>o</w:t>
            </w:r>
            <w:r w:rsidRPr="008056D8">
              <w:rPr>
                <w:rFonts w:ascii="Arial Narrow" w:hAnsi="Arial Narrow" w:cs="Arial"/>
                <w:sz w:val="20"/>
              </w:rPr>
              <w:t xml:space="preserve">versight </w:t>
            </w:r>
            <w:r w:rsidR="00FD1F4F">
              <w:rPr>
                <w:rFonts w:ascii="Arial Narrow" w:hAnsi="Arial Narrow" w:cs="Arial"/>
                <w:sz w:val="20"/>
              </w:rPr>
              <w:t>p</w:t>
            </w:r>
            <w:r w:rsidRPr="008056D8">
              <w:rPr>
                <w:rFonts w:ascii="Arial Narrow" w:hAnsi="Arial Narrow" w:cs="Arial"/>
                <w:sz w:val="20"/>
              </w:rPr>
              <w:t>lan (NOP)</w:t>
            </w:r>
            <w:r>
              <w:rPr>
                <w:rFonts w:ascii="Arial Narrow" w:hAnsi="Arial Narrow" w:cs="Arial"/>
                <w:sz w:val="20"/>
              </w:rPr>
              <w:t>,</w:t>
            </w:r>
            <w:r w:rsidRPr="008056D8">
              <w:rPr>
                <w:rFonts w:ascii="Arial Narrow" w:hAnsi="Arial Narrow" w:cs="Arial"/>
                <w:sz w:val="20"/>
              </w:rPr>
              <w:t xml:space="preserve"> which</w:t>
            </w:r>
            <w:r>
              <w:rPr>
                <w:rFonts w:ascii="Arial Narrow" w:hAnsi="Arial Narrow" w:cs="Arial"/>
                <w:sz w:val="20"/>
              </w:rPr>
              <w:t xml:space="preserve"> will </w:t>
            </w:r>
            <w:r w:rsidRPr="008056D8">
              <w:rPr>
                <w:rFonts w:ascii="Arial Narrow" w:hAnsi="Arial Narrow" w:cs="Arial"/>
                <w:sz w:val="20"/>
              </w:rPr>
              <w:t xml:space="preserve">manage CASA’s priorities in conducting regulatory services and surveillance. </w:t>
            </w:r>
          </w:p>
          <w:p w14:paraId="6ACF73BB" w14:textId="77777777" w:rsidR="00EF73E8" w:rsidRPr="008056D8" w:rsidRDefault="00EF73E8" w:rsidP="00EF73E8">
            <w:pPr>
              <w:rPr>
                <w:rFonts w:ascii="Arial Narrow" w:hAnsi="Arial Narrow" w:cs="Arial"/>
                <w:sz w:val="20"/>
              </w:rPr>
            </w:pPr>
            <w:r w:rsidRPr="008056D8">
              <w:rPr>
                <w:rFonts w:ascii="Arial Narrow" w:hAnsi="Arial Narrow" w:cs="Arial"/>
                <w:sz w:val="20"/>
              </w:rPr>
              <w:t>The NOP will include:</w:t>
            </w:r>
          </w:p>
          <w:p w14:paraId="3397C019" w14:textId="77777777" w:rsidR="00EF73E8" w:rsidRPr="005F4A5A" w:rsidRDefault="00EF73E8" w:rsidP="00EF73E8">
            <w:pPr>
              <w:pStyle w:val="TableBullet"/>
            </w:pPr>
            <w:r>
              <w:t>s</w:t>
            </w:r>
            <w:r w:rsidRPr="005F4A5A">
              <w:t>cheduled surveillance</w:t>
            </w:r>
            <w:r>
              <w:t xml:space="preserve"> activities, under the NSSP</w:t>
            </w:r>
          </w:p>
          <w:p w14:paraId="5FB15FF6" w14:textId="77777777" w:rsidR="000F61DE" w:rsidRPr="00EF73E8" w:rsidRDefault="00EF73E8" w:rsidP="00EF73E8">
            <w:pPr>
              <w:pStyle w:val="TableBullet"/>
            </w:pPr>
            <w:r w:rsidRPr="00EF73E8">
              <w:t>national coordinated surveys, audits and monitoring activities designed to inform regulatory decision makers</w:t>
            </w:r>
            <w:r w:rsidR="00D64CB0">
              <w:t xml:space="preserve"> – </w:t>
            </w:r>
            <w:r w:rsidR="00BB5657">
              <w:t>f</w:t>
            </w:r>
            <w:r w:rsidRPr="00EF73E8">
              <w:t>or example, a national sector campaign, inclusive of a survey and surveillance activities, was undertaken to better inform regulatory decision</w:t>
            </w:r>
            <w:r w:rsidR="00D64CB0">
              <w:t>-</w:t>
            </w:r>
            <w:r w:rsidRPr="00EF73E8">
              <w:t xml:space="preserve">makers on risks in the </w:t>
            </w:r>
            <w:r w:rsidR="00BB5657">
              <w:t xml:space="preserve">commercial </w:t>
            </w:r>
            <w:r w:rsidRPr="00EF73E8">
              <w:t>balloon sector</w:t>
            </w:r>
          </w:p>
          <w:p w14:paraId="32BB5B40" w14:textId="77777777" w:rsidR="000F61DE" w:rsidRPr="005F4A5A" w:rsidRDefault="000F61DE" w:rsidP="006E2310">
            <w:pPr>
              <w:pStyle w:val="TableBullet"/>
            </w:pPr>
            <w:r w:rsidRPr="005F4A5A">
              <w:t xml:space="preserve">activities </w:t>
            </w:r>
            <w:r>
              <w:t>in</w:t>
            </w:r>
            <w:r w:rsidRPr="005F4A5A">
              <w:t xml:space="preserve"> response to incidents</w:t>
            </w:r>
            <w:r>
              <w:t>, accidents and emerging risks</w:t>
            </w:r>
            <w:r w:rsidRPr="005F4A5A">
              <w:t xml:space="preserve"> </w:t>
            </w:r>
            <w:r w:rsidR="00FA21FB">
              <w:t xml:space="preserve">– </w:t>
            </w:r>
            <w:r w:rsidR="00FD1F4F">
              <w:t>for example</w:t>
            </w:r>
            <w:r w:rsidR="00FA21FB">
              <w:t>,</w:t>
            </w:r>
            <w:r w:rsidRPr="005F4A5A">
              <w:t xml:space="preserve"> </w:t>
            </w:r>
            <w:r>
              <w:t>r</w:t>
            </w:r>
            <w:r w:rsidRPr="005F4A5A">
              <w:t xml:space="preserve">egulatory </w:t>
            </w:r>
            <w:r>
              <w:t>s</w:t>
            </w:r>
            <w:r w:rsidRPr="005F4A5A">
              <w:t xml:space="preserve">afety </w:t>
            </w:r>
            <w:r>
              <w:t>r</w:t>
            </w:r>
            <w:r w:rsidRPr="005F4A5A">
              <w:t>eviews)</w:t>
            </w:r>
          </w:p>
          <w:p w14:paraId="58A87BE4" w14:textId="77777777" w:rsidR="000F61DE" w:rsidRPr="006C0823" w:rsidRDefault="000F61DE" w:rsidP="006E2310">
            <w:pPr>
              <w:pStyle w:val="TableBullet"/>
            </w:pPr>
            <w:r w:rsidRPr="005F4A5A">
              <w:t>regulatory services.</w:t>
            </w:r>
          </w:p>
        </w:tc>
      </w:tr>
      <w:bookmarkEnd w:id="48"/>
      <w:tr w:rsidR="000F61DE" w:rsidRPr="006C0823" w14:paraId="109F05D1" w14:textId="77777777" w:rsidTr="00A86663">
        <w:tc>
          <w:tcPr>
            <w:tcW w:w="531" w:type="pct"/>
            <w:shd w:val="clear" w:color="auto" w:fill="D9D9D9"/>
          </w:tcPr>
          <w:p w14:paraId="3D73F00E" w14:textId="77777777" w:rsidR="000F61DE" w:rsidRPr="006C0823" w:rsidRDefault="000F61DE" w:rsidP="006E2310">
            <w:pPr>
              <w:pStyle w:val="TableHeading"/>
              <w:rPr>
                <w:rFonts w:eastAsia="Times New Roman"/>
              </w:rPr>
            </w:pPr>
            <w:r w:rsidRPr="006C0823">
              <w:rPr>
                <w:rFonts w:eastAsia="Times New Roman"/>
              </w:rPr>
              <w:t>Measure</w:t>
            </w:r>
          </w:p>
        </w:tc>
        <w:tc>
          <w:tcPr>
            <w:tcW w:w="4469" w:type="pct"/>
            <w:shd w:val="clear" w:color="auto" w:fill="D9D9D9"/>
          </w:tcPr>
          <w:p w14:paraId="23CD28B2" w14:textId="77777777" w:rsidR="000F61DE" w:rsidRPr="006C0823" w:rsidRDefault="000F61DE" w:rsidP="006E2310">
            <w:pPr>
              <w:pStyle w:val="TableText"/>
              <w:rPr>
                <w:rFonts w:eastAsia="Times New Roman"/>
              </w:rPr>
            </w:pPr>
            <w:r>
              <w:t>F</w:t>
            </w:r>
            <w:r w:rsidRPr="009521D3">
              <w:t>ocus further attention on international air transport operators operating into Australia</w:t>
            </w:r>
          </w:p>
        </w:tc>
      </w:tr>
      <w:tr w:rsidR="000F61DE" w:rsidRPr="006C0823" w14:paraId="16C510CD" w14:textId="77777777" w:rsidTr="00A86663">
        <w:tc>
          <w:tcPr>
            <w:tcW w:w="531" w:type="pct"/>
            <w:shd w:val="clear" w:color="auto" w:fill="FFFFFF"/>
          </w:tcPr>
          <w:p w14:paraId="3FAECB8A" w14:textId="77777777" w:rsidR="000F61DE" w:rsidRPr="006C0823" w:rsidRDefault="000F61DE" w:rsidP="006E2310">
            <w:pPr>
              <w:pStyle w:val="TableHeading"/>
              <w:keepNext w:val="0"/>
              <w:rPr>
                <w:rFonts w:eastAsia="Times New Roman"/>
              </w:rPr>
            </w:pPr>
            <w:r w:rsidRPr="006C0823">
              <w:rPr>
                <w:rFonts w:eastAsia="Times New Roman"/>
              </w:rPr>
              <w:t>Result</w:t>
            </w:r>
          </w:p>
          <w:p w14:paraId="2FC331D8"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shd w:val="clear" w:color="auto" w:fill="FFFFFF"/>
          </w:tcPr>
          <w:p w14:paraId="6E5BF499" w14:textId="77777777" w:rsidR="000F61DE" w:rsidRPr="008056D8" w:rsidRDefault="000F61DE" w:rsidP="006E2310">
            <w:pPr>
              <w:rPr>
                <w:rFonts w:ascii="Arial Narrow" w:hAnsi="Arial Narrow" w:cs="Arial"/>
                <w:sz w:val="20"/>
              </w:rPr>
            </w:pPr>
            <w:r>
              <w:rPr>
                <w:rFonts w:ascii="Arial Narrow" w:hAnsi="Arial Narrow" w:cs="Arial"/>
                <w:sz w:val="20"/>
              </w:rPr>
              <w:t xml:space="preserve">The </w:t>
            </w:r>
            <w:r w:rsidRPr="008056D8">
              <w:rPr>
                <w:rFonts w:ascii="Arial Narrow" w:hAnsi="Arial Narrow" w:cs="Arial"/>
                <w:sz w:val="20"/>
              </w:rPr>
              <w:t xml:space="preserve">CASR Part 129 transition process </w:t>
            </w:r>
            <w:r>
              <w:rPr>
                <w:rFonts w:ascii="Arial Narrow" w:hAnsi="Arial Narrow" w:cs="Arial"/>
                <w:sz w:val="20"/>
              </w:rPr>
              <w:t>was</w:t>
            </w:r>
            <w:r w:rsidRPr="008056D8">
              <w:rPr>
                <w:rFonts w:ascii="Arial Narrow" w:hAnsi="Arial Narrow" w:cs="Arial"/>
                <w:sz w:val="20"/>
              </w:rPr>
              <w:t xml:space="preserve"> completed</w:t>
            </w:r>
            <w:r>
              <w:rPr>
                <w:rFonts w:ascii="Arial Narrow" w:hAnsi="Arial Narrow" w:cs="Arial"/>
                <w:sz w:val="20"/>
              </w:rPr>
              <w:t>;</w:t>
            </w:r>
            <w:r w:rsidRPr="008056D8">
              <w:rPr>
                <w:rFonts w:ascii="Arial Narrow" w:hAnsi="Arial Narrow" w:cs="Arial"/>
                <w:sz w:val="20"/>
              </w:rPr>
              <w:t xml:space="preserve"> 94 </w:t>
            </w:r>
            <w:r>
              <w:rPr>
                <w:rFonts w:ascii="Arial Narrow" w:hAnsi="Arial Narrow" w:cs="Arial"/>
                <w:sz w:val="20"/>
              </w:rPr>
              <w:t>f</w:t>
            </w:r>
            <w:r w:rsidRPr="008056D8">
              <w:rPr>
                <w:rFonts w:ascii="Arial Narrow" w:hAnsi="Arial Narrow" w:cs="Arial"/>
                <w:sz w:val="20"/>
              </w:rPr>
              <w:t xml:space="preserve">oreign </w:t>
            </w:r>
            <w:r>
              <w:rPr>
                <w:rFonts w:ascii="Arial Narrow" w:hAnsi="Arial Narrow" w:cs="Arial"/>
                <w:sz w:val="20"/>
              </w:rPr>
              <w:t>a</w:t>
            </w:r>
            <w:r w:rsidRPr="008056D8">
              <w:rPr>
                <w:rFonts w:ascii="Arial Narrow" w:hAnsi="Arial Narrow" w:cs="Arial"/>
                <w:sz w:val="20"/>
              </w:rPr>
              <w:t>ir</w:t>
            </w:r>
            <w:r>
              <w:rPr>
                <w:rFonts w:ascii="Arial Narrow" w:hAnsi="Arial Narrow" w:cs="Arial"/>
                <w:sz w:val="20"/>
              </w:rPr>
              <w:t xml:space="preserve"> transport</w:t>
            </w:r>
            <w:r w:rsidRPr="008056D8">
              <w:rPr>
                <w:rFonts w:ascii="Arial Narrow" w:hAnsi="Arial Narrow" w:cs="Arial"/>
                <w:sz w:val="20"/>
              </w:rPr>
              <w:t xml:space="preserve"> </w:t>
            </w:r>
            <w:r>
              <w:rPr>
                <w:rFonts w:ascii="Arial Narrow" w:hAnsi="Arial Narrow" w:cs="Arial"/>
                <w:sz w:val="20"/>
              </w:rPr>
              <w:t>a</w:t>
            </w:r>
            <w:r w:rsidRPr="008056D8">
              <w:rPr>
                <w:rFonts w:ascii="Arial Narrow" w:hAnsi="Arial Narrow" w:cs="Arial"/>
                <w:sz w:val="20"/>
              </w:rPr>
              <w:t xml:space="preserve">ir </w:t>
            </w:r>
            <w:r>
              <w:rPr>
                <w:rFonts w:ascii="Arial Narrow" w:hAnsi="Arial Narrow" w:cs="Arial"/>
                <w:sz w:val="20"/>
              </w:rPr>
              <w:t>o</w:t>
            </w:r>
            <w:r w:rsidRPr="008056D8">
              <w:rPr>
                <w:rFonts w:ascii="Arial Narrow" w:hAnsi="Arial Narrow" w:cs="Arial"/>
                <w:sz w:val="20"/>
              </w:rPr>
              <w:t xml:space="preserve">perator </w:t>
            </w:r>
            <w:r>
              <w:rPr>
                <w:rFonts w:ascii="Arial Narrow" w:hAnsi="Arial Narrow" w:cs="Arial"/>
                <w:sz w:val="20"/>
              </w:rPr>
              <w:t>c</w:t>
            </w:r>
            <w:r w:rsidRPr="008056D8">
              <w:rPr>
                <w:rFonts w:ascii="Arial Narrow" w:hAnsi="Arial Narrow" w:cs="Arial"/>
                <w:sz w:val="20"/>
              </w:rPr>
              <w:t xml:space="preserve">ertificate holders transitioned within the two-year period. The 12-month foreign operator audit schedule </w:t>
            </w:r>
            <w:r>
              <w:rPr>
                <w:rFonts w:ascii="Arial Narrow" w:hAnsi="Arial Narrow" w:cs="Arial"/>
                <w:sz w:val="20"/>
              </w:rPr>
              <w:t>i</w:t>
            </w:r>
            <w:r w:rsidRPr="008056D8">
              <w:rPr>
                <w:rFonts w:ascii="Arial Narrow" w:hAnsi="Arial Narrow" w:cs="Arial"/>
                <w:sz w:val="20"/>
              </w:rPr>
              <w:t xml:space="preserve">s on track. </w:t>
            </w:r>
          </w:p>
          <w:p w14:paraId="58C37636" w14:textId="77777777" w:rsidR="000F61DE" w:rsidRPr="008056D8" w:rsidRDefault="000F61DE" w:rsidP="006E2310">
            <w:pPr>
              <w:rPr>
                <w:rFonts w:ascii="Arial Narrow" w:hAnsi="Arial Narrow" w:cs="Arial"/>
                <w:sz w:val="20"/>
              </w:rPr>
            </w:pPr>
            <w:r w:rsidRPr="008056D8">
              <w:rPr>
                <w:rFonts w:ascii="Arial Narrow" w:hAnsi="Arial Narrow" w:cs="Arial"/>
                <w:sz w:val="20"/>
              </w:rPr>
              <w:t>Work to incorporate foreign aircraft surveillance into the E</w:t>
            </w:r>
            <w:r>
              <w:rPr>
                <w:rFonts w:ascii="Arial Narrow" w:hAnsi="Arial Narrow" w:cs="Arial"/>
                <w:sz w:val="20"/>
              </w:rPr>
              <w:t>uropean Union</w:t>
            </w:r>
            <w:r w:rsidRPr="008056D8">
              <w:rPr>
                <w:rFonts w:ascii="Arial Narrow" w:hAnsi="Arial Narrow" w:cs="Arial"/>
                <w:sz w:val="20"/>
              </w:rPr>
              <w:t xml:space="preserve"> Safety Assessment of Foreign Aircraft program </w:t>
            </w:r>
            <w:r>
              <w:rPr>
                <w:rFonts w:ascii="Arial Narrow" w:hAnsi="Arial Narrow" w:cs="Arial"/>
                <w:sz w:val="20"/>
              </w:rPr>
              <w:t>has commenced</w:t>
            </w:r>
            <w:r w:rsidRPr="008056D8">
              <w:rPr>
                <w:rFonts w:ascii="Arial Narrow" w:hAnsi="Arial Narrow" w:cs="Arial"/>
                <w:sz w:val="20"/>
              </w:rPr>
              <w:t>.</w:t>
            </w:r>
          </w:p>
          <w:p w14:paraId="5D9ACD5B" w14:textId="77777777" w:rsidR="000F61DE" w:rsidRPr="006C0823" w:rsidRDefault="000F61DE" w:rsidP="006E2310">
            <w:pPr>
              <w:pStyle w:val="TableText"/>
              <w:rPr>
                <w:rFonts w:eastAsia="Times New Roman"/>
              </w:rPr>
            </w:pPr>
            <w:r w:rsidRPr="008056D8">
              <w:rPr>
                <w:rFonts w:cs="Arial"/>
              </w:rPr>
              <w:t xml:space="preserve">The foreign aircraft surveillance schedule </w:t>
            </w:r>
            <w:r>
              <w:rPr>
                <w:rFonts w:cs="Arial"/>
              </w:rPr>
              <w:t xml:space="preserve">for </w:t>
            </w:r>
            <w:r w:rsidRPr="008056D8">
              <w:rPr>
                <w:rFonts w:cs="Arial"/>
              </w:rPr>
              <w:t>2018–19 has been created within the NSSP.</w:t>
            </w:r>
          </w:p>
        </w:tc>
      </w:tr>
      <w:tr w:rsidR="000F61DE" w:rsidRPr="006C0823" w14:paraId="3CB831E3" w14:textId="77777777" w:rsidTr="00A86663">
        <w:tc>
          <w:tcPr>
            <w:tcW w:w="531" w:type="pct"/>
            <w:shd w:val="clear" w:color="auto" w:fill="D9D9D9"/>
          </w:tcPr>
          <w:p w14:paraId="21223BCD" w14:textId="77777777" w:rsidR="000F61DE" w:rsidRPr="006C0823" w:rsidRDefault="000F61DE" w:rsidP="006E2310">
            <w:pPr>
              <w:pStyle w:val="TableHeading"/>
              <w:rPr>
                <w:rFonts w:eastAsia="Times New Roman"/>
              </w:rPr>
            </w:pPr>
            <w:r w:rsidRPr="006C0823">
              <w:rPr>
                <w:rFonts w:eastAsia="Times New Roman"/>
              </w:rPr>
              <w:lastRenderedPageBreak/>
              <w:t>Measure</w:t>
            </w:r>
          </w:p>
        </w:tc>
        <w:tc>
          <w:tcPr>
            <w:tcW w:w="4469" w:type="pct"/>
            <w:shd w:val="clear" w:color="auto" w:fill="D9D9D9"/>
          </w:tcPr>
          <w:p w14:paraId="395CEB35" w14:textId="77777777" w:rsidR="000F61DE" w:rsidRPr="006C0823" w:rsidRDefault="000F61DE" w:rsidP="006E2310">
            <w:pPr>
              <w:pStyle w:val="TableText"/>
              <w:rPr>
                <w:rFonts w:eastAsia="Times New Roman"/>
              </w:rPr>
            </w:pPr>
            <w:r>
              <w:t>Fi</w:t>
            </w:r>
            <w:r w:rsidRPr="009521D3">
              <w:t>nalise a strategic and integrated approach to sector risk profiling and use the dat</w:t>
            </w:r>
            <w:r>
              <w:t>a</w:t>
            </w:r>
            <w:r w:rsidRPr="009521D3">
              <w:t xml:space="preserve"> to inform and update our surveillance activities</w:t>
            </w:r>
          </w:p>
        </w:tc>
      </w:tr>
      <w:tr w:rsidR="000F61DE" w:rsidRPr="006C0823" w14:paraId="5A2132DE" w14:textId="77777777" w:rsidTr="00A86663">
        <w:tc>
          <w:tcPr>
            <w:tcW w:w="531" w:type="pct"/>
            <w:shd w:val="clear" w:color="auto" w:fill="FFFFFF"/>
          </w:tcPr>
          <w:p w14:paraId="015E9EF2" w14:textId="77777777" w:rsidR="000F61DE" w:rsidRPr="006C0823" w:rsidRDefault="000F61DE" w:rsidP="006E2310">
            <w:pPr>
              <w:pStyle w:val="TableHeading"/>
              <w:keepNext w:val="0"/>
              <w:rPr>
                <w:rFonts w:eastAsia="Times New Roman"/>
              </w:rPr>
            </w:pPr>
            <w:r w:rsidRPr="006C0823">
              <w:rPr>
                <w:rFonts w:eastAsia="Times New Roman"/>
              </w:rPr>
              <w:t>Result</w:t>
            </w:r>
          </w:p>
          <w:p w14:paraId="26045659"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shd w:val="clear" w:color="auto" w:fill="FFFFFF"/>
          </w:tcPr>
          <w:p w14:paraId="0F716329" w14:textId="77777777" w:rsidR="00425A89" w:rsidRPr="008056D8" w:rsidRDefault="00425A89" w:rsidP="00425A89">
            <w:pPr>
              <w:rPr>
                <w:rFonts w:ascii="Arial Narrow" w:hAnsi="Arial Narrow" w:cs="Arial"/>
                <w:sz w:val="20"/>
              </w:rPr>
            </w:pPr>
            <w:r w:rsidRPr="008056D8">
              <w:rPr>
                <w:rFonts w:ascii="Arial Narrow" w:hAnsi="Arial Narrow" w:cs="Arial"/>
                <w:sz w:val="20"/>
              </w:rPr>
              <w:t>CASA’s strategic approach has been finalised</w:t>
            </w:r>
            <w:r>
              <w:rPr>
                <w:rFonts w:ascii="Arial Narrow" w:hAnsi="Arial Narrow" w:cs="Arial"/>
                <w:sz w:val="20"/>
              </w:rPr>
              <w:t>, and</w:t>
            </w:r>
            <w:r w:rsidRPr="008056D8">
              <w:rPr>
                <w:rFonts w:ascii="Arial Narrow" w:hAnsi="Arial Narrow" w:cs="Arial"/>
                <w:sz w:val="20"/>
              </w:rPr>
              <w:t xml:space="preserve"> the NOP </w:t>
            </w:r>
            <w:r>
              <w:rPr>
                <w:rFonts w:ascii="Arial Narrow" w:hAnsi="Arial Narrow" w:cs="Arial"/>
                <w:sz w:val="20"/>
              </w:rPr>
              <w:t>will</w:t>
            </w:r>
            <w:r w:rsidRPr="008056D8">
              <w:rPr>
                <w:rFonts w:ascii="Arial Narrow" w:hAnsi="Arial Narrow" w:cs="Arial"/>
                <w:sz w:val="20"/>
              </w:rPr>
              <w:t xml:space="preserve"> use sector risk profile results to inform surveillance activity. The process around integrating the sector risk profiles is being developed as the NOP matures.</w:t>
            </w:r>
          </w:p>
          <w:p w14:paraId="0BF5DE2C" w14:textId="77777777" w:rsidR="00425A89" w:rsidRPr="008056D8" w:rsidRDefault="00425A89" w:rsidP="00425A89">
            <w:pPr>
              <w:rPr>
                <w:rFonts w:ascii="Arial Narrow" w:hAnsi="Arial Narrow" w:cs="Arial"/>
                <w:sz w:val="20"/>
              </w:rPr>
            </w:pPr>
            <w:r w:rsidRPr="008056D8">
              <w:rPr>
                <w:rFonts w:ascii="Arial Narrow" w:hAnsi="Arial Narrow" w:cs="Arial"/>
                <w:sz w:val="20"/>
              </w:rPr>
              <w:t>A</w:t>
            </w:r>
            <w:r>
              <w:rPr>
                <w:rFonts w:ascii="Arial Narrow" w:hAnsi="Arial Narrow" w:cs="Arial"/>
                <w:sz w:val="20"/>
              </w:rPr>
              <w:t>t the direction of the Aviation Safety Committee</w:t>
            </w:r>
            <w:r w:rsidR="00BB5657">
              <w:rPr>
                <w:rFonts w:ascii="Arial Narrow" w:hAnsi="Arial Narrow" w:cs="Arial"/>
                <w:sz w:val="20"/>
              </w:rPr>
              <w:t>,</w:t>
            </w:r>
            <w:r>
              <w:rPr>
                <w:rFonts w:ascii="Arial Narrow" w:hAnsi="Arial Narrow" w:cs="Arial"/>
                <w:sz w:val="20"/>
              </w:rPr>
              <w:t xml:space="preserve"> a</w:t>
            </w:r>
            <w:r w:rsidRPr="008056D8">
              <w:rPr>
                <w:rFonts w:ascii="Arial Narrow" w:hAnsi="Arial Narrow" w:cs="Arial"/>
                <w:sz w:val="20"/>
              </w:rPr>
              <w:t xml:space="preserve"> </w:t>
            </w:r>
            <w:r>
              <w:rPr>
                <w:rFonts w:ascii="Arial Narrow" w:hAnsi="Arial Narrow" w:cs="Arial"/>
                <w:sz w:val="20"/>
              </w:rPr>
              <w:t>s</w:t>
            </w:r>
            <w:r w:rsidRPr="008056D8">
              <w:rPr>
                <w:rFonts w:ascii="Arial Narrow" w:hAnsi="Arial Narrow" w:cs="Arial"/>
                <w:sz w:val="20"/>
              </w:rPr>
              <w:t>ector</w:t>
            </w:r>
            <w:r>
              <w:rPr>
                <w:rFonts w:ascii="Arial Narrow" w:hAnsi="Arial Narrow" w:cs="Arial"/>
                <w:sz w:val="20"/>
              </w:rPr>
              <w:t>-a</w:t>
            </w:r>
            <w:r w:rsidRPr="008056D8">
              <w:rPr>
                <w:rFonts w:ascii="Arial Narrow" w:hAnsi="Arial Narrow" w:cs="Arial"/>
                <w:sz w:val="20"/>
              </w:rPr>
              <w:t xml:space="preserve">ligned </w:t>
            </w:r>
            <w:r>
              <w:rPr>
                <w:rFonts w:ascii="Arial Narrow" w:hAnsi="Arial Narrow" w:cs="Arial"/>
                <w:sz w:val="20"/>
              </w:rPr>
              <w:t>s</w:t>
            </w:r>
            <w:r w:rsidRPr="008056D8">
              <w:rPr>
                <w:rFonts w:ascii="Arial Narrow" w:hAnsi="Arial Narrow" w:cs="Arial"/>
                <w:sz w:val="20"/>
              </w:rPr>
              <w:t xml:space="preserve">urveillance </w:t>
            </w:r>
            <w:r>
              <w:rPr>
                <w:rFonts w:ascii="Arial Narrow" w:hAnsi="Arial Narrow" w:cs="Arial"/>
                <w:sz w:val="20"/>
              </w:rPr>
              <w:t>a</w:t>
            </w:r>
            <w:r w:rsidRPr="008056D8">
              <w:rPr>
                <w:rFonts w:ascii="Arial Narrow" w:hAnsi="Arial Narrow" w:cs="Arial"/>
                <w:sz w:val="20"/>
              </w:rPr>
              <w:t xml:space="preserve">udit team was formed and undertook a sector </w:t>
            </w:r>
            <w:r>
              <w:rPr>
                <w:rFonts w:ascii="Arial Narrow" w:hAnsi="Arial Narrow" w:cs="Arial"/>
                <w:sz w:val="20"/>
              </w:rPr>
              <w:t>campaign</w:t>
            </w:r>
            <w:r w:rsidRPr="008056D8">
              <w:rPr>
                <w:rFonts w:ascii="Arial Narrow" w:hAnsi="Arial Narrow" w:cs="Arial"/>
                <w:sz w:val="20"/>
              </w:rPr>
              <w:t xml:space="preserve"> surveillance trial </w:t>
            </w:r>
            <w:r>
              <w:rPr>
                <w:rFonts w:ascii="Arial Narrow" w:hAnsi="Arial Narrow" w:cs="Arial"/>
                <w:sz w:val="20"/>
              </w:rPr>
              <w:t>on</w:t>
            </w:r>
            <w:r w:rsidRPr="008056D8">
              <w:rPr>
                <w:rFonts w:ascii="Arial Narrow" w:hAnsi="Arial Narrow" w:cs="Arial"/>
                <w:sz w:val="20"/>
              </w:rPr>
              <w:t xml:space="preserve"> the small aeroplane transport and commercial balloon sectors. </w:t>
            </w:r>
          </w:p>
          <w:p w14:paraId="7258F7A4" w14:textId="77777777" w:rsidR="000F61DE" w:rsidRPr="006C0823" w:rsidRDefault="00425A89" w:rsidP="00425A89">
            <w:pPr>
              <w:pStyle w:val="TableText"/>
              <w:rPr>
                <w:rFonts w:eastAsia="Times New Roman"/>
              </w:rPr>
            </w:pPr>
            <w:r w:rsidRPr="008056D8">
              <w:rPr>
                <w:rFonts w:cs="Arial"/>
              </w:rPr>
              <w:t xml:space="preserve">Results from sector </w:t>
            </w:r>
            <w:r>
              <w:rPr>
                <w:rFonts w:cs="Arial"/>
              </w:rPr>
              <w:t>campaign</w:t>
            </w:r>
            <w:r w:rsidRPr="008056D8">
              <w:rPr>
                <w:rFonts w:cs="Arial"/>
              </w:rPr>
              <w:t xml:space="preserve"> surveillance activities are being used to validate the specific sector risk profiles </w:t>
            </w:r>
            <w:r>
              <w:rPr>
                <w:rFonts w:cs="Arial"/>
              </w:rPr>
              <w:t>and</w:t>
            </w:r>
            <w:r w:rsidRPr="008056D8">
              <w:rPr>
                <w:rFonts w:cs="Arial"/>
              </w:rPr>
              <w:t xml:space="preserve"> to deliver continuous improvement</w:t>
            </w:r>
            <w:r>
              <w:rPr>
                <w:rFonts w:cs="Arial"/>
              </w:rPr>
              <w:t xml:space="preserve"> in relation to CASA’s surveillance activities</w:t>
            </w:r>
            <w:r w:rsidRPr="008056D8">
              <w:rPr>
                <w:rFonts w:cs="Arial"/>
              </w:rPr>
              <w:t>.</w:t>
            </w:r>
          </w:p>
        </w:tc>
      </w:tr>
      <w:tr w:rsidR="000F61DE" w:rsidRPr="006C0823" w14:paraId="0616F0D1" w14:textId="77777777" w:rsidTr="00A86663">
        <w:tc>
          <w:tcPr>
            <w:tcW w:w="531" w:type="pct"/>
            <w:shd w:val="clear" w:color="auto" w:fill="D9D9D9"/>
          </w:tcPr>
          <w:p w14:paraId="46A9609D" w14:textId="77777777" w:rsidR="000F61DE" w:rsidRPr="006C0823" w:rsidRDefault="000F61DE" w:rsidP="006E2310">
            <w:pPr>
              <w:pStyle w:val="TableHeading"/>
              <w:rPr>
                <w:rFonts w:eastAsia="Times New Roman"/>
              </w:rPr>
            </w:pPr>
            <w:r w:rsidRPr="006C0823">
              <w:rPr>
                <w:rFonts w:eastAsia="Times New Roman"/>
              </w:rPr>
              <w:t>Measure</w:t>
            </w:r>
          </w:p>
        </w:tc>
        <w:tc>
          <w:tcPr>
            <w:tcW w:w="4469" w:type="pct"/>
            <w:shd w:val="clear" w:color="auto" w:fill="D9D9D9"/>
          </w:tcPr>
          <w:p w14:paraId="6AEC4B70" w14:textId="77777777" w:rsidR="000F61DE" w:rsidRPr="006C0823" w:rsidRDefault="000F61DE" w:rsidP="006E2310">
            <w:pPr>
              <w:pStyle w:val="TableText"/>
              <w:rPr>
                <w:rFonts w:eastAsia="Times New Roman"/>
              </w:rPr>
            </w:pPr>
            <w:r>
              <w:t>I</w:t>
            </w:r>
            <w:r w:rsidRPr="009521D3">
              <w:t xml:space="preserve">mprove consistency </w:t>
            </w:r>
            <w:r>
              <w:t xml:space="preserve">in decision making and regulatory interpretation </w:t>
            </w:r>
            <w:r w:rsidRPr="009521D3">
              <w:t xml:space="preserve">across </w:t>
            </w:r>
            <w:r>
              <w:t>CASA</w:t>
            </w:r>
            <w:r w:rsidRPr="009521D3">
              <w:t xml:space="preserve"> offices</w:t>
            </w:r>
          </w:p>
        </w:tc>
      </w:tr>
      <w:tr w:rsidR="000F61DE" w:rsidRPr="006C0823" w14:paraId="06BE4E16" w14:textId="77777777" w:rsidTr="00A86663">
        <w:tc>
          <w:tcPr>
            <w:tcW w:w="531" w:type="pct"/>
            <w:shd w:val="clear" w:color="auto" w:fill="FFFFFF"/>
          </w:tcPr>
          <w:p w14:paraId="39212F68" w14:textId="77777777" w:rsidR="000F61DE" w:rsidRPr="006C0823" w:rsidRDefault="000F61DE" w:rsidP="006E2310">
            <w:pPr>
              <w:pStyle w:val="TableHeading"/>
              <w:keepNext w:val="0"/>
              <w:rPr>
                <w:rFonts w:eastAsia="Times New Roman"/>
              </w:rPr>
            </w:pPr>
            <w:r w:rsidRPr="006C0823">
              <w:rPr>
                <w:rFonts w:eastAsia="Times New Roman"/>
              </w:rPr>
              <w:t>Result</w:t>
            </w:r>
          </w:p>
          <w:p w14:paraId="49248C70"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shd w:val="clear" w:color="auto" w:fill="FFFFFF"/>
          </w:tcPr>
          <w:p w14:paraId="1A2C6E7F" w14:textId="77777777" w:rsidR="00425A89" w:rsidRPr="008056D8" w:rsidRDefault="00425A89" w:rsidP="00425A89">
            <w:pPr>
              <w:rPr>
                <w:rFonts w:ascii="Arial Narrow" w:hAnsi="Arial Narrow" w:cs="Arial"/>
                <w:sz w:val="20"/>
              </w:rPr>
            </w:pPr>
            <w:r w:rsidRPr="008056D8">
              <w:rPr>
                <w:rFonts w:ascii="Arial Narrow" w:hAnsi="Arial Narrow" w:cs="Arial"/>
                <w:sz w:val="20"/>
              </w:rPr>
              <w:t>CASA publishes key regulatory decisions on its external website for industry information.</w:t>
            </w:r>
          </w:p>
          <w:p w14:paraId="3597AE64" w14:textId="77777777" w:rsidR="00425A89" w:rsidRPr="008056D8" w:rsidRDefault="00425A89" w:rsidP="00425A89">
            <w:pPr>
              <w:rPr>
                <w:rFonts w:ascii="Arial Narrow" w:hAnsi="Arial Narrow" w:cs="Arial"/>
                <w:sz w:val="20"/>
              </w:rPr>
            </w:pPr>
            <w:r>
              <w:rPr>
                <w:rFonts w:ascii="Arial Narrow" w:hAnsi="Arial Narrow" w:cs="Arial"/>
                <w:sz w:val="20"/>
              </w:rPr>
              <w:t>CASA’s</w:t>
            </w:r>
            <w:r w:rsidRPr="008056D8">
              <w:rPr>
                <w:rFonts w:ascii="Arial Narrow" w:hAnsi="Arial Narrow" w:cs="Arial"/>
                <w:sz w:val="20"/>
              </w:rPr>
              <w:t xml:space="preserve"> </w:t>
            </w:r>
            <w:r>
              <w:rPr>
                <w:rFonts w:ascii="Arial Narrow" w:hAnsi="Arial Narrow" w:cs="Arial"/>
                <w:sz w:val="20"/>
              </w:rPr>
              <w:t>r</w:t>
            </w:r>
            <w:r w:rsidRPr="008056D8">
              <w:rPr>
                <w:rFonts w:ascii="Arial Narrow" w:hAnsi="Arial Narrow" w:cs="Arial"/>
                <w:sz w:val="20"/>
              </w:rPr>
              <w:t xml:space="preserve">egulatory </w:t>
            </w:r>
            <w:r>
              <w:rPr>
                <w:rFonts w:ascii="Arial Narrow" w:hAnsi="Arial Narrow" w:cs="Arial"/>
                <w:sz w:val="20"/>
              </w:rPr>
              <w:t>i</w:t>
            </w:r>
            <w:r w:rsidRPr="008056D8">
              <w:rPr>
                <w:rFonts w:ascii="Arial Narrow" w:hAnsi="Arial Narrow" w:cs="Arial"/>
                <w:sz w:val="20"/>
              </w:rPr>
              <w:t>mplementation pro</w:t>
            </w:r>
            <w:r>
              <w:rPr>
                <w:rFonts w:ascii="Arial Narrow" w:hAnsi="Arial Narrow" w:cs="Arial"/>
                <w:sz w:val="20"/>
              </w:rPr>
              <w:t>gram</w:t>
            </w:r>
            <w:r w:rsidRPr="008056D8">
              <w:rPr>
                <w:rFonts w:ascii="Arial Narrow" w:hAnsi="Arial Narrow" w:cs="Arial"/>
                <w:sz w:val="20"/>
              </w:rPr>
              <w:t xml:space="preserve"> </w:t>
            </w:r>
            <w:r>
              <w:rPr>
                <w:rFonts w:ascii="Arial Narrow" w:hAnsi="Arial Narrow" w:cs="Arial"/>
                <w:sz w:val="20"/>
              </w:rPr>
              <w:t xml:space="preserve">has </w:t>
            </w:r>
            <w:r w:rsidRPr="008056D8">
              <w:rPr>
                <w:rFonts w:ascii="Arial Narrow" w:hAnsi="Arial Narrow" w:cs="Arial"/>
                <w:sz w:val="20"/>
              </w:rPr>
              <w:t xml:space="preserve">a core focus on </w:t>
            </w:r>
            <w:r>
              <w:rPr>
                <w:rFonts w:ascii="Arial Narrow" w:hAnsi="Arial Narrow" w:cs="Arial"/>
                <w:sz w:val="20"/>
              </w:rPr>
              <w:t>M</w:t>
            </w:r>
            <w:r w:rsidRPr="008056D8">
              <w:rPr>
                <w:rFonts w:ascii="Arial Narrow" w:hAnsi="Arial Narrow" w:cs="Arial"/>
                <w:sz w:val="20"/>
              </w:rPr>
              <w:t>anual</w:t>
            </w:r>
            <w:r>
              <w:rPr>
                <w:rFonts w:ascii="Arial Narrow" w:hAnsi="Arial Narrow" w:cs="Arial"/>
                <w:sz w:val="20"/>
              </w:rPr>
              <w:t>s</w:t>
            </w:r>
            <w:r w:rsidRPr="008056D8">
              <w:rPr>
                <w:rFonts w:ascii="Arial Narrow" w:hAnsi="Arial Narrow" w:cs="Arial"/>
                <w:sz w:val="20"/>
              </w:rPr>
              <w:t xml:space="preserve"> of </w:t>
            </w:r>
            <w:r>
              <w:rPr>
                <w:rFonts w:ascii="Arial Narrow" w:hAnsi="Arial Narrow" w:cs="Arial"/>
                <w:sz w:val="20"/>
              </w:rPr>
              <w:t>S</w:t>
            </w:r>
            <w:r w:rsidRPr="008056D8">
              <w:rPr>
                <w:rFonts w:ascii="Arial Narrow" w:hAnsi="Arial Narrow" w:cs="Arial"/>
                <w:sz w:val="20"/>
              </w:rPr>
              <w:t>tandards and guidance material for new regulations</w:t>
            </w:r>
            <w:r>
              <w:rPr>
                <w:rFonts w:ascii="Arial Narrow" w:hAnsi="Arial Narrow" w:cs="Arial"/>
                <w:sz w:val="20"/>
              </w:rPr>
              <w:t>,</w:t>
            </w:r>
            <w:r w:rsidRPr="008056D8">
              <w:rPr>
                <w:rFonts w:ascii="Arial Narrow" w:hAnsi="Arial Narrow" w:cs="Arial"/>
                <w:sz w:val="20"/>
              </w:rPr>
              <w:t xml:space="preserve"> to ensure correct regulatory interpretation by CASA and industry.</w:t>
            </w:r>
          </w:p>
          <w:p w14:paraId="170A0B45" w14:textId="77777777" w:rsidR="00425A89" w:rsidRPr="00B85E80" w:rsidRDefault="00425A89" w:rsidP="00425A89">
            <w:pPr>
              <w:rPr>
                <w:rFonts w:ascii="Arial Narrow" w:hAnsi="Arial Narrow" w:cs="Arial"/>
                <w:sz w:val="20"/>
              </w:rPr>
            </w:pPr>
            <w:r w:rsidRPr="00B85E80">
              <w:rPr>
                <w:rFonts w:ascii="Arial Narrow" w:hAnsi="Arial Narrow" w:cs="Arial"/>
                <w:sz w:val="20"/>
              </w:rPr>
              <w:t xml:space="preserve">CASA has established an executive team to provide a decision-making forum for the Aviation </w:t>
            </w:r>
            <w:r>
              <w:rPr>
                <w:rFonts w:ascii="Arial Narrow" w:hAnsi="Arial Narrow" w:cs="Arial"/>
                <w:sz w:val="20"/>
              </w:rPr>
              <w:t>Group</w:t>
            </w:r>
            <w:r w:rsidRPr="00B85E80">
              <w:rPr>
                <w:rFonts w:ascii="Arial Narrow" w:hAnsi="Arial Narrow" w:cs="Arial"/>
                <w:sz w:val="20"/>
              </w:rPr>
              <w:t xml:space="preserve"> </w:t>
            </w:r>
            <w:r>
              <w:rPr>
                <w:rFonts w:ascii="Arial Narrow" w:hAnsi="Arial Narrow" w:cs="Arial"/>
                <w:sz w:val="20"/>
              </w:rPr>
              <w:t>in order</w:t>
            </w:r>
            <w:r w:rsidRPr="00B85E80">
              <w:rPr>
                <w:rFonts w:ascii="Arial Narrow" w:hAnsi="Arial Narrow" w:cs="Arial"/>
                <w:sz w:val="20"/>
              </w:rPr>
              <w:t xml:space="preserve"> to </w:t>
            </w:r>
            <w:r w:rsidRPr="00B85E80">
              <w:rPr>
                <w:rFonts w:ascii="Arial Narrow" w:hAnsi="Arial Narrow"/>
                <w:sz w:val="20"/>
                <w:lang w:val="en-AU"/>
              </w:rPr>
              <w:t xml:space="preserve">facilitate consistent decision-making across the </w:t>
            </w:r>
            <w:r>
              <w:rPr>
                <w:rFonts w:ascii="Arial Narrow" w:hAnsi="Arial Narrow"/>
                <w:sz w:val="20"/>
                <w:lang w:val="en-AU"/>
              </w:rPr>
              <w:t>regions and branches.</w:t>
            </w:r>
            <w:r w:rsidRPr="00B85E80">
              <w:rPr>
                <w:rFonts w:ascii="Arial Narrow" w:hAnsi="Arial Narrow" w:cs="Arial"/>
                <w:sz w:val="20"/>
              </w:rPr>
              <w:t xml:space="preserve"> </w:t>
            </w:r>
          </w:p>
          <w:p w14:paraId="775F20D7" w14:textId="77777777" w:rsidR="00425A89" w:rsidRPr="008056D8" w:rsidRDefault="00425A89" w:rsidP="00425A89">
            <w:pPr>
              <w:rPr>
                <w:rFonts w:ascii="Arial Narrow" w:hAnsi="Arial Narrow" w:cs="Arial"/>
                <w:sz w:val="20"/>
              </w:rPr>
            </w:pPr>
            <w:r w:rsidRPr="008056D8">
              <w:rPr>
                <w:rFonts w:ascii="Arial Narrow" w:hAnsi="Arial Narrow" w:cs="Arial"/>
                <w:sz w:val="20"/>
              </w:rPr>
              <w:t>The new forum identified the need for inspectors to enhance their skills in standardised regulatory decision</w:t>
            </w:r>
            <w:r>
              <w:rPr>
                <w:rFonts w:ascii="Arial Narrow" w:hAnsi="Arial Narrow" w:cs="Arial"/>
                <w:sz w:val="20"/>
              </w:rPr>
              <w:t>-</w:t>
            </w:r>
            <w:r w:rsidRPr="008056D8">
              <w:rPr>
                <w:rFonts w:ascii="Arial Narrow" w:hAnsi="Arial Narrow" w:cs="Arial"/>
                <w:sz w:val="20"/>
              </w:rPr>
              <w:t>making. This will be addressed in 2018–19.</w:t>
            </w:r>
          </w:p>
          <w:p w14:paraId="177BE2F3" w14:textId="77777777" w:rsidR="000F61DE" w:rsidRPr="006C0823" w:rsidRDefault="00425A89" w:rsidP="00425A89">
            <w:pPr>
              <w:pStyle w:val="TableText"/>
              <w:rPr>
                <w:rFonts w:eastAsia="Times New Roman"/>
              </w:rPr>
            </w:pPr>
            <w:r w:rsidRPr="008056D8">
              <w:rPr>
                <w:rFonts w:cs="Arial"/>
              </w:rPr>
              <w:t xml:space="preserve">A coordinated enforcement program is in place across CASA and </w:t>
            </w:r>
            <w:r>
              <w:rPr>
                <w:rFonts w:cs="Arial"/>
              </w:rPr>
              <w:t>training on making good legal and enforcement decisions</w:t>
            </w:r>
            <w:r w:rsidRPr="008056D8">
              <w:rPr>
                <w:rFonts w:cs="Arial"/>
              </w:rPr>
              <w:t xml:space="preserve"> is delivered to all new staff</w:t>
            </w:r>
            <w:r>
              <w:rPr>
                <w:rFonts w:cs="Arial"/>
              </w:rPr>
              <w:t>.</w:t>
            </w:r>
            <w:r w:rsidRPr="008056D8">
              <w:rPr>
                <w:rFonts w:cs="Arial"/>
              </w:rPr>
              <w:t xml:space="preserve"> </w:t>
            </w:r>
            <w:r>
              <w:rPr>
                <w:rFonts w:cs="Arial"/>
              </w:rPr>
              <w:t>R</w:t>
            </w:r>
            <w:r w:rsidRPr="008056D8">
              <w:rPr>
                <w:rFonts w:cs="Arial"/>
              </w:rPr>
              <w:t>efresher training is being developed for</w:t>
            </w:r>
            <w:r>
              <w:rPr>
                <w:rFonts w:cs="Arial"/>
              </w:rPr>
              <w:t xml:space="preserve"> delivery in</w:t>
            </w:r>
            <w:r w:rsidRPr="008056D8">
              <w:rPr>
                <w:rFonts w:cs="Arial"/>
              </w:rPr>
              <w:t xml:space="preserve"> the first half of 2018–19.</w:t>
            </w:r>
          </w:p>
        </w:tc>
      </w:tr>
      <w:tr w:rsidR="000F61DE" w:rsidRPr="006C0823" w14:paraId="6A5B76CB" w14:textId="77777777" w:rsidTr="00A86663">
        <w:tc>
          <w:tcPr>
            <w:tcW w:w="531" w:type="pct"/>
            <w:shd w:val="clear" w:color="auto" w:fill="D9D9D9"/>
          </w:tcPr>
          <w:p w14:paraId="4DC6523F" w14:textId="77777777" w:rsidR="000F61DE" w:rsidRPr="006C0823" w:rsidRDefault="000F61DE" w:rsidP="006E2310">
            <w:pPr>
              <w:pStyle w:val="TableHeading"/>
              <w:rPr>
                <w:rFonts w:eastAsia="Times New Roman"/>
              </w:rPr>
            </w:pPr>
            <w:r w:rsidRPr="006C0823">
              <w:rPr>
                <w:rFonts w:eastAsia="Times New Roman"/>
              </w:rPr>
              <w:t>Measure</w:t>
            </w:r>
          </w:p>
        </w:tc>
        <w:tc>
          <w:tcPr>
            <w:tcW w:w="4469" w:type="pct"/>
            <w:shd w:val="clear" w:color="auto" w:fill="D9D9D9"/>
          </w:tcPr>
          <w:p w14:paraId="4C4E13D4" w14:textId="77777777" w:rsidR="000F61DE" w:rsidRPr="006C0823" w:rsidRDefault="000F61DE" w:rsidP="006E2310">
            <w:pPr>
              <w:pStyle w:val="TableText"/>
              <w:rPr>
                <w:rFonts w:eastAsia="Times New Roman"/>
              </w:rPr>
            </w:pPr>
            <w:r>
              <w:t>Regularly review Australian airspace and implement initiatives identified in the Australian Airspace Policy Statement</w:t>
            </w:r>
          </w:p>
        </w:tc>
      </w:tr>
      <w:tr w:rsidR="000F61DE" w:rsidRPr="006C0823" w14:paraId="454A7559" w14:textId="77777777" w:rsidTr="00A86663">
        <w:tc>
          <w:tcPr>
            <w:tcW w:w="531" w:type="pct"/>
          </w:tcPr>
          <w:p w14:paraId="51E92E39" w14:textId="77777777" w:rsidR="000F61DE" w:rsidRPr="006C0823" w:rsidRDefault="000F61DE" w:rsidP="006E2310">
            <w:pPr>
              <w:pStyle w:val="TableHeading"/>
              <w:keepNext w:val="0"/>
              <w:rPr>
                <w:rFonts w:eastAsia="Times New Roman"/>
              </w:rPr>
            </w:pPr>
            <w:r w:rsidRPr="006C0823">
              <w:rPr>
                <w:rFonts w:eastAsia="Times New Roman"/>
              </w:rPr>
              <w:t>Result</w:t>
            </w:r>
          </w:p>
          <w:p w14:paraId="799F30CC"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p>
        </w:tc>
        <w:tc>
          <w:tcPr>
            <w:tcW w:w="4469" w:type="pct"/>
          </w:tcPr>
          <w:p w14:paraId="6B1FF81E" w14:textId="77777777" w:rsidR="000F61DE" w:rsidRPr="008056D8" w:rsidRDefault="000F61DE" w:rsidP="006E2310">
            <w:pPr>
              <w:rPr>
                <w:rFonts w:ascii="Arial Narrow" w:hAnsi="Arial Narrow" w:cs="Arial"/>
                <w:sz w:val="20"/>
              </w:rPr>
            </w:pPr>
            <w:r w:rsidRPr="008056D8">
              <w:rPr>
                <w:rFonts w:ascii="Arial Narrow" w:hAnsi="Arial Narrow" w:cs="Arial"/>
                <w:sz w:val="20"/>
              </w:rPr>
              <w:t>CASA conducted and commenced all activities</w:t>
            </w:r>
            <w:r>
              <w:rPr>
                <w:rFonts w:ascii="Arial Narrow" w:hAnsi="Arial Narrow" w:cs="Arial"/>
                <w:sz w:val="20"/>
              </w:rPr>
              <w:t xml:space="preserve"> for 2017–18</w:t>
            </w:r>
            <w:r w:rsidRPr="008056D8">
              <w:rPr>
                <w:rFonts w:ascii="Arial Narrow" w:hAnsi="Arial Narrow" w:cs="Arial"/>
                <w:sz w:val="20"/>
              </w:rPr>
              <w:t xml:space="preserve"> </w:t>
            </w:r>
            <w:r>
              <w:rPr>
                <w:rFonts w:ascii="Arial Narrow" w:hAnsi="Arial Narrow" w:cs="Arial"/>
                <w:sz w:val="20"/>
              </w:rPr>
              <w:t>described in</w:t>
            </w:r>
            <w:r w:rsidRPr="008056D8">
              <w:rPr>
                <w:rFonts w:ascii="Arial Narrow" w:hAnsi="Arial Narrow" w:cs="Arial"/>
                <w:sz w:val="20"/>
              </w:rPr>
              <w:t xml:space="preserve"> the </w:t>
            </w:r>
            <w:r w:rsidRPr="007953CC">
              <w:rPr>
                <w:rFonts w:ascii="Arial Narrow" w:hAnsi="Arial Narrow" w:cs="Arial"/>
                <w:i/>
                <w:sz w:val="20"/>
              </w:rPr>
              <w:t>Office of Airspace Regulation Strategic Work Plan</w:t>
            </w:r>
            <w:r w:rsidRPr="008056D8">
              <w:rPr>
                <w:rFonts w:ascii="Arial Narrow" w:hAnsi="Arial Narrow" w:cs="Arial"/>
                <w:sz w:val="20"/>
              </w:rPr>
              <w:t>.</w:t>
            </w:r>
          </w:p>
          <w:p w14:paraId="447E9A66" w14:textId="77777777" w:rsidR="000F61DE" w:rsidRDefault="000F61DE" w:rsidP="006E2310">
            <w:pPr>
              <w:pStyle w:val="TableText"/>
              <w:rPr>
                <w:rFonts w:cs="Arial"/>
              </w:rPr>
            </w:pPr>
            <w:r w:rsidRPr="008056D8">
              <w:rPr>
                <w:rFonts w:cs="Arial"/>
              </w:rPr>
              <w:t xml:space="preserve">The Office of Airspace Regulation (OAR) database is now operational and is used to inform </w:t>
            </w:r>
            <w:r>
              <w:rPr>
                <w:rFonts w:cs="Arial"/>
              </w:rPr>
              <w:t xml:space="preserve">CASA’s </w:t>
            </w:r>
            <w:r w:rsidRPr="008056D8">
              <w:rPr>
                <w:rFonts w:cs="Arial"/>
              </w:rPr>
              <w:t>priorities and resource allocation</w:t>
            </w:r>
            <w:r>
              <w:rPr>
                <w:rFonts w:cs="Arial"/>
              </w:rPr>
              <w:t>s</w:t>
            </w:r>
            <w:r w:rsidRPr="008056D8">
              <w:rPr>
                <w:rFonts w:cs="Arial"/>
              </w:rPr>
              <w:t xml:space="preserve"> for airspace reviews and aeronautical studies. </w:t>
            </w:r>
          </w:p>
          <w:p w14:paraId="47F60C80" w14:textId="77777777" w:rsidR="00EF73E8" w:rsidRPr="00EF73E8" w:rsidRDefault="000F61DE" w:rsidP="006E2310">
            <w:pPr>
              <w:pStyle w:val="TableText"/>
              <w:rPr>
                <w:rFonts w:cs="Arial"/>
              </w:rPr>
            </w:pPr>
            <w:r w:rsidRPr="008056D8">
              <w:rPr>
                <w:rFonts w:cs="Arial"/>
              </w:rPr>
              <w:t xml:space="preserve">A review of approximately 150 </w:t>
            </w:r>
            <w:r>
              <w:rPr>
                <w:rFonts w:cs="Arial"/>
              </w:rPr>
              <w:t>r</w:t>
            </w:r>
            <w:r w:rsidRPr="008056D8">
              <w:rPr>
                <w:rFonts w:cs="Arial"/>
              </w:rPr>
              <w:t xml:space="preserve">estricted or </w:t>
            </w:r>
            <w:r>
              <w:rPr>
                <w:rFonts w:cs="Arial"/>
              </w:rPr>
              <w:t>d</w:t>
            </w:r>
            <w:r w:rsidRPr="008056D8">
              <w:rPr>
                <w:rFonts w:cs="Arial"/>
              </w:rPr>
              <w:t xml:space="preserve">anger </w:t>
            </w:r>
            <w:r>
              <w:rPr>
                <w:rFonts w:cs="Arial"/>
              </w:rPr>
              <w:t>a</w:t>
            </w:r>
            <w:r w:rsidRPr="008056D8">
              <w:rPr>
                <w:rFonts w:cs="Arial"/>
              </w:rPr>
              <w:t>reas commenced</w:t>
            </w:r>
            <w:r>
              <w:rPr>
                <w:rFonts w:cs="Arial"/>
              </w:rPr>
              <w:t xml:space="preserve"> in 2017–18</w:t>
            </w:r>
            <w:r w:rsidRPr="008056D8">
              <w:rPr>
                <w:rFonts w:cs="Arial"/>
              </w:rPr>
              <w:t xml:space="preserve">. </w:t>
            </w:r>
            <w:r>
              <w:rPr>
                <w:rFonts w:cs="Arial"/>
              </w:rPr>
              <w:t>T</w:t>
            </w:r>
            <w:r w:rsidRPr="008056D8">
              <w:rPr>
                <w:rFonts w:cs="Arial"/>
              </w:rPr>
              <w:t xml:space="preserve">he Melbourne </w:t>
            </w:r>
            <w:r>
              <w:rPr>
                <w:rFonts w:cs="Arial"/>
              </w:rPr>
              <w:t>s</w:t>
            </w:r>
            <w:r w:rsidRPr="008056D8">
              <w:rPr>
                <w:rFonts w:cs="Arial"/>
              </w:rPr>
              <w:t xml:space="preserve">tudy has been delayed and is expected </w:t>
            </w:r>
            <w:r>
              <w:rPr>
                <w:rFonts w:cs="Arial"/>
              </w:rPr>
              <w:t xml:space="preserve">to be completed </w:t>
            </w:r>
            <w:r w:rsidRPr="008056D8">
              <w:rPr>
                <w:rFonts w:cs="Arial"/>
              </w:rPr>
              <w:t xml:space="preserve">during the second quarter of 2018–19, following release of the proposed airspace </w:t>
            </w:r>
            <w:r w:rsidRPr="00032A42">
              <w:rPr>
                <w:rFonts w:cs="Arial"/>
              </w:rPr>
              <w:t>design and flight procedures for the new parallel runway at Melbourne Airport. All other reviews are on schedule.</w:t>
            </w:r>
          </w:p>
        </w:tc>
      </w:tr>
      <w:tr w:rsidR="000F61DE" w:rsidRPr="006C0823" w14:paraId="5F6E337D" w14:textId="77777777" w:rsidTr="00A86663">
        <w:tc>
          <w:tcPr>
            <w:tcW w:w="531" w:type="pct"/>
            <w:shd w:val="clear" w:color="auto" w:fill="B8CCE4"/>
          </w:tcPr>
          <w:p w14:paraId="5484B1EB" w14:textId="77777777" w:rsidR="000F61DE" w:rsidRPr="006C0823" w:rsidRDefault="000F61DE" w:rsidP="006E2310">
            <w:pPr>
              <w:pStyle w:val="TableHeading"/>
              <w:rPr>
                <w:rFonts w:eastAsia="Times New Roman"/>
              </w:rPr>
            </w:pPr>
            <w:r w:rsidRPr="006C0823">
              <w:rPr>
                <w:rFonts w:eastAsia="Times New Roman"/>
              </w:rPr>
              <w:t>Initiative</w:t>
            </w:r>
          </w:p>
          <w:p w14:paraId="01AA755E" w14:textId="77777777" w:rsidR="000F61DE" w:rsidRPr="006C0823" w:rsidRDefault="000F61DE" w:rsidP="006E2310">
            <w:pPr>
              <w:pStyle w:val="TableHeading"/>
              <w:rPr>
                <w:rFonts w:eastAsia="Times New Roman"/>
              </w:rPr>
            </w:pPr>
            <w:r w:rsidRPr="006C0823">
              <w:rPr>
                <w:rFonts w:eastAsia="Times New Roman"/>
              </w:rPr>
              <w:t>1.6</w:t>
            </w:r>
          </w:p>
        </w:tc>
        <w:tc>
          <w:tcPr>
            <w:tcW w:w="4469" w:type="pct"/>
            <w:shd w:val="clear" w:color="auto" w:fill="B8CCE4"/>
          </w:tcPr>
          <w:p w14:paraId="03654755" w14:textId="77777777" w:rsidR="000F61DE" w:rsidRPr="00AA7009" w:rsidRDefault="000F61DE" w:rsidP="006E2310">
            <w:pPr>
              <w:pStyle w:val="TableText"/>
              <w:rPr>
                <w:rFonts w:eastAsia="Times New Roman"/>
              </w:rPr>
            </w:pPr>
            <w:r w:rsidRPr="00AA7009">
              <w:rPr>
                <w:b/>
              </w:rPr>
              <w:t>Develop modern enforcement strategies, policies and practices</w:t>
            </w:r>
          </w:p>
        </w:tc>
      </w:tr>
      <w:tr w:rsidR="000F61DE" w:rsidRPr="006C0823" w14:paraId="580EB255" w14:textId="77777777" w:rsidTr="00A86663">
        <w:tc>
          <w:tcPr>
            <w:tcW w:w="531" w:type="pct"/>
            <w:shd w:val="clear" w:color="auto" w:fill="D9D9D9"/>
          </w:tcPr>
          <w:p w14:paraId="21BA284E" w14:textId="77777777" w:rsidR="000F61DE" w:rsidRPr="006C0823" w:rsidRDefault="000F61DE" w:rsidP="006E2310">
            <w:pPr>
              <w:pStyle w:val="TableHeading"/>
              <w:rPr>
                <w:rFonts w:eastAsia="Times New Roman"/>
              </w:rPr>
            </w:pPr>
            <w:r w:rsidRPr="006C0823">
              <w:rPr>
                <w:rFonts w:eastAsia="Times New Roman"/>
              </w:rPr>
              <w:t>Measure</w:t>
            </w:r>
          </w:p>
        </w:tc>
        <w:tc>
          <w:tcPr>
            <w:tcW w:w="4469" w:type="pct"/>
            <w:shd w:val="clear" w:color="auto" w:fill="D9D9D9"/>
          </w:tcPr>
          <w:p w14:paraId="7DA90416" w14:textId="77777777" w:rsidR="000F61DE" w:rsidRPr="006C0823" w:rsidRDefault="000F61DE" w:rsidP="006E2310">
            <w:pPr>
              <w:pStyle w:val="TableText"/>
              <w:rPr>
                <w:rFonts w:eastAsia="Times New Roman"/>
              </w:rPr>
            </w:pPr>
            <w:r>
              <w:rPr>
                <w:rFonts w:cs="ArialMT"/>
                <w:color w:val="000000"/>
              </w:rPr>
              <w:t>P</w:t>
            </w:r>
            <w:r w:rsidRPr="00643D2D">
              <w:rPr>
                <w:rFonts w:cs="ArialMT"/>
                <w:color w:val="000000"/>
              </w:rPr>
              <w:t xml:space="preserve">ublish a proposed revised enforcement framework </w:t>
            </w:r>
            <w:r>
              <w:rPr>
                <w:rFonts w:cs="ArialMT"/>
                <w:color w:val="000000"/>
              </w:rPr>
              <w:t>for</w:t>
            </w:r>
            <w:r w:rsidRPr="00643D2D">
              <w:rPr>
                <w:rFonts w:cs="ArialMT"/>
                <w:color w:val="000000"/>
              </w:rPr>
              <w:t xml:space="preserve"> CASR Part 13 for p</w:t>
            </w:r>
            <w:r>
              <w:rPr>
                <w:rFonts w:cs="ArialMT"/>
                <w:color w:val="000000"/>
              </w:rPr>
              <w:t>ublic consultation and comment</w:t>
            </w:r>
          </w:p>
        </w:tc>
      </w:tr>
      <w:tr w:rsidR="000F61DE" w:rsidRPr="006C0823" w14:paraId="7F5052A8" w14:textId="77777777" w:rsidTr="00A86663">
        <w:tc>
          <w:tcPr>
            <w:tcW w:w="531" w:type="pct"/>
          </w:tcPr>
          <w:p w14:paraId="46DC47E9" w14:textId="77777777" w:rsidR="000F61DE" w:rsidRPr="006C0823" w:rsidRDefault="000F61DE" w:rsidP="006E2310">
            <w:pPr>
              <w:pStyle w:val="TableHeading"/>
              <w:keepNext w:val="0"/>
              <w:rPr>
                <w:rFonts w:eastAsia="Times New Roman"/>
              </w:rPr>
            </w:pPr>
            <w:r w:rsidRPr="006C0823">
              <w:rPr>
                <w:rFonts w:eastAsia="Times New Roman"/>
              </w:rPr>
              <w:t>Result</w:t>
            </w:r>
          </w:p>
          <w:p w14:paraId="0BBF981B"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p>
        </w:tc>
        <w:tc>
          <w:tcPr>
            <w:tcW w:w="4469" w:type="pct"/>
          </w:tcPr>
          <w:p w14:paraId="503AEAD8" w14:textId="77777777" w:rsidR="000F61DE" w:rsidRPr="006C0823" w:rsidRDefault="000F61DE" w:rsidP="006E2310">
            <w:pPr>
              <w:pStyle w:val="TableText"/>
              <w:rPr>
                <w:rFonts w:eastAsia="Times New Roman"/>
              </w:rPr>
            </w:pPr>
            <w:r>
              <w:t>CASR Part 13 is partially complete. Further action is dependent on the completion of other substantive CASR Parts.</w:t>
            </w:r>
          </w:p>
        </w:tc>
      </w:tr>
      <w:tr w:rsidR="000F61DE" w:rsidRPr="006C0823" w14:paraId="734DC8E9" w14:textId="77777777" w:rsidTr="00A86663">
        <w:tc>
          <w:tcPr>
            <w:tcW w:w="531" w:type="pct"/>
            <w:shd w:val="clear" w:color="auto" w:fill="D9D9D9"/>
          </w:tcPr>
          <w:p w14:paraId="477FF057" w14:textId="77777777" w:rsidR="000F61DE" w:rsidRPr="006C0823" w:rsidRDefault="000F61DE" w:rsidP="006E2310">
            <w:pPr>
              <w:pStyle w:val="TableHeading"/>
              <w:rPr>
                <w:rFonts w:eastAsia="Times New Roman"/>
              </w:rPr>
            </w:pPr>
            <w:r w:rsidRPr="006C0823">
              <w:rPr>
                <w:rFonts w:eastAsia="Times New Roman"/>
              </w:rPr>
              <w:t>Measure</w:t>
            </w:r>
          </w:p>
        </w:tc>
        <w:tc>
          <w:tcPr>
            <w:tcW w:w="4469" w:type="pct"/>
            <w:shd w:val="clear" w:color="auto" w:fill="D9D9D9"/>
          </w:tcPr>
          <w:p w14:paraId="12341672" w14:textId="77777777" w:rsidR="000F61DE" w:rsidRPr="006C0823" w:rsidRDefault="000F61DE" w:rsidP="006E2310">
            <w:pPr>
              <w:pStyle w:val="TableText"/>
              <w:rPr>
                <w:rFonts w:eastAsia="Times New Roman"/>
              </w:rPr>
            </w:pPr>
            <w:r>
              <w:rPr>
                <w:rFonts w:cs="ArialMT"/>
                <w:color w:val="000000"/>
              </w:rPr>
              <w:t>P</w:t>
            </w:r>
            <w:r w:rsidRPr="00643D2D">
              <w:rPr>
                <w:rFonts w:cs="ArialMT"/>
                <w:color w:val="000000"/>
              </w:rPr>
              <w:t xml:space="preserve">ublish a discussion paper on the </w:t>
            </w:r>
            <w:r>
              <w:rPr>
                <w:rFonts w:cs="ArialMT"/>
                <w:color w:val="000000"/>
              </w:rPr>
              <w:t xml:space="preserve">nature and </w:t>
            </w:r>
            <w:r w:rsidRPr="00643D2D">
              <w:rPr>
                <w:rFonts w:cs="ArialMT"/>
                <w:color w:val="000000"/>
              </w:rPr>
              <w:t xml:space="preserve">level of penalties in the </w:t>
            </w:r>
            <w:r w:rsidRPr="00643D2D">
              <w:rPr>
                <w:rFonts w:cs="ArialMT"/>
                <w:i/>
                <w:color w:val="000000"/>
              </w:rPr>
              <w:t xml:space="preserve">Civil Aviation Act </w:t>
            </w:r>
            <w:r>
              <w:rPr>
                <w:rFonts w:cs="ArialMT"/>
                <w:i/>
                <w:color w:val="000000"/>
              </w:rPr>
              <w:t xml:space="preserve">1988 </w:t>
            </w:r>
            <w:r w:rsidRPr="00643D2D">
              <w:rPr>
                <w:rFonts w:cs="ArialMT"/>
                <w:color w:val="000000"/>
              </w:rPr>
              <w:t xml:space="preserve">and </w:t>
            </w:r>
            <w:r>
              <w:rPr>
                <w:rFonts w:cs="ArialMT"/>
                <w:color w:val="000000"/>
              </w:rPr>
              <w:t xml:space="preserve">the regulations </w:t>
            </w:r>
            <w:r w:rsidRPr="00643D2D">
              <w:rPr>
                <w:rFonts w:cs="ArialMT"/>
                <w:color w:val="000000"/>
              </w:rPr>
              <w:t xml:space="preserve">CASR for public </w:t>
            </w:r>
            <w:r>
              <w:rPr>
                <w:rFonts w:cs="ArialMT"/>
                <w:color w:val="000000"/>
              </w:rPr>
              <w:t>comment</w:t>
            </w:r>
          </w:p>
        </w:tc>
      </w:tr>
      <w:tr w:rsidR="000F61DE" w:rsidRPr="006C0823" w14:paraId="5D968BB1" w14:textId="77777777" w:rsidTr="00A86663">
        <w:tc>
          <w:tcPr>
            <w:tcW w:w="531" w:type="pct"/>
          </w:tcPr>
          <w:p w14:paraId="0A218703" w14:textId="77777777" w:rsidR="000F61DE" w:rsidRPr="006C0823" w:rsidRDefault="000F61DE" w:rsidP="006E2310">
            <w:pPr>
              <w:pStyle w:val="TableHeading"/>
              <w:keepNext w:val="0"/>
              <w:rPr>
                <w:rFonts w:eastAsia="Times New Roman"/>
              </w:rPr>
            </w:pPr>
            <w:r w:rsidRPr="006C0823">
              <w:rPr>
                <w:rFonts w:eastAsia="Times New Roman"/>
              </w:rPr>
              <w:t>Result</w:t>
            </w:r>
          </w:p>
          <w:p w14:paraId="43453503"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p>
        </w:tc>
        <w:tc>
          <w:tcPr>
            <w:tcW w:w="4469" w:type="pct"/>
          </w:tcPr>
          <w:p w14:paraId="510F9366" w14:textId="77777777" w:rsidR="000F61DE" w:rsidRPr="006C0823" w:rsidRDefault="000F61DE" w:rsidP="006E2310">
            <w:pPr>
              <w:pStyle w:val="TableText"/>
            </w:pPr>
            <w:r>
              <w:t>In accordance with CASA’s commitment to address ASRR Recommendation 32, a discussion paper will be published on the nature and level of penalties after the major new CASR Parts have been completed. This is expected to occur in the second quarter of 2018–19.</w:t>
            </w:r>
          </w:p>
        </w:tc>
      </w:tr>
      <w:tr w:rsidR="000F61DE" w:rsidRPr="006C0823" w14:paraId="5FED1661" w14:textId="77777777" w:rsidTr="00A86663">
        <w:tc>
          <w:tcPr>
            <w:tcW w:w="531" w:type="pct"/>
            <w:shd w:val="clear" w:color="auto" w:fill="B8CCE4"/>
          </w:tcPr>
          <w:p w14:paraId="7379E4C2" w14:textId="77777777" w:rsidR="000F61DE" w:rsidRPr="006C0823" w:rsidRDefault="000F61DE" w:rsidP="006E2310">
            <w:pPr>
              <w:pStyle w:val="TableHeading"/>
              <w:rPr>
                <w:rFonts w:eastAsia="Times New Roman"/>
              </w:rPr>
            </w:pPr>
            <w:r w:rsidRPr="006C0823">
              <w:rPr>
                <w:rFonts w:eastAsia="Times New Roman"/>
              </w:rPr>
              <w:t>Initiative</w:t>
            </w:r>
          </w:p>
          <w:p w14:paraId="2649D00D" w14:textId="77777777" w:rsidR="000F61DE" w:rsidRPr="006C0823" w:rsidRDefault="000F61DE" w:rsidP="006E2310">
            <w:pPr>
              <w:pStyle w:val="TableHeading"/>
              <w:rPr>
                <w:rFonts w:eastAsia="Times New Roman"/>
              </w:rPr>
            </w:pPr>
            <w:r w:rsidRPr="006C0823">
              <w:rPr>
                <w:rFonts w:eastAsia="Times New Roman"/>
              </w:rPr>
              <w:t xml:space="preserve">1.7 </w:t>
            </w:r>
          </w:p>
        </w:tc>
        <w:tc>
          <w:tcPr>
            <w:tcW w:w="4469" w:type="pct"/>
            <w:shd w:val="clear" w:color="auto" w:fill="B8CCE4"/>
          </w:tcPr>
          <w:p w14:paraId="78BF5A03" w14:textId="77777777" w:rsidR="000F61DE" w:rsidRPr="00AA7009" w:rsidRDefault="000F61DE" w:rsidP="006E2310">
            <w:pPr>
              <w:pStyle w:val="TableBullet"/>
              <w:numPr>
                <w:ilvl w:val="0"/>
                <w:numId w:val="0"/>
              </w:numPr>
              <w:ind w:left="11" w:hanging="11"/>
            </w:pPr>
            <w:r w:rsidRPr="00AA7009">
              <w:rPr>
                <w:b/>
                <w:bCs/>
              </w:rPr>
              <w:t>Provide airworthiness assurance for all Australian aircraft and Australian designed and/or built aircraft operating internationally</w:t>
            </w:r>
          </w:p>
        </w:tc>
      </w:tr>
      <w:tr w:rsidR="000F61DE" w:rsidRPr="006C0823" w14:paraId="2B7035B7" w14:textId="77777777" w:rsidTr="00A86663">
        <w:trPr>
          <w:trHeight w:val="95"/>
        </w:trPr>
        <w:tc>
          <w:tcPr>
            <w:tcW w:w="531" w:type="pct"/>
            <w:shd w:val="clear" w:color="auto" w:fill="D9D9D9"/>
          </w:tcPr>
          <w:p w14:paraId="258079A8" w14:textId="77777777" w:rsidR="000F61DE" w:rsidRPr="006C0823" w:rsidRDefault="000F61DE" w:rsidP="006E2310">
            <w:pPr>
              <w:pStyle w:val="TableHeading"/>
              <w:rPr>
                <w:rFonts w:eastAsia="Times New Roman"/>
              </w:rPr>
            </w:pPr>
            <w:r w:rsidRPr="006C0823">
              <w:rPr>
                <w:rFonts w:eastAsia="Times New Roman"/>
              </w:rPr>
              <w:t>Measure</w:t>
            </w:r>
          </w:p>
        </w:tc>
        <w:tc>
          <w:tcPr>
            <w:tcW w:w="4469" w:type="pct"/>
            <w:shd w:val="clear" w:color="auto" w:fill="D9D9D9"/>
          </w:tcPr>
          <w:p w14:paraId="4CC7E385" w14:textId="77777777" w:rsidR="000F61DE" w:rsidRPr="006C0823" w:rsidRDefault="000F61DE" w:rsidP="006E2310">
            <w:pPr>
              <w:pStyle w:val="TableText"/>
              <w:rPr>
                <w:rFonts w:eastAsia="Times New Roman"/>
              </w:rPr>
            </w:pPr>
            <w:r w:rsidRPr="006F0805">
              <w:t>Develop an international airworthiness strategy</w:t>
            </w:r>
            <w:r>
              <w:t xml:space="preserve"> </w:t>
            </w:r>
            <w:r w:rsidRPr="006F0805">
              <w:t>in order to identify opportunities for recognition with other NAAs across the airworthiness spectrum</w:t>
            </w:r>
          </w:p>
        </w:tc>
      </w:tr>
      <w:tr w:rsidR="000F61DE" w:rsidRPr="006C0823" w14:paraId="75889E90" w14:textId="77777777" w:rsidTr="00A86663">
        <w:trPr>
          <w:trHeight w:val="95"/>
        </w:trPr>
        <w:tc>
          <w:tcPr>
            <w:tcW w:w="531" w:type="pct"/>
          </w:tcPr>
          <w:p w14:paraId="0AC98380" w14:textId="77777777" w:rsidR="000F61DE" w:rsidRPr="006C0823" w:rsidRDefault="000F61DE" w:rsidP="006E2310">
            <w:pPr>
              <w:pStyle w:val="TableHeading"/>
              <w:keepNext w:val="0"/>
              <w:rPr>
                <w:rFonts w:eastAsia="Times New Roman"/>
              </w:rPr>
            </w:pPr>
            <w:r w:rsidRPr="006C0823">
              <w:rPr>
                <w:rFonts w:eastAsia="Times New Roman"/>
              </w:rPr>
              <w:t>Result</w:t>
            </w:r>
          </w:p>
          <w:p w14:paraId="6FC68D0E" w14:textId="77777777" w:rsidR="000F61DE" w:rsidRPr="006C0823" w:rsidRDefault="000F61DE" w:rsidP="006E2310">
            <w:pPr>
              <w:pStyle w:val="TableHeading"/>
              <w:keepNext w:val="0"/>
              <w:rPr>
                <w:rFonts w:eastAsia="Times New Roman"/>
              </w:rPr>
            </w:pPr>
            <w:r w:rsidRPr="006C0823">
              <w:rPr>
                <w:rFonts w:eastAsia="Times New Roman"/>
              </w:rPr>
              <w:lastRenderedPageBreak/>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2F1E3DD6" w14:textId="77777777" w:rsidR="000F61DE" w:rsidRPr="00A8550F" w:rsidRDefault="000F61DE" w:rsidP="006E2310">
            <w:pPr>
              <w:rPr>
                <w:rFonts w:ascii="Arial Narrow" w:hAnsi="Arial Narrow" w:cs="Arial"/>
                <w:sz w:val="20"/>
              </w:rPr>
            </w:pPr>
            <w:r w:rsidRPr="00A8550F">
              <w:rPr>
                <w:rFonts w:ascii="Arial Narrow" w:hAnsi="Arial Narrow" w:cs="Arial"/>
                <w:sz w:val="20"/>
              </w:rPr>
              <w:lastRenderedPageBreak/>
              <w:t>The development of an international airworthiness strategy was completed.</w:t>
            </w:r>
          </w:p>
          <w:p w14:paraId="3636F603" w14:textId="77777777" w:rsidR="000F61DE" w:rsidRPr="006C0823" w:rsidRDefault="000F61DE" w:rsidP="006E2310">
            <w:pPr>
              <w:pStyle w:val="TableText"/>
            </w:pPr>
            <w:r w:rsidRPr="00A8550F">
              <w:lastRenderedPageBreak/>
              <w:t xml:space="preserve">The order of priorities for future airworthiness recognition </w:t>
            </w:r>
            <w:r>
              <w:t>was</w:t>
            </w:r>
            <w:r w:rsidRPr="00A8550F">
              <w:t xml:space="preserve"> established based on the volume of CASA approvals held in a country.</w:t>
            </w:r>
          </w:p>
        </w:tc>
      </w:tr>
      <w:tr w:rsidR="000F61DE" w:rsidRPr="006C0823" w14:paraId="7F902BFA" w14:textId="77777777" w:rsidTr="00A86663">
        <w:tc>
          <w:tcPr>
            <w:tcW w:w="531" w:type="pct"/>
            <w:shd w:val="clear" w:color="auto" w:fill="B8CCE4"/>
          </w:tcPr>
          <w:p w14:paraId="1537F379" w14:textId="77777777" w:rsidR="000F61DE" w:rsidRPr="006C0823" w:rsidRDefault="000F61DE" w:rsidP="006E2310">
            <w:pPr>
              <w:pStyle w:val="TableHeading"/>
              <w:rPr>
                <w:rFonts w:eastAsia="Times New Roman"/>
              </w:rPr>
            </w:pPr>
            <w:r w:rsidRPr="006C0823">
              <w:rPr>
                <w:rFonts w:eastAsia="Times New Roman"/>
              </w:rPr>
              <w:lastRenderedPageBreak/>
              <w:t>Initiative</w:t>
            </w:r>
          </w:p>
          <w:p w14:paraId="1E8437DC" w14:textId="77777777" w:rsidR="000F61DE" w:rsidRPr="006C0823" w:rsidRDefault="000F61DE" w:rsidP="006E2310">
            <w:pPr>
              <w:pStyle w:val="TableHeading"/>
              <w:rPr>
                <w:rFonts w:eastAsia="Times New Roman"/>
              </w:rPr>
            </w:pPr>
            <w:r w:rsidRPr="006C0823">
              <w:rPr>
                <w:rFonts w:eastAsia="Times New Roman"/>
              </w:rPr>
              <w:t xml:space="preserve">1.8 </w:t>
            </w:r>
          </w:p>
        </w:tc>
        <w:tc>
          <w:tcPr>
            <w:tcW w:w="4469" w:type="pct"/>
            <w:shd w:val="clear" w:color="auto" w:fill="B8CCE4"/>
          </w:tcPr>
          <w:p w14:paraId="515FB0A9" w14:textId="77777777" w:rsidR="000F61DE" w:rsidRPr="00AA7009" w:rsidRDefault="000F61DE" w:rsidP="006E2310">
            <w:pPr>
              <w:pStyle w:val="TableBullet"/>
              <w:numPr>
                <w:ilvl w:val="0"/>
                <w:numId w:val="0"/>
              </w:numPr>
              <w:ind w:left="360" w:hanging="360"/>
              <w:rPr>
                <w:rFonts w:cs="Arial"/>
                <w:b/>
              </w:rPr>
            </w:pPr>
            <w:r w:rsidRPr="00AA7009">
              <w:rPr>
                <w:rFonts w:cs="Arial"/>
                <w:b/>
              </w:rPr>
              <w:t>Provide lead regulator role for the OneSKY project</w:t>
            </w:r>
          </w:p>
          <w:p w14:paraId="5F093702" w14:textId="77777777" w:rsidR="000F61DE" w:rsidRPr="006C0823" w:rsidRDefault="005F642A" w:rsidP="006E2310">
            <w:pPr>
              <w:pStyle w:val="TableBullet"/>
              <w:numPr>
                <w:ilvl w:val="0"/>
                <w:numId w:val="0"/>
              </w:numPr>
              <w:ind w:left="360" w:hanging="360"/>
            </w:pPr>
            <w:r>
              <w:rPr>
                <w:i/>
                <w:sz w:val="18"/>
                <w:szCs w:val="18"/>
              </w:rPr>
              <w:t>(</w:t>
            </w:r>
            <w:r w:rsidR="000F61DE" w:rsidRPr="003F4368">
              <w:rPr>
                <w:i/>
                <w:sz w:val="18"/>
                <w:szCs w:val="18"/>
              </w:rPr>
              <w:t>OneSKY is a joint Defence/Airservices Australia project to acquire a new air traffic management surveillance data</w:t>
            </w:r>
            <w:r w:rsidR="000F61DE">
              <w:rPr>
                <w:i/>
                <w:sz w:val="18"/>
                <w:szCs w:val="18"/>
              </w:rPr>
              <w:t xml:space="preserve"> </w:t>
            </w:r>
            <w:r w:rsidR="000F61DE" w:rsidRPr="003F4368">
              <w:rPr>
                <w:i/>
                <w:sz w:val="18"/>
                <w:szCs w:val="18"/>
              </w:rPr>
              <w:t>processing and display system</w:t>
            </w:r>
            <w:r>
              <w:rPr>
                <w:i/>
                <w:sz w:val="18"/>
                <w:szCs w:val="18"/>
              </w:rPr>
              <w:t>)</w:t>
            </w:r>
          </w:p>
        </w:tc>
      </w:tr>
      <w:tr w:rsidR="000F61DE" w:rsidRPr="006C0823" w14:paraId="2F2C977D" w14:textId="77777777" w:rsidTr="00A86663">
        <w:tc>
          <w:tcPr>
            <w:tcW w:w="531" w:type="pct"/>
            <w:shd w:val="clear" w:color="auto" w:fill="D9D9D9"/>
          </w:tcPr>
          <w:p w14:paraId="58F4175F" w14:textId="77777777" w:rsidR="000F61DE" w:rsidRPr="006C0823" w:rsidRDefault="000F61DE" w:rsidP="006E2310">
            <w:pPr>
              <w:pStyle w:val="TableHeading"/>
              <w:rPr>
                <w:rFonts w:eastAsia="Times New Roman"/>
              </w:rPr>
            </w:pPr>
            <w:r w:rsidRPr="006C0823">
              <w:rPr>
                <w:rFonts w:eastAsia="Times New Roman"/>
              </w:rPr>
              <w:t>Measure</w:t>
            </w:r>
          </w:p>
        </w:tc>
        <w:tc>
          <w:tcPr>
            <w:tcW w:w="4469" w:type="pct"/>
            <w:shd w:val="clear" w:color="auto" w:fill="D9D9D9"/>
          </w:tcPr>
          <w:p w14:paraId="2731739A" w14:textId="77777777" w:rsidR="000F61DE" w:rsidRPr="006C0823" w:rsidRDefault="000F61DE" w:rsidP="006E2310">
            <w:pPr>
              <w:pStyle w:val="TableText"/>
            </w:pPr>
            <w:r w:rsidRPr="00DF1699">
              <w:t>Oversight the acquisition and implementation of the OneSKY project</w:t>
            </w:r>
            <w:r w:rsidRPr="00DF1699">
              <w:rPr>
                <w:rFonts w:cs="Arial"/>
              </w:rPr>
              <w:t xml:space="preserve"> after contract and start date are established</w:t>
            </w:r>
          </w:p>
        </w:tc>
      </w:tr>
      <w:tr w:rsidR="000F61DE" w:rsidRPr="006C0823" w14:paraId="5687D484" w14:textId="77777777" w:rsidTr="00A86663">
        <w:tc>
          <w:tcPr>
            <w:tcW w:w="531" w:type="pct"/>
          </w:tcPr>
          <w:p w14:paraId="5CBC6742" w14:textId="77777777" w:rsidR="000F61DE" w:rsidRPr="006C0823" w:rsidRDefault="000F61DE" w:rsidP="006E2310">
            <w:pPr>
              <w:pStyle w:val="TableHeading"/>
              <w:keepNext w:val="0"/>
              <w:rPr>
                <w:rFonts w:eastAsia="Times New Roman"/>
              </w:rPr>
            </w:pPr>
            <w:r w:rsidRPr="006C0823">
              <w:rPr>
                <w:rFonts w:eastAsia="Times New Roman"/>
              </w:rPr>
              <w:t>Result</w:t>
            </w:r>
          </w:p>
          <w:p w14:paraId="42D22871"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p>
        </w:tc>
        <w:tc>
          <w:tcPr>
            <w:tcW w:w="4469" w:type="pct"/>
          </w:tcPr>
          <w:p w14:paraId="13664C3F" w14:textId="77777777" w:rsidR="000F61DE" w:rsidRPr="006C0823" w:rsidRDefault="000F61DE" w:rsidP="006E2310">
            <w:pPr>
              <w:pStyle w:val="TableText"/>
              <w:rPr>
                <w:rFonts w:eastAsia="Times New Roman"/>
              </w:rPr>
            </w:pPr>
            <w:r w:rsidRPr="009323A3">
              <w:rPr>
                <w:rFonts w:cs="Arial"/>
              </w:rPr>
              <w:t xml:space="preserve">CASA and Airservices </w:t>
            </w:r>
            <w:r>
              <w:rPr>
                <w:rFonts w:cs="Arial"/>
              </w:rPr>
              <w:t xml:space="preserve">Australia </w:t>
            </w:r>
            <w:r w:rsidRPr="009323A3">
              <w:rPr>
                <w:rFonts w:cs="Arial"/>
              </w:rPr>
              <w:t xml:space="preserve">have signed a </w:t>
            </w:r>
            <w:r>
              <w:rPr>
                <w:rFonts w:cs="Arial"/>
              </w:rPr>
              <w:t>memorandum of understanding</w:t>
            </w:r>
            <w:r w:rsidRPr="009323A3">
              <w:rPr>
                <w:rFonts w:cs="Arial"/>
              </w:rPr>
              <w:t xml:space="preserve"> outlining the relationship and responsibilities of both authorities for the OneS</w:t>
            </w:r>
            <w:r>
              <w:rPr>
                <w:rFonts w:cs="Arial"/>
              </w:rPr>
              <w:t>KY</w:t>
            </w:r>
            <w:r w:rsidRPr="009323A3">
              <w:rPr>
                <w:rFonts w:cs="Arial"/>
              </w:rPr>
              <w:t xml:space="preserve"> project. CASA has developed an audit tracking and reporting process that will be implemented when Airservices</w:t>
            </w:r>
            <w:r>
              <w:rPr>
                <w:rFonts w:cs="Arial"/>
              </w:rPr>
              <w:t xml:space="preserve"> Australia</w:t>
            </w:r>
            <w:r w:rsidRPr="009323A3">
              <w:rPr>
                <w:rFonts w:cs="Arial"/>
              </w:rPr>
              <w:t>’</w:t>
            </w:r>
            <w:r>
              <w:rPr>
                <w:rFonts w:cs="Arial"/>
              </w:rPr>
              <w:t>s</w:t>
            </w:r>
            <w:r w:rsidRPr="009323A3">
              <w:rPr>
                <w:rFonts w:cs="Arial"/>
              </w:rPr>
              <w:t xml:space="preserve"> plans are finalised. CASA expects to receive </w:t>
            </w:r>
            <w:r>
              <w:rPr>
                <w:rFonts w:cs="Arial"/>
              </w:rPr>
              <w:t>the</w:t>
            </w:r>
            <w:r w:rsidRPr="009323A3">
              <w:rPr>
                <w:rFonts w:cs="Arial"/>
              </w:rPr>
              <w:t xml:space="preserve"> plans in 2018–19.</w:t>
            </w:r>
          </w:p>
        </w:tc>
      </w:tr>
      <w:tr w:rsidR="000F61DE" w:rsidRPr="006C0823" w14:paraId="74F3EBF5" w14:textId="77777777" w:rsidTr="00A86663">
        <w:tc>
          <w:tcPr>
            <w:tcW w:w="531" w:type="pct"/>
            <w:shd w:val="clear" w:color="auto" w:fill="D9D9D9"/>
          </w:tcPr>
          <w:p w14:paraId="33F0BEAB" w14:textId="77777777" w:rsidR="000F61DE" w:rsidRPr="006C0823" w:rsidRDefault="000F61DE" w:rsidP="006E2310">
            <w:pPr>
              <w:pStyle w:val="TableHeading"/>
              <w:rPr>
                <w:rFonts w:eastAsia="Times New Roman"/>
              </w:rPr>
            </w:pPr>
            <w:r w:rsidRPr="006C0823">
              <w:rPr>
                <w:rFonts w:eastAsia="Times New Roman"/>
              </w:rPr>
              <w:t>Measure</w:t>
            </w:r>
          </w:p>
        </w:tc>
        <w:tc>
          <w:tcPr>
            <w:tcW w:w="4469" w:type="pct"/>
            <w:shd w:val="clear" w:color="auto" w:fill="D9D9D9"/>
          </w:tcPr>
          <w:p w14:paraId="35CF837C" w14:textId="77777777" w:rsidR="000F61DE" w:rsidRPr="006C0823" w:rsidRDefault="000F61DE" w:rsidP="006E2310">
            <w:pPr>
              <w:pStyle w:val="TableText"/>
            </w:pPr>
            <w:r w:rsidRPr="00DF1699">
              <w:t>Conduct detailed analysis and assessment of aviation activity in Australia to justify change as required</w:t>
            </w:r>
          </w:p>
        </w:tc>
      </w:tr>
      <w:tr w:rsidR="000F61DE" w:rsidRPr="006C0823" w14:paraId="20ABAE88" w14:textId="77777777" w:rsidTr="00A86663">
        <w:tc>
          <w:tcPr>
            <w:tcW w:w="531" w:type="pct"/>
          </w:tcPr>
          <w:p w14:paraId="4CB013E2" w14:textId="77777777" w:rsidR="000F61DE" w:rsidRPr="006C0823" w:rsidRDefault="000F61DE" w:rsidP="006E2310">
            <w:pPr>
              <w:pStyle w:val="TableHeading"/>
              <w:keepNext w:val="0"/>
              <w:rPr>
                <w:rFonts w:eastAsia="Times New Roman"/>
              </w:rPr>
            </w:pPr>
            <w:r w:rsidRPr="006C0823">
              <w:rPr>
                <w:rFonts w:eastAsia="Times New Roman"/>
              </w:rPr>
              <w:t>Result</w:t>
            </w:r>
          </w:p>
          <w:p w14:paraId="19F7A4F0"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4C7F4AE0" w14:textId="77777777" w:rsidR="000F61DE" w:rsidRDefault="000F61DE" w:rsidP="006E2310">
            <w:pPr>
              <w:pStyle w:val="TableText"/>
              <w:rPr>
                <w:rFonts w:cs="Arial"/>
              </w:rPr>
            </w:pPr>
            <w:r w:rsidRPr="009323A3">
              <w:rPr>
                <w:rFonts w:cs="Arial"/>
              </w:rPr>
              <w:t>A phased approach was taken in the development of an OAR database to provide airport</w:t>
            </w:r>
            <w:r>
              <w:rPr>
                <w:rFonts w:cs="Arial"/>
              </w:rPr>
              <w:t>-specific</w:t>
            </w:r>
            <w:r w:rsidRPr="009323A3">
              <w:rPr>
                <w:rFonts w:cs="Arial"/>
              </w:rPr>
              <w:t xml:space="preserve"> and airspace</w:t>
            </w:r>
            <w:r>
              <w:rPr>
                <w:rFonts w:cs="Arial"/>
              </w:rPr>
              <w:t>-</w:t>
            </w:r>
            <w:r w:rsidRPr="009323A3">
              <w:rPr>
                <w:rFonts w:cs="Arial"/>
              </w:rPr>
              <w:t>specific information. Phase</w:t>
            </w:r>
            <w:r>
              <w:rPr>
                <w:rFonts w:cs="Arial"/>
              </w:rPr>
              <w:t>s</w:t>
            </w:r>
            <w:r w:rsidRPr="009323A3">
              <w:rPr>
                <w:rFonts w:cs="Arial"/>
              </w:rPr>
              <w:t xml:space="preserve"> 1 and 2 </w:t>
            </w:r>
            <w:r>
              <w:rPr>
                <w:rFonts w:cs="Arial"/>
              </w:rPr>
              <w:t>are</w:t>
            </w:r>
            <w:r w:rsidRPr="009323A3">
              <w:rPr>
                <w:rFonts w:cs="Arial"/>
              </w:rPr>
              <w:t xml:space="preserve"> complete</w:t>
            </w:r>
            <w:r>
              <w:rPr>
                <w:rFonts w:cs="Arial"/>
              </w:rPr>
              <w:t>.</w:t>
            </w:r>
          </w:p>
          <w:p w14:paraId="4A685C59" w14:textId="77777777" w:rsidR="000F61DE" w:rsidRPr="006C0823" w:rsidRDefault="000F61DE" w:rsidP="006E2310">
            <w:pPr>
              <w:pStyle w:val="TableText"/>
              <w:rPr>
                <w:rFonts w:eastAsia="Times New Roman"/>
              </w:rPr>
            </w:pPr>
            <w:r>
              <w:rPr>
                <w:rFonts w:cs="Arial"/>
              </w:rPr>
              <w:t>T</w:t>
            </w:r>
            <w:r w:rsidRPr="009323A3">
              <w:rPr>
                <w:rFonts w:cs="Arial"/>
              </w:rPr>
              <w:t xml:space="preserve">he database provides a fully automated and robust airport and airspace data management and analysis system. </w:t>
            </w:r>
            <w:r>
              <w:rPr>
                <w:rFonts w:cs="Arial"/>
              </w:rPr>
              <w:t>It</w:t>
            </w:r>
            <w:r w:rsidRPr="009323A3">
              <w:rPr>
                <w:rFonts w:cs="Arial"/>
              </w:rPr>
              <w:t xml:space="preserve"> can generate site</w:t>
            </w:r>
            <w:r>
              <w:rPr>
                <w:rFonts w:cs="Arial"/>
              </w:rPr>
              <w:t>-</w:t>
            </w:r>
            <w:r w:rsidRPr="009323A3">
              <w:rPr>
                <w:rFonts w:cs="Arial"/>
              </w:rPr>
              <w:t xml:space="preserve">specific traffic and airspace information, </w:t>
            </w:r>
            <w:r>
              <w:rPr>
                <w:rFonts w:cs="Arial"/>
              </w:rPr>
              <w:t xml:space="preserve">and </w:t>
            </w:r>
            <w:r w:rsidRPr="009323A3">
              <w:rPr>
                <w:rFonts w:cs="Arial"/>
              </w:rPr>
              <w:t xml:space="preserve">identify trends in aviation activity or incidents using data from Airservices Australia, </w:t>
            </w:r>
            <w:r>
              <w:rPr>
                <w:rFonts w:cs="Arial"/>
              </w:rPr>
              <w:t xml:space="preserve">the </w:t>
            </w:r>
            <w:r w:rsidRPr="009323A3">
              <w:rPr>
                <w:rFonts w:cs="Arial"/>
              </w:rPr>
              <w:t>B</w:t>
            </w:r>
            <w:r>
              <w:rPr>
                <w:rFonts w:cs="Arial"/>
              </w:rPr>
              <w:t xml:space="preserve">ureau of </w:t>
            </w:r>
            <w:r w:rsidRPr="009323A3">
              <w:rPr>
                <w:rFonts w:cs="Arial"/>
              </w:rPr>
              <w:t>I</w:t>
            </w:r>
            <w:r>
              <w:rPr>
                <w:rFonts w:cs="Arial"/>
              </w:rPr>
              <w:t xml:space="preserve">nfrastructure, </w:t>
            </w:r>
            <w:r w:rsidRPr="009323A3">
              <w:rPr>
                <w:rFonts w:cs="Arial"/>
              </w:rPr>
              <w:t>T</w:t>
            </w:r>
            <w:r>
              <w:rPr>
                <w:rFonts w:cs="Arial"/>
              </w:rPr>
              <w:t xml:space="preserve">ransport and </w:t>
            </w:r>
            <w:r w:rsidRPr="009323A3">
              <w:rPr>
                <w:rFonts w:cs="Arial"/>
              </w:rPr>
              <w:t>R</w:t>
            </w:r>
            <w:r>
              <w:rPr>
                <w:rFonts w:cs="Arial"/>
              </w:rPr>
              <w:t xml:space="preserve">egional </w:t>
            </w:r>
            <w:r w:rsidRPr="009323A3">
              <w:rPr>
                <w:rFonts w:cs="Arial"/>
              </w:rPr>
              <w:t>E</w:t>
            </w:r>
            <w:r>
              <w:rPr>
                <w:rFonts w:cs="Arial"/>
              </w:rPr>
              <w:t>conomics</w:t>
            </w:r>
            <w:r w:rsidRPr="009323A3">
              <w:rPr>
                <w:rFonts w:cs="Arial"/>
              </w:rPr>
              <w:t xml:space="preserve"> and </w:t>
            </w:r>
            <w:r>
              <w:rPr>
                <w:rFonts w:cs="Arial"/>
              </w:rPr>
              <w:t xml:space="preserve">the </w:t>
            </w:r>
            <w:r w:rsidRPr="007F7CB6">
              <w:rPr>
                <w:rFonts w:eastAsia="Malgun Gothic" w:cs="Arial Narrow"/>
                <w:lang w:eastAsia="ko-KR"/>
              </w:rPr>
              <w:t>Australian Transport Safety Bureau</w:t>
            </w:r>
            <w:r w:rsidRPr="009323A3">
              <w:rPr>
                <w:rFonts w:cs="Arial"/>
              </w:rPr>
              <w:t>. The data analysis informs OAR airspace reviews and can be used to trigger airspace changes based on risk.</w:t>
            </w:r>
          </w:p>
        </w:tc>
      </w:tr>
      <w:tr w:rsidR="000F61DE" w:rsidRPr="006C0823" w14:paraId="7BD66A49" w14:textId="77777777" w:rsidTr="00A86663">
        <w:tc>
          <w:tcPr>
            <w:tcW w:w="531" w:type="pct"/>
            <w:shd w:val="clear" w:color="auto" w:fill="D9D9D9"/>
          </w:tcPr>
          <w:p w14:paraId="755355F8" w14:textId="77777777" w:rsidR="000F61DE" w:rsidRPr="006C0823" w:rsidRDefault="000F61DE" w:rsidP="006E2310">
            <w:pPr>
              <w:pStyle w:val="TableHeading"/>
              <w:rPr>
                <w:rFonts w:eastAsia="Times New Roman"/>
              </w:rPr>
            </w:pPr>
            <w:r w:rsidRPr="006C0823">
              <w:rPr>
                <w:rFonts w:eastAsia="Times New Roman"/>
              </w:rPr>
              <w:t>Measure</w:t>
            </w:r>
          </w:p>
        </w:tc>
        <w:tc>
          <w:tcPr>
            <w:tcW w:w="4469" w:type="pct"/>
            <w:shd w:val="clear" w:color="auto" w:fill="D9D9D9"/>
          </w:tcPr>
          <w:p w14:paraId="1915FEA3" w14:textId="77777777" w:rsidR="000F61DE" w:rsidRPr="006C0823" w:rsidRDefault="000F61DE" w:rsidP="006E2310">
            <w:pPr>
              <w:pStyle w:val="TableText"/>
            </w:pPr>
            <w:r w:rsidRPr="00DF1699">
              <w:t>Conduct entry control and surveillance of certificate holders</w:t>
            </w:r>
          </w:p>
        </w:tc>
      </w:tr>
      <w:tr w:rsidR="000F61DE" w:rsidRPr="006C0823" w14:paraId="5F077190" w14:textId="77777777" w:rsidTr="00A86663">
        <w:tc>
          <w:tcPr>
            <w:tcW w:w="531" w:type="pct"/>
          </w:tcPr>
          <w:p w14:paraId="6BB85FC3" w14:textId="77777777" w:rsidR="000F61DE" w:rsidRPr="006C0823" w:rsidRDefault="000F61DE" w:rsidP="006E2310">
            <w:pPr>
              <w:pStyle w:val="TableHeading"/>
              <w:keepNext w:val="0"/>
              <w:rPr>
                <w:rFonts w:eastAsia="Times New Roman"/>
              </w:rPr>
            </w:pPr>
            <w:r w:rsidRPr="006C0823">
              <w:rPr>
                <w:rFonts w:eastAsia="Times New Roman"/>
              </w:rPr>
              <w:t>Result</w:t>
            </w:r>
          </w:p>
          <w:p w14:paraId="1B3EB5C0" w14:textId="77777777" w:rsidR="000F61DE" w:rsidRPr="006C0823" w:rsidRDefault="000F61DE" w:rsidP="006E2310">
            <w:pPr>
              <w:pStyle w:val="TableHeading"/>
              <w:keepNext w:val="0"/>
              <w:rPr>
                <w:rFonts w:eastAsia="Times New Roman"/>
              </w:rPr>
            </w:pPr>
            <w:r w:rsidRPr="006C0823">
              <w:rPr>
                <w:rFonts w:eastAsia="Times New Roman"/>
              </w:rPr>
              <w:sym w:font="Wingdings" w:char="F0FC"/>
            </w:r>
          </w:p>
        </w:tc>
        <w:tc>
          <w:tcPr>
            <w:tcW w:w="4469" w:type="pct"/>
          </w:tcPr>
          <w:p w14:paraId="4FCF4E9B" w14:textId="77777777" w:rsidR="000F61DE" w:rsidRPr="00A8550F" w:rsidRDefault="000F61DE" w:rsidP="006E2310">
            <w:pPr>
              <w:rPr>
                <w:rFonts w:eastAsia="Times New Roman"/>
                <w:sz w:val="20"/>
              </w:rPr>
            </w:pPr>
            <w:r w:rsidRPr="00A8550F">
              <w:rPr>
                <w:rFonts w:ascii="Arial Narrow" w:hAnsi="Arial Narrow" w:cs="Arial"/>
                <w:sz w:val="20"/>
              </w:rPr>
              <w:t>The activity has been delayed pending the submission of documentation and safety cases by Airservices Australia for the OneSKY project.</w:t>
            </w:r>
          </w:p>
        </w:tc>
      </w:tr>
      <w:tr w:rsidR="000F61DE" w:rsidRPr="006C0823" w14:paraId="0815026C" w14:textId="77777777" w:rsidTr="00A86663">
        <w:tc>
          <w:tcPr>
            <w:tcW w:w="531" w:type="pct"/>
            <w:shd w:val="clear" w:color="auto" w:fill="D9D9D9"/>
          </w:tcPr>
          <w:p w14:paraId="3B9C98AD" w14:textId="77777777" w:rsidR="000F61DE" w:rsidRPr="006C0823" w:rsidRDefault="000F61DE" w:rsidP="006E2310">
            <w:pPr>
              <w:pStyle w:val="TableHeading"/>
              <w:rPr>
                <w:rFonts w:eastAsia="Times New Roman"/>
              </w:rPr>
            </w:pPr>
            <w:r w:rsidRPr="006C0823">
              <w:rPr>
                <w:rFonts w:eastAsia="Times New Roman"/>
              </w:rPr>
              <w:t>Measure</w:t>
            </w:r>
          </w:p>
        </w:tc>
        <w:tc>
          <w:tcPr>
            <w:tcW w:w="4469" w:type="pct"/>
            <w:shd w:val="clear" w:color="auto" w:fill="D9D9D9"/>
          </w:tcPr>
          <w:p w14:paraId="0199E5E4" w14:textId="77777777" w:rsidR="000F61DE" w:rsidRPr="006C0823" w:rsidRDefault="000F61DE" w:rsidP="006E2310">
            <w:pPr>
              <w:pStyle w:val="TableText"/>
            </w:pPr>
            <w:r w:rsidRPr="00DF1699">
              <w:t xml:space="preserve">Participate on ICAO </w:t>
            </w:r>
            <w:r>
              <w:t>p</w:t>
            </w:r>
            <w:r w:rsidRPr="00DF1699">
              <w:t>anels and technical working groups</w:t>
            </w:r>
          </w:p>
        </w:tc>
      </w:tr>
      <w:tr w:rsidR="000F61DE" w:rsidRPr="006C0823" w14:paraId="3E95FA21" w14:textId="77777777" w:rsidTr="00A86663">
        <w:tc>
          <w:tcPr>
            <w:tcW w:w="531" w:type="pct"/>
          </w:tcPr>
          <w:p w14:paraId="290A8B41" w14:textId="77777777" w:rsidR="000F61DE" w:rsidRPr="006C0823" w:rsidRDefault="000F61DE" w:rsidP="006E2310">
            <w:pPr>
              <w:pStyle w:val="TableHeading"/>
              <w:keepNext w:val="0"/>
              <w:rPr>
                <w:rFonts w:eastAsia="Times New Roman"/>
              </w:rPr>
            </w:pPr>
            <w:r w:rsidRPr="006C0823">
              <w:rPr>
                <w:rFonts w:eastAsia="Times New Roman"/>
              </w:rPr>
              <w:t>Result</w:t>
            </w:r>
          </w:p>
          <w:p w14:paraId="148D0D6D"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69" w:type="pct"/>
          </w:tcPr>
          <w:p w14:paraId="0248D166" w14:textId="77777777" w:rsidR="000F61DE" w:rsidRPr="006C0823" w:rsidRDefault="000F61DE" w:rsidP="00BB5657">
            <w:pPr>
              <w:pStyle w:val="TableText"/>
              <w:rPr>
                <w:rFonts w:eastAsia="Times New Roman"/>
              </w:rPr>
            </w:pPr>
            <w:r w:rsidRPr="0085196D">
              <w:rPr>
                <w:rFonts w:cs="Arial"/>
              </w:rPr>
              <w:t>CASA participated in ICAO activities that support</w:t>
            </w:r>
            <w:r>
              <w:rPr>
                <w:rFonts w:cs="Arial"/>
              </w:rPr>
              <w:t>ed</w:t>
            </w:r>
            <w:r w:rsidRPr="0085196D">
              <w:rPr>
                <w:rFonts w:cs="Arial"/>
              </w:rPr>
              <w:t xml:space="preserve"> Australia’s commitment to ICAO and the</w:t>
            </w:r>
            <w:r>
              <w:rPr>
                <w:rFonts w:cs="Arial"/>
              </w:rPr>
              <w:t xml:space="preserve"> Asia-Pacific </w:t>
            </w:r>
            <w:r w:rsidRPr="0085196D">
              <w:rPr>
                <w:rFonts w:cs="Arial"/>
              </w:rPr>
              <w:t xml:space="preserve">region throughout the year. CASA participated on several key ICAO panels, working groups and steering committees that improve aviation safety, efficiency and capacity in the region while aligning priorities and outcomes with the ICAO </w:t>
            </w:r>
            <w:r w:rsidR="005D3523">
              <w:rPr>
                <w:rFonts w:cs="Arial"/>
              </w:rPr>
              <w:t xml:space="preserve">Aviation System </w:t>
            </w:r>
            <w:r w:rsidRPr="0085196D">
              <w:rPr>
                <w:rFonts w:cs="Arial"/>
              </w:rPr>
              <w:t>Block Upgrade program and ICAO</w:t>
            </w:r>
            <w:r>
              <w:rPr>
                <w:rFonts w:cs="Arial"/>
              </w:rPr>
              <w:t>’s No Country Left Behind initiative</w:t>
            </w:r>
            <w:r w:rsidRPr="0085196D">
              <w:rPr>
                <w:rFonts w:cs="Arial"/>
              </w:rPr>
              <w:t xml:space="preserve">. </w:t>
            </w:r>
            <w:r>
              <w:rPr>
                <w:rFonts w:cs="Arial"/>
              </w:rPr>
              <w:t>I</w:t>
            </w:r>
            <w:r w:rsidRPr="0085196D">
              <w:rPr>
                <w:rFonts w:cs="Arial"/>
              </w:rPr>
              <w:t xml:space="preserve">nvolvement in ICAO activities has enhanced the reputation of CASA as a </w:t>
            </w:r>
            <w:r w:rsidR="001A358F">
              <w:rPr>
                <w:rFonts w:cs="Arial"/>
              </w:rPr>
              <w:t xml:space="preserve">contributor to </w:t>
            </w:r>
            <w:r w:rsidRPr="0085196D">
              <w:rPr>
                <w:rFonts w:cs="Arial"/>
              </w:rPr>
              <w:t>ICAO</w:t>
            </w:r>
            <w:r w:rsidR="001A358F">
              <w:rPr>
                <w:rFonts w:cs="Arial"/>
              </w:rPr>
              <w:t xml:space="preserve"> fora</w:t>
            </w:r>
            <w:r w:rsidR="001A358F" w:rsidRPr="0085196D">
              <w:rPr>
                <w:rFonts w:cs="Arial"/>
              </w:rPr>
              <w:t xml:space="preserve"> </w:t>
            </w:r>
            <w:r w:rsidR="004F4034">
              <w:rPr>
                <w:rFonts w:cs="Arial"/>
              </w:rPr>
              <w:t>and supported</w:t>
            </w:r>
            <w:r w:rsidRPr="0085196D">
              <w:rPr>
                <w:rFonts w:cs="Arial"/>
              </w:rPr>
              <w:t xml:space="preserve"> Australia’s </w:t>
            </w:r>
            <w:r>
              <w:rPr>
                <w:rFonts w:cs="Arial"/>
              </w:rPr>
              <w:t>position</w:t>
            </w:r>
            <w:r w:rsidRPr="0085196D">
              <w:rPr>
                <w:rFonts w:cs="Arial"/>
              </w:rPr>
              <w:t xml:space="preserve"> as a </w:t>
            </w:r>
            <w:r w:rsidR="001A358F">
              <w:rPr>
                <w:rFonts w:cs="Arial"/>
              </w:rPr>
              <w:t>Part</w:t>
            </w:r>
            <w:r w:rsidRPr="0085196D">
              <w:rPr>
                <w:rFonts w:cs="Arial"/>
              </w:rPr>
              <w:t xml:space="preserve"> </w:t>
            </w:r>
            <w:r>
              <w:rPr>
                <w:rFonts w:cs="Arial"/>
              </w:rPr>
              <w:t xml:space="preserve">1 </w:t>
            </w:r>
            <w:r w:rsidRPr="0085196D">
              <w:rPr>
                <w:rFonts w:cs="Arial"/>
              </w:rPr>
              <w:t>member of the ICAO Council.</w:t>
            </w:r>
          </w:p>
        </w:tc>
      </w:tr>
    </w:tbl>
    <w:p w14:paraId="1AA98B70" w14:textId="77777777" w:rsidR="000F61DE" w:rsidRPr="0016175C" w:rsidRDefault="00582564" w:rsidP="000F61DE">
      <w:pPr>
        <w:pStyle w:val="Heading3"/>
        <w:rPr>
          <w:rFonts w:cs="Calibri"/>
          <w:szCs w:val="24"/>
          <w:lang w:val="en-GB"/>
        </w:rPr>
      </w:pPr>
      <w:bookmarkStart w:id="49" w:name="OLE_LINK1"/>
      <w:r>
        <w:rPr>
          <w:rFonts w:cs="Calibri"/>
          <w:szCs w:val="24"/>
          <w:lang w:val="en-GB"/>
        </w:rPr>
        <w:t>K</w:t>
      </w:r>
      <w:r w:rsidR="000F61DE" w:rsidRPr="0016175C">
        <w:rPr>
          <w:rFonts w:cs="Calibri"/>
          <w:szCs w:val="24"/>
          <w:lang w:val="en-GB"/>
        </w:rPr>
        <w:t>ey performance indicators</w:t>
      </w:r>
    </w:p>
    <w:p w14:paraId="75570666" w14:textId="77777777" w:rsidR="004A481E" w:rsidRPr="0023665C" w:rsidRDefault="00000971" w:rsidP="000F61DE">
      <w:pPr>
        <w:rPr>
          <w:szCs w:val="24"/>
        </w:rPr>
      </w:pPr>
      <w:r w:rsidRPr="0023665C">
        <w:rPr>
          <w:szCs w:val="24"/>
        </w:rPr>
        <w:t xml:space="preserve">CASA reports against </w:t>
      </w:r>
      <w:r w:rsidR="00866416" w:rsidRPr="0023665C">
        <w:rPr>
          <w:szCs w:val="24"/>
        </w:rPr>
        <w:t xml:space="preserve">10 </w:t>
      </w:r>
      <w:r w:rsidR="00F12C02">
        <w:rPr>
          <w:szCs w:val="24"/>
        </w:rPr>
        <w:t>key performance indicators (</w:t>
      </w:r>
      <w:r w:rsidRPr="0023665C">
        <w:rPr>
          <w:szCs w:val="24"/>
        </w:rPr>
        <w:t>KPIs</w:t>
      </w:r>
      <w:r w:rsidR="00F12C02">
        <w:rPr>
          <w:szCs w:val="24"/>
        </w:rPr>
        <w:t>)</w:t>
      </w:r>
      <w:r w:rsidRPr="0023665C">
        <w:rPr>
          <w:szCs w:val="24"/>
        </w:rPr>
        <w:t xml:space="preserve"> </w:t>
      </w:r>
      <w:r w:rsidR="002A5CEE" w:rsidRPr="0023665C">
        <w:rPr>
          <w:szCs w:val="24"/>
        </w:rPr>
        <w:t xml:space="preserve">which are supported by performance measures and </w:t>
      </w:r>
      <w:r w:rsidR="003F7664" w:rsidRPr="0023665C">
        <w:rPr>
          <w:szCs w:val="24"/>
        </w:rPr>
        <w:t xml:space="preserve">quantitative </w:t>
      </w:r>
      <w:r w:rsidR="008F03F6" w:rsidRPr="0023665C">
        <w:rPr>
          <w:szCs w:val="24"/>
        </w:rPr>
        <w:t>metrics</w:t>
      </w:r>
      <w:r w:rsidR="005F6B8C">
        <w:rPr>
          <w:szCs w:val="24"/>
        </w:rPr>
        <w:t xml:space="preserve"> set out in the </w:t>
      </w:r>
      <w:r w:rsidR="00FA21FB">
        <w:rPr>
          <w:szCs w:val="24"/>
        </w:rPr>
        <w:t xml:space="preserve">CASA </w:t>
      </w:r>
      <w:r w:rsidR="005F6B8C" w:rsidRPr="00FA21FB">
        <w:rPr>
          <w:i/>
          <w:szCs w:val="24"/>
        </w:rPr>
        <w:t>Corporate Plan 2017–18</w:t>
      </w:r>
      <w:r w:rsidR="003F7664" w:rsidRPr="0023665C">
        <w:rPr>
          <w:szCs w:val="24"/>
        </w:rPr>
        <w:t xml:space="preserve">. </w:t>
      </w:r>
    </w:p>
    <w:p w14:paraId="269D7888" w14:textId="0310AAE6" w:rsidR="000F61DE" w:rsidRDefault="000F61DE" w:rsidP="000F61DE">
      <w:pPr>
        <w:rPr>
          <w:szCs w:val="24"/>
        </w:rPr>
      </w:pPr>
      <w:r w:rsidRPr="0023665C">
        <w:rPr>
          <w:szCs w:val="24"/>
        </w:rPr>
        <w:t xml:space="preserve">CASA’s performance </w:t>
      </w:r>
      <w:r w:rsidR="005F6B8C">
        <w:rPr>
          <w:szCs w:val="24"/>
        </w:rPr>
        <w:t xml:space="preserve">in relation to Goal 1 is measured </w:t>
      </w:r>
      <w:r w:rsidRPr="0023665C">
        <w:rPr>
          <w:szCs w:val="24"/>
        </w:rPr>
        <w:t xml:space="preserve">against </w:t>
      </w:r>
      <w:r w:rsidR="00F12C02">
        <w:rPr>
          <w:szCs w:val="24"/>
        </w:rPr>
        <w:t>KPI</w:t>
      </w:r>
      <w:r w:rsidRPr="0023665C">
        <w:rPr>
          <w:szCs w:val="24"/>
        </w:rPr>
        <w:t>s 1 to 5</w:t>
      </w:r>
      <w:r w:rsidR="005F6B8C">
        <w:rPr>
          <w:szCs w:val="24"/>
        </w:rPr>
        <w:t xml:space="preserve">, as shown in Table </w:t>
      </w:r>
      <w:r w:rsidR="0050220E">
        <w:rPr>
          <w:szCs w:val="24"/>
        </w:rPr>
        <w:t>2</w:t>
      </w:r>
      <w:r w:rsidRPr="0023665C">
        <w:rPr>
          <w:szCs w:val="24"/>
        </w:rPr>
        <w:t>.</w:t>
      </w:r>
    </w:p>
    <w:p w14:paraId="0225CE74" w14:textId="77777777" w:rsidR="009518B5" w:rsidRPr="00E35B2E" w:rsidRDefault="002B4A43" w:rsidP="000F61DE">
      <w:pPr>
        <w:rPr>
          <w:rFonts w:ascii="Arial Narrow" w:hAnsi="Arial Narrow"/>
          <w:color w:val="4472C4" w:themeColor="accent1"/>
          <w:sz w:val="20"/>
        </w:rPr>
      </w:pPr>
      <w:r w:rsidRPr="00E35B2E">
        <w:rPr>
          <w:rFonts w:ascii="Arial Narrow" w:hAnsi="Arial Narrow"/>
          <w:b/>
          <w:color w:val="4472C4" w:themeColor="accent1"/>
          <w:sz w:val="22"/>
          <w:szCs w:val="22"/>
          <w:u w:color="0099CC"/>
        </w:rPr>
        <w:t xml:space="preserve">Table </w:t>
      </w:r>
      <w:r w:rsidR="0050220E" w:rsidRPr="00E35B2E">
        <w:rPr>
          <w:rFonts w:ascii="Arial Narrow" w:hAnsi="Arial Narrow"/>
          <w:b/>
          <w:color w:val="4472C4" w:themeColor="accent1"/>
          <w:sz w:val="22"/>
          <w:szCs w:val="22"/>
          <w:u w:color="0099CC"/>
        </w:rPr>
        <w:t>2</w:t>
      </w:r>
      <w:r w:rsidRPr="00E35B2E">
        <w:rPr>
          <w:rFonts w:ascii="Arial Narrow" w:hAnsi="Arial Narrow"/>
          <w:b/>
          <w:color w:val="4472C4" w:themeColor="accent1"/>
          <w:sz w:val="22"/>
          <w:szCs w:val="22"/>
          <w:u w:color="0099CC"/>
        </w:rPr>
        <w:tab/>
      </w:r>
      <w:r w:rsidRPr="00E35B2E">
        <w:rPr>
          <w:rFonts w:ascii="Arial Narrow" w:hAnsi="Arial Narrow"/>
          <w:b/>
          <w:color w:val="4472C4" w:themeColor="accent1"/>
          <w:sz w:val="22"/>
          <w:szCs w:val="22"/>
          <w:u w:color="0099CC"/>
        </w:rPr>
        <w:tab/>
        <w:t xml:space="preserve">Performance summary against </w:t>
      </w:r>
      <w:r w:rsidR="00F12C02" w:rsidRPr="00E35B2E">
        <w:rPr>
          <w:rFonts w:ascii="Arial Narrow" w:hAnsi="Arial Narrow"/>
          <w:b/>
          <w:color w:val="4472C4" w:themeColor="accent1"/>
          <w:sz w:val="22"/>
          <w:szCs w:val="22"/>
          <w:u w:color="0099CC"/>
        </w:rPr>
        <w:t xml:space="preserve">key performance indicators </w:t>
      </w:r>
      <w:r w:rsidRPr="00E35B2E">
        <w:rPr>
          <w:rFonts w:ascii="Arial Narrow" w:hAnsi="Arial Narrow"/>
          <w:b/>
          <w:color w:val="4472C4" w:themeColor="accent1"/>
          <w:sz w:val="22"/>
          <w:szCs w:val="22"/>
          <w:u w:color="0099CC"/>
        </w:rPr>
        <w:t>1 to 5, 2017–18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491"/>
        <w:gridCol w:w="4464"/>
      </w:tblGrid>
      <w:tr w:rsidR="009518B5" w:rsidRPr="0016175C" w14:paraId="63D0BED0" w14:textId="77777777" w:rsidTr="00D6772E">
        <w:trPr>
          <w:tblHeader/>
        </w:trPr>
        <w:tc>
          <w:tcPr>
            <w:tcW w:w="2346" w:type="dxa"/>
            <w:shd w:val="clear" w:color="auto" w:fill="auto"/>
          </w:tcPr>
          <w:p w14:paraId="7F6DF1D5" w14:textId="77777777" w:rsidR="009518B5" w:rsidRPr="008E2A9C" w:rsidRDefault="009518B5" w:rsidP="008E2A9C">
            <w:pPr>
              <w:pStyle w:val="TableText"/>
              <w:rPr>
                <w:b/>
              </w:rPr>
            </w:pPr>
            <w:r w:rsidRPr="008E2A9C">
              <w:rPr>
                <w:b/>
              </w:rPr>
              <w:t>K</w:t>
            </w:r>
            <w:r w:rsidR="00F12C02" w:rsidRPr="008E2A9C">
              <w:rPr>
                <w:b/>
              </w:rPr>
              <w:t>ey performance indicator</w:t>
            </w:r>
          </w:p>
        </w:tc>
        <w:tc>
          <w:tcPr>
            <w:tcW w:w="2843" w:type="dxa"/>
            <w:shd w:val="clear" w:color="auto" w:fill="auto"/>
          </w:tcPr>
          <w:p w14:paraId="37E37357" w14:textId="77777777" w:rsidR="009518B5" w:rsidRPr="008E2A9C" w:rsidRDefault="009518B5" w:rsidP="008E2A9C">
            <w:pPr>
              <w:pStyle w:val="TableText"/>
              <w:rPr>
                <w:b/>
              </w:rPr>
            </w:pPr>
            <w:r w:rsidRPr="008E2A9C">
              <w:rPr>
                <w:b/>
              </w:rPr>
              <w:t>Performance measures</w:t>
            </w:r>
          </w:p>
        </w:tc>
        <w:tc>
          <w:tcPr>
            <w:tcW w:w="5125" w:type="dxa"/>
            <w:shd w:val="clear" w:color="auto" w:fill="auto"/>
          </w:tcPr>
          <w:p w14:paraId="2BCC9DDC" w14:textId="77777777" w:rsidR="009518B5" w:rsidRPr="008E2A9C" w:rsidRDefault="009518B5" w:rsidP="008E2A9C">
            <w:pPr>
              <w:pStyle w:val="TableText"/>
              <w:rPr>
                <w:b/>
              </w:rPr>
            </w:pPr>
            <w:r w:rsidRPr="008E2A9C">
              <w:rPr>
                <w:b/>
              </w:rPr>
              <w:t xml:space="preserve">Performance summary </w:t>
            </w:r>
          </w:p>
        </w:tc>
      </w:tr>
      <w:tr w:rsidR="009518B5" w:rsidRPr="0016175C" w14:paraId="5309DBC0" w14:textId="77777777" w:rsidTr="00C77ABC">
        <w:tc>
          <w:tcPr>
            <w:tcW w:w="2346" w:type="dxa"/>
            <w:shd w:val="clear" w:color="auto" w:fill="auto"/>
          </w:tcPr>
          <w:p w14:paraId="5A350CC0" w14:textId="77777777" w:rsidR="009518B5" w:rsidRPr="0016175C" w:rsidRDefault="009518B5" w:rsidP="008E2A9C">
            <w:pPr>
              <w:pStyle w:val="TableText"/>
            </w:pPr>
            <w:r w:rsidRPr="0016175C">
              <w:t>CASA is an effective aviation safety regulator by international standards</w:t>
            </w:r>
          </w:p>
        </w:tc>
        <w:tc>
          <w:tcPr>
            <w:tcW w:w="2843" w:type="dxa"/>
            <w:shd w:val="clear" w:color="auto" w:fill="auto"/>
          </w:tcPr>
          <w:p w14:paraId="4036FDC3" w14:textId="77777777" w:rsidR="009518B5" w:rsidRPr="0016175C" w:rsidRDefault="009518B5" w:rsidP="008E2A9C">
            <w:pPr>
              <w:pStyle w:val="TableText"/>
            </w:pPr>
            <w:r w:rsidRPr="0016175C">
              <w:t>1a. Measurement against comparable National Aviation Authorities</w:t>
            </w:r>
          </w:p>
          <w:p w14:paraId="18B1FDC8" w14:textId="77777777" w:rsidR="009518B5" w:rsidRPr="0016175C" w:rsidRDefault="009518B5" w:rsidP="008E2A9C">
            <w:pPr>
              <w:pStyle w:val="TableText"/>
              <w:rPr>
                <w:i/>
              </w:rPr>
            </w:pPr>
            <w:r w:rsidRPr="0016175C">
              <w:t>Number of accidents per million hours flown (Air Transport) (</w:t>
            </w:r>
            <w:r w:rsidR="00582564">
              <w:rPr>
                <w:i/>
              </w:rPr>
              <w:t>–</w:t>
            </w:r>
            <w:r w:rsidRPr="0016175C">
              <w:rPr>
                <w:i/>
              </w:rPr>
              <w:t xml:space="preserve"> current</w:t>
            </w:r>
            <w:r w:rsidRPr="00594587">
              <w:t>)</w:t>
            </w:r>
          </w:p>
          <w:p w14:paraId="7F619042" w14:textId="77777777" w:rsidR="009518B5" w:rsidRPr="00582564" w:rsidRDefault="009518B5" w:rsidP="008E2A9C">
            <w:pPr>
              <w:pStyle w:val="TableText"/>
            </w:pPr>
            <w:r w:rsidRPr="0016175C">
              <w:t>Number of accidents per million hours flown (General Aviation) (</w:t>
            </w:r>
            <w:r w:rsidRPr="0016175C">
              <w:rPr>
                <w:i/>
              </w:rPr>
              <w:t>– previous period</w:t>
            </w:r>
            <w:r w:rsidRPr="00594587">
              <w:t>)</w:t>
            </w:r>
          </w:p>
        </w:tc>
        <w:tc>
          <w:tcPr>
            <w:tcW w:w="5125" w:type="dxa"/>
            <w:shd w:val="clear" w:color="auto" w:fill="auto"/>
          </w:tcPr>
          <w:p w14:paraId="5CE8336E" w14:textId="77777777" w:rsidR="009518B5" w:rsidRPr="0016175C" w:rsidRDefault="009518B5" w:rsidP="008E2A9C">
            <w:pPr>
              <w:pStyle w:val="TableText"/>
              <w:rPr>
                <w:rFonts w:cs="Arial"/>
              </w:rPr>
            </w:pPr>
            <w:r w:rsidRPr="0016175C">
              <w:t>Aviation activities conducted by national aviation authorities vary within general aviation and, to a lesser extent, air transport. CASA’s first report against this measure will be completed when 2017 data are available from comparable national authorities.</w:t>
            </w:r>
          </w:p>
        </w:tc>
      </w:tr>
      <w:tr w:rsidR="009518B5" w:rsidRPr="0016175C" w14:paraId="3ABC082E" w14:textId="77777777" w:rsidTr="00C77ABC">
        <w:tc>
          <w:tcPr>
            <w:tcW w:w="2346" w:type="dxa"/>
            <w:shd w:val="clear" w:color="auto" w:fill="auto"/>
          </w:tcPr>
          <w:p w14:paraId="3C4037F5" w14:textId="77777777" w:rsidR="009518B5" w:rsidRPr="0016175C" w:rsidRDefault="009518B5" w:rsidP="008E2A9C">
            <w:pPr>
              <w:pStyle w:val="TableText"/>
            </w:pPr>
            <w:bookmarkStart w:id="50" w:name="_Hlk523990088"/>
            <w:r w:rsidRPr="0016175C">
              <w:t>CASA does not unnecessarily impede the efficient operation of regulated entities</w:t>
            </w:r>
            <w:r w:rsidR="00582564" w:rsidRPr="00951558">
              <w:rPr>
                <w:vertAlign w:val="superscript"/>
              </w:rPr>
              <w:t>a</w:t>
            </w:r>
          </w:p>
        </w:tc>
        <w:tc>
          <w:tcPr>
            <w:tcW w:w="2843" w:type="dxa"/>
            <w:shd w:val="clear" w:color="auto" w:fill="auto"/>
          </w:tcPr>
          <w:p w14:paraId="06AF785E" w14:textId="77777777" w:rsidR="009518B5" w:rsidRPr="0016175C" w:rsidRDefault="009518B5" w:rsidP="008E2A9C">
            <w:pPr>
              <w:pStyle w:val="TableText"/>
            </w:pPr>
            <w:r w:rsidRPr="0016175C">
              <w:t>2a. New regulations are developed using a stakeholder engagement process and supported by Regulation Impact Statements to demonstrate net benefits from new regulations</w:t>
            </w:r>
          </w:p>
          <w:p w14:paraId="14A950C5" w14:textId="77777777" w:rsidR="009518B5" w:rsidRPr="0016175C" w:rsidRDefault="009518B5" w:rsidP="008E2A9C">
            <w:pPr>
              <w:pStyle w:val="TableText"/>
            </w:pPr>
            <w:r w:rsidRPr="0016175C">
              <w:t>2b. Applications for authorisations submitted to the Client Services Centre meet service delivery standards</w:t>
            </w:r>
          </w:p>
        </w:tc>
        <w:tc>
          <w:tcPr>
            <w:tcW w:w="5125" w:type="dxa"/>
            <w:shd w:val="clear" w:color="auto" w:fill="auto"/>
          </w:tcPr>
          <w:p w14:paraId="3E8C45E5" w14:textId="77777777" w:rsidR="009518B5" w:rsidRPr="0016175C" w:rsidRDefault="009518B5" w:rsidP="008E2A9C">
            <w:pPr>
              <w:pStyle w:val="TableText"/>
            </w:pPr>
            <w:r w:rsidRPr="0016175C">
              <w:t>In 2017–18, eight regulatory changes were made and two changes required further assessment. The remaining changes did not require further review but were consistent with CASA’s regulatory philosophy.</w:t>
            </w:r>
          </w:p>
          <w:p w14:paraId="2662421A" w14:textId="77777777" w:rsidR="009518B5" w:rsidRPr="0016175C" w:rsidRDefault="009518B5" w:rsidP="008E2A9C">
            <w:pPr>
              <w:pStyle w:val="TableText"/>
            </w:pPr>
            <w:r w:rsidRPr="0016175C">
              <w:t>CASA follows Office of Best Practice Regulation guidelines when amending regulations. Industry consultation processes improved in 2017–18, through the development of a consultation hub and adoption of the practice of seeking industry letters of support through the Aviation Safety Advisory Panel prior to making major regulatory changes. There was no net change in regulatory burden.</w:t>
            </w:r>
          </w:p>
          <w:p w14:paraId="228EA61B" w14:textId="77777777" w:rsidR="00F43C23" w:rsidRDefault="00F43C23" w:rsidP="008E2A9C">
            <w:pPr>
              <w:pStyle w:val="TableText"/>
              <w:rPr>
                <w:rFonts w:cs="Arial"/>
              </w:rPr>
            </w:pPr>
            <w:r>
              <w:rPr>
                <w:rFonts w:cs="Arial"/>
              </w:rPr>
              <w:t xml:space="preserve">Growth </w:t>
            </w:r>
            <w:r w:rsidRPr="00E2520E">
              <w:rPr>
                <w:rFonts w:cs="Arial"/>
              </w:rPr>
              <w:t xml:space="preserve">across all lines of service </w:t>
            </w:r>
            <w:r>
              <w:rPr>
                <w:rFonts w:cs="Arial"/>
              </w:rPr>
              <w:t xml:space="preserve">in 2017–18 </w:t>
            </w:r>
            <w:r w:rsidRPr="00E2520E">
              <w:rPr>
                <w:rFonts w:cs="Arial"/>
              </w:rPr>
              <w:t>indicate</w:t>
            </w:r>
            <w:r>
              <w:rPr>
                <w:rFonts w:cs="Arial"/>
              </w:rPr>
              <w:t>d</w:t>
            </w:r>
            <w:r w:rsidRPr="00E2520E">
              <w:rPr>
                <w:rFonts w:cs="Arial"/>
              </w:rPr>
              <w:t xml:space="preserve"> </w:t>
            </w:r>
            <w:r>
              <w:rPr>
                <w:rFonts w:cs="Arial"/>
              </w:rPr>
              <w:t xml:space="preserve">that </w:t>
            </w:r>
            <w:r w:rsidRPr="00E2520E">
              <w:rPr>
                <w:rFonts w:cs="Arial"/>
              </w:rPr>
              <w:t xml:space="preserve">there </w:t>
            </w:r>
            <w:r>
              <w:rPr>
                <w:rFonts w:cs="Arial"/>
              </w:rPr>
              <w:t>wa</w:t>
            </w:r>
            <w:r w:rsidRPr="00E2520E">
              <w:rPr>
                <w:rFonts w:cs="Arial"/>
              </w:rPr>
              <w:t xml:space="preserve">s a sustained </w:t>
            </w:r>
            <w:r w:rsidR="00594587">
              <w:rPr>
                <w:rFonts w:cs="Arial"/>
              </w:rPr>
              <w:t xml:space="preserve">difference between </w:t>
            </w:r>
            <w:r>
              <w:rPr>
                <w:rFonts w:cs="Arial"/>
              </w:rPr>
              <w:t>demand</w:t>
            </w:r>
            <w:r w:rsidR="00594587">
              <w:rPr>
                <w:rFonts w:cs="Arial"/>
              </w:rPr>
              <w:t xml:space="preserve"> for client services</w:t>
            </w:r>
            <w:r>
              <w:rPr>
                <w:rFonts w:cs="Arial"/>
              </w:rPr>
              <w:t xml:space="preserve"> </w:t>
            </w:r>
            <w:r w:rsidR="00594587">
              <w:rPr>
                <w:rFonts w:cs="Arial"/>
              </w:rPr>
              <w:t>and</w:t>
            </w:r>
            <w:r>
              <w:rPr>
                <w:rFonts w:cs="Arial"/>
              </w:rPr>
              <w:t xml:space="preserve"> </w:t>
            </w:r>
            <w:r w:rsidR="00594587">
              <w:rPr>
                <w:rFonts w:cs="Arial"/>
              </w:rPr>
              <w:t xml:space="preserve">CASA’s </w:t>
            </w:r>
            <w:r w:rsidRPr="00E2520E">
              <w:rPr>
                <w:rFonts w:cs="Arial"/>
              </w:rPr>
              <w:t>capacity</w:t>
            </w:r>
            <w:r w:rsidR="00594587">
              <w:rPr>
                <w:rFonts w:cs="Arial"/>
              </w:rPr>
              <w:t xml:space="preserve"> to deliver,</w:t>
            </w:r>
            <w:r w:rsidRPr="00E2520E">
              <w:rPr>
                <w:rFonts w:cs="Arial"/>
              </w:rPr>
              <w:t xml:space="preserve"> </w:t>
            </w:r>
            <w:r>
              <w:rPr>
                <w:rFonts w:cs="Arial"/>
              </w:rPr>
              <w:t xml:space="preserve">resulting in a </w:t>
            </w:r>
            <w:r w:rsidRPr="00E2520E">
              <w:rPr>
                <w:rFonts w:cs="Arial"/>
              </w:rPr>
              <w:t>shortfall of between 25</w:t>
            </w:r>
            <w:r w:rsidR="00A74ED6">
              <w:rPr>
                <w:rFonts w:cs="Arial"/>
              </w:rPr>
              <w:t>%</w:t>
            </w:r>
            <w:r>
              <w:rPr>
                <w:rFonts w:cs="Arial"/>
              </w:rPr>
              <w:t xml:space="preserve"> </w:t>
            </w:r>
            <w:r w:rsidRPr="00E2520E">
              <w:rPr>
                <w:rFonts w:cs="Arial"/>
              </w:rPr>
              <w:t>and 30</w:t>
            </w:r>
            <w:r w:rsidR="00A74ED6">
              <w:rPr>
                <w:rFonts w:cs="Arial"/>
              </w:rPr>
              <w:t>%</w:t>
            </w:r>
            <w:r w:rsidRPr="00E2520E">
              <w:rPr>
                <w:rFonts w:cs="Arial"/>
              </w:rPr>
              <w:t xml:space="preserve">. </w:t>
            </w:r>
            <w:r>
              <w:rPr>
                <w:rFonts w:cs="Arial"/>
              </w:rPr>
              <w:t>F</w:t>
            </w:r>
            <w:r w:rsidRPr="00E2520E">
              <w:rPr>
                <w:rFonts w:cs="Arial"/>
              </w:rPr>
              <w:t xml:space="preserve">actors </w:t>
            </w:r>
            <w:r>
              <w:rPr>
                <w:rFonts w:cs="Arial"/>
              </w:rPr>
              <w:t xml:space="preserve">contributing </w:t>
            </w:r>
            <w:r w:rsidRPr="00E2520E">
              <w:rPr>
                <w:rFonts w:cs="Arial"/>
              </w:rPr>
              <w:t>to th</w:t>
            </w:r>
            <w:r>
              <w:rPr>
                <w:rFonts w:cs="Arial"/>
              </w:rPr>
              <w:t>e</w:t>
            </w:r>
            <w:r w:rsidRPr="00E2520E">
              <w:rPr>
                <w:rFonts w:cs="Arial"/>
              </w:rPr>
              <w:t xml:space="preserve"> shortfall include</w:t>
            </w:r>
            <w:r>
              <w:rPr>
                <w:rFonts w:cs="Arial"/>
              </w:rPr>
              <w:t>d</w:t>
            </w:r>
            <w:r w:rsidRPr="00E2520E">
              <w:rPr>
                <w:rFonts w:cs="Arial"/>
              </w:rPr>
              <w:t xml:space="preserve"> </w:t>
            </w:r>
            <w:r>
              <w:rPr>
                <w:rFonts w:cs="Arial"/>
              </w:rPr>
              <w:t xml:space="preserve">staff </w:t>
            </w:r>
            <w:r w:rsidR="00594587">
              <w:rPr>
                <w:rFonts w:cs="Arial"/>
              </w:rPr>
              <w:t>un</w:t>
            </w:r>
            <w:r>
              <w:rPr>
                <w:rFonts w:cs="Arial"/>
              </w:rPr>
              <w:t xml:space="preserve">availability </w:t>
            </w:r>
            <w:r w:rsidRPr="00E2520E">
              <w:rPr>
                <w:rFonts w:cs="Arial"/>
              </w:rPr>
              <w:t>due</w:t>
            </w:r>
            <w:r>
              <w:rPr>
                <w:rFonts w:cs="Arial"/>
              </w:rPr>
              <w:t xml:space="preserve"> to </w:t>
            </w:r>
            <w:r w:rsidRPr="00E2520E">
              <w:rPr>
                <w:rFonts w:cs="Arial"/>
              </w:rPr>
              <w:t xml:space="preserve">turnover, </w:t>
            </w:r>
            <w:r>
              <w:rPr>
                <w:rFonts w:cs="Arial"/>
              </w:rPr>
              <w:t>redirection of resources to digital upgrade projects</w:t>
            </w:r>
            <w:r w:rsidRPr="00E2520E">
              <w:rPr>
                <w:rFonts w:cs="Arial"/>
              </w:rPr>
              <w:t>, increase</w:t>
            </w:r>
            <w:r>
              <w:rPr>
                <w:rFonts w:cs="Arial"/>
              </w:rPr>
              <w:t>s</w:t>
            </w:r>
            <w:r w:rsidRPr="00E2520E">
              <w:rPr>
                <w:rFonts w:cs="Arial"/>
              </w:rPr>
              <w:t xml:space="preserve"> in new service types, and </w:t>
            </w:r>
            <w:r>
              <w:rPr>
                <w:rFonts w:cs="Arial"/>
              </w:rPr>
              <w:t xml:space="preserve">workload arising from </w:t>
            </w:r>
            <w:r w:rsidRPr="00E2520E">
              <w:rPr>
                <w:rFonts w:cs="Arial"/>
              </w:rPr>
              <w:t xml:space="preserve">triennial reporting of aircraft registration data. </w:t>
            </w:r>
          </w:p>
          <w:p w14:paraId="5587184C" w14:textId="77777777" w:rsidR="009518B5" w:rsidRPr="0016175C" w:rsidRDefault="00F43C23" w:rsidP="008E2A9C">
            <w:pPr>
              <w:pStyle w:val="TableText"/>
              <w:rPr>
                <w:rFonts w:eastAsia="Times New Roman"/>
                <w:strike/>
                <w:color w:val="000000"/>
              </w:rPr>
            </w:pPr>
            <w:r>
              <w:rPr>
                <w:rFonts w:cs="Arial"/>
              </w:rPr>
              <w:t>The t</w:t>
            </w:r>
            <w:r w:rsidRPr="00E2520E">
              <w:rPr>
                <w:rFonts w:cs="Arial"/>
              </w:rPr>
              <w:t xml:space="preserve">otal </w:t>
            </w:r>
            <w:r>
              <w:rPr>
                <w:rFonts w:cs="Arial"/>
              </w:rPr>
              <w:t xml:space="preserve">number of </w:t>
            </w:r>
            <w:r w:rsidRPr="00E2520E">
              <w:rPr>
                <w:rFonts w:cs="Arial"/>
              </w:rPr>
              <w:t>applications on hand</w:t>
            </w:r>
            <w:r>
              <w:rPr>
                <w:rFonts w:cs="Arial"/>
              </w:rPr>
              <w:t xml:space="preserve"> at the end of 2017–18 was</w:t>
            </w:r>
            <w:r w:rsidRPr="00E2520E">
              <w:rPr>
                <w:rFonts w:cs="Arial"/>
              </w:rPr>
              <w:t xml:space="preserve"> over 9,000</w:t>
            </w:r>
            <w:r>
              <w:rPr>
                <w:rFonts w:cs="Arial"/>
              </w:rPr>
              <w:t>.</w:t>
            </w:r>
            <w:r w:rsidRPr="00E2520E" w:rsidDel="006039FB">
              <w:rPr>
                <w:rFonts w:cs="Arial"/>
              </w:rPr>
              <w:t xml:space="preserve"> </w:t>
            </w:r>
            <w:r w:rsidRPr="00F43C23">
              <w:rPr>
                <w:rFonts w:cs="Arial"/>
              </w:rPr>
              <w:t xml:space="preserve">Increases in applications related to </w:t>
            </w:r>
            <w:r w:rsidRPr="00F43C23">
              <w:t>remotely piloted aircraft systems (RPAS)</w:t>
            </w:r>
            <w:r w:rsidRPr="00F43C23">
              <w:rPr>
                <w:rFonts w:cs="Arial"/>
              </w:rPr>
              <w:t xml:space="preserve"> resulted in a higher work volume and significant increase </w:t>
            </w:r>
            <w:r w:rsidR="00AD7F88">
              <w:rPr>
                <w:rFonts w:cs="Arial"/>
              </w:rPr>
              <w:t>in</w:t>
            </w:r>
            <w:r w:rsidR="00AD7F88" w:rsidRPr="00F43C23">
              <w:rPr>
                <w:rFonts w:cs="Arial"/>
              </w:rPr>
              <w:t xml:space="preserve"> </w:t>
            </w:r>
            <w:r w:rsidRPr="00F43C23">
              <w:rPr>
                <w:rFonts w:cs="Arial"/>
              </w:rPr>
              <w:t xml:space="preserve">applications on hand. </w:t>
            </w:r>
            <w:r>
              <w:rPr>
                <w:rFonts w:cs="Arial"/>
              </w:rPr>
              <w:t>CASA</w:t>
            </w:r>
            <w:r w:rsidRPr="00F43C23">
              <w:rPr>
                <w:rFonts w:cs="Arial"/>
              </w:rPr>
              <w:t xml:space="preserve"> is continuing to implement measures to address the capacity shortfall.</w:t>
            </w:r>
          </w:p>
        </w:tc>
      </w:tr>
      <w:bookmarkEnd w:id="50"/>
      <w:tr w:rsidR="009518B5" w:rsidRPr="0016175C" w14:paraId="3281047E" w14:textId="77777777" w:rsidTr="00C77ABC">
        <w:tc>
          <w:tcPr>
            <w:tcW w:w="2346" w:type="dxa"/>
            <w:shd w:val="clear" w:color="auto" w:fill="auto"/>
          </w:tcPr>
          <w:p w14:paraId="5A92AE1E" w14:textId="77777777" w:rsidR="009518B5" w:rsidRPr="0016175C" w:rsidRDefault="009518B5" w:rsidP="008E2A9C">
            <w:pPr>
              <w:pStyle w:val="TableText"/>
            </w:pPr>
            <w:r w:rsidRPr="0016175C">
              <w:lastRenderedPageBreak/>
              <w:t>CASA actively contributes to the continuous improvement of the aviation safety regulatory framework</w:t>
            </w:r>
            <w:r w:rsidR="00582564" w:rsidRPr="00951558">
              <w:rPr>
                <w:vertAlign w:val="superscript"/>
              </w:rPr>
              <w:t>a</w:t>
            </w:r>
          </w:p>
        </w:tc>
        <w:tc>
          <w:tcPr>
            <w:tcW w:w="2843" w:type="dxa"/>
            <w:shd w:val="clear" w:color="auto" w:fill="auto"/>
          </w:tcPr>
          <w:p w14:paraId="482E93D5" w14:textId="77777777" w:rsidR="009518B5" w:rsidRPr="0016175C" w:rsidRDefault="009518B5" w:rsidP="008E2A9C">
            <w:pPr>
              <w:pStyle w:val="TableText"/>
            </w:pPr>
            <w:r w:rsidRPr="0016175C">
              <w:t>3a</w:t>
            </w:r>
            <w:r w:rsidRPr="00AD7F88">
              <w:t xml:space="preserve">. </w:t>
            </w:r>
            <w:r w:rsidRPr="0016175C">
              <w:t>CASA has a program of initiatives in place to improve the aviation safety regulatory framework</w:t>
            </w:r>
          </w:p>
          <w:p w14:paraId="3DEA318A" w14:textId="77777777" w:rsidR="009518B5" w:rsidRPr="0016175C" w:rsidRDefault="009518B5" w:rsidP="008E2A9C">
            <w:pPr>
              <w:pStyle w:val="TableText"/>
              <w:rPr>
                <w:i/>
              </w:rPr>
            </w:pPr>
          </w:p>
          <w:p w14:paraId="5C7B48D5" w14:textId="77777777" w:rsidR="009518B5" w:rsidRPr="0016175C" w:rsidRDefault="009518B5" w:rsidP="008E2A9C">
            <w:pPr>
              <w:pStyle w:val="TableText"/>
            </w:pPr>
            <w:r w:rsidRPr="0016175C">
              <w:t>3b. CASA standards meet ICAO minimum standards (optional) – for Australian applicable standards</w:t>
            </w:r>
          </w:p>
          <w:p w14:paraId="00A5FB15" w14:textId="77777777" w:rsidR="009518B5" w:rsidRPr="0016175C" w:rsidRDefault="009518B5" w:rsidP="008E2A9C">
            <w:pPr>
              <w:pStyle w:val="TableText"/>
            </w:pPr>
          </w:p>
        </w:tc>
        <w:tc>
          <w:tcPr>
            <w:tcW w:w="5125" w:type="dxa"/>
            <w:shd w:val="clear" w:color="auto" w:fill="auto"/>
          </w:tcPr>
          <w:p w14:paraId="7A9E1716" w14:textId="77777777" w:rsidR="00595581" w:rsidRPr="0016175C" w:rsidRDefault="00595581" w:rsidP="008E2A9C">
            <w:pPr>
              <w:pStyle w:val="TableText"/>
            </w:pPr>
            <w:r w:rsidRPr="0016175C">
              <w:t xml:space="preserve">CASA’s priority for improvement of the aviation safety regulatory framework is to complete the regulation reform program. </w:t>
            </w:r>
          </w:p>
          <w:p w14:paraId="1DE8AB9E" w14:textId="77777777" w:rsidR="00595581" w:rsidRPr="0016175C" w:rsidRDefault="00595581" w:rsidP="008E2A9C">
            <w:pPr>
              <w:pStyle w:val="TableText"/>
            </w:pPr>
            <w:r w:rsidRPr="0016175C">
              <w:t>CASA has initiated changes to aviation medicine and flight crew licensing via exemptions ahead of legislative changes. CASA has a process in place to receive feedback from industry, CASA staff, the International Civil Aviation Organization (ICAO), the Australian Transport Safety Bureau and the public.</w:t>
            </w:r>
          </w:p>
          <w:p w14:paraId="020C9EC0" w14:textId="77777777" w:rsidR="00595581" w:rsidRPr="0016175C" w:rsidRDefault="00595581" w:rsidP="008E2A9C">
            <w:pPr>
              <w:pStyle w:val="TableText"/>
            </w:pPr>
            <w:r w:rsidRPr="0016175C">
              <w:t>CASA has made, but not yet commenced, legislative changes regarding fuel carriage and associated requirements.</w:t>
            </w:r>
          </w:p>
          <w:p w14:paraId="3932D0C4" w14:textId="77777777" w:rsidR="00595581" w:rsidRPr="0016175C" w:rsidRDefault="00595581" w:rsidP="008E2A9C">
            <w:pPr>
              <w:pStyle w:val="TableText"/>
            </w:pPr>
            <w:r w:rsidRPr="0016175C">
              <w:t>CASA has implemented a process in relation to required performance standards for communication and surveillance in foreign airspace for Australian operators.</w:t>
            </w:r>
          </w:p>
          <w:p w14:paraId="6D7FBEB4" w14:textId="77777777" w:rsidR="00595581" w:rsidRPr="0016175C" w:rsidRDefault="00595581" w:rsidP="008E2A9C">
            <w:pPr>
              <w:pStyle w:val="TableText"/>
            </w:pPr>
            <w:r w:rsidRPr="0016175C">
              <w:t>CASA has processes in place to record and consider industry proposals for regulatory change. The processes will improve over time to capture more of the informal feedback from industry.</w:t>
            </w:r>
          </w:p>
          <w:p w14:paraId="58C3E584" w14:textId="77777777" w:rsidR="00595581" w:rsidRPr="0016175C" w:rsidRDefault="00595581" w:rsidP="008E2A9C">
            <w:pPr>
              <w:pStyle w:val="TableText"/>
            </w:pPr>
            <w:r w:rsidRPr="0016175C">
              <w:t xml:space="preserve">In 2017–18, CASA received 41 proposals for regulatory change, of which four were industry initiated, 19 were ICAO initiated and 18 were internally generated, and 75% were assessed on time. </w:t>
            </w:r>
          </w:p>
          <w:p w14:paraId="6E48E8F8" w14:textId="77777777" w:rsidR="00595581" w:rsidRPr="0016175C" w:rsidRDefault="00595581" w:rsidP="008E2A9C">
            <w:pPr>
              <w:pStyle w:val="TableText"/>
            </w:pPr>
            <w:r w:rsidRPr="0016175C">
              <w:t>Survey data collected from participants in CASA’s information sessions for</w:t>
            </w:r>
            <w:r w:rsidRPr="0016175C">
              <w:rPr>
                <w:rFonts w:cs="Arial"/>
              </w:rPr>
              <w:t xml:space="preserve"> </w:t>
            </w:r>
            <w:r w:rsidRPr="0016175C">
              <w:t>aviation safety advisors indicated a high satisfaction rating. The analysis suggests that over 80% of participants provided a satisfaction rating in the 8–10 range (1 being the lowest and 10 the highest) for several categories. A small number of low satisfaction responses were recorded.</w:t>
            </w:r>
          </w:p>
          <w:p w14:paraId="7E1E6122" w14:textId="77777777" w:rsidR="00CF3550" w:rsidRPr="00CF3550" w:rsidRDefault="00EF3C9A" w:rsidP="008E2A9C">
            <w:pPr>
              <w:pStyle w:val="TableText"/>
            </w:pPr>
            <w:r>
              <w:t>M</w:t>
            </w:r>
            <w:r w:rsidR="00CF3550" w:rsidRPr="00CF3550">
              <w:t xml:space="preserve">easure </w:t>
            </w:r>
            <w:r>
              <w:t>3b relates to</w:t>
            </w:r>
            <w:r w:rsidR="00CF3550" w:rsidRPr="00CF3550">
              <w:t xml:space="preserve"> Australia’s alignment with ICAO Standards and Recommended Practices (SARPs)</w:t>
            </w:r>
            <w:r>
              <w:t>.</w:t>
            </w:r>
          </w:p>
          <w:p w14:paraId="6E815D0B" w14:textId="77777777" w:rsidR="00CF3550" w:rsidRPr="00CF3550" w:rsidRDefault="00CF3550" w:rsidP="008E2A9C">
            <w:pPr>
              <w:pStyle w:val="TableText"/>
            </w:pPr>
            <w:r w:rsidRPr="00CF3550">
              <w:t>There are currently a total of 11,244 SARPs across the 19 annexes to the Chicago Convention (as at 29 June 2018). Under Article 38 of the Convention, States are obliged to adopt standards and where not adopting standards are required to lodge differences according to the appropriate category.</w:t>
            </w:r>
          </w:p>
          <w:p w14:paraId="73DB6D66" w14:textId="77777777" w:rsidR="00CF3550" w:rsidRPr="00CF3550" w:rsidRDefault="00CF3550" w:rsidP="008E2A9C">
            <w:pPr>
              <w:pStyle w:val="TableText"/>
            </w:pPr>
            <w:r w:rsidRPr="00CF3550">
              <w:t>Category A – Contracting State’s requirement is more exacting or exceeds a SARP</w:t>
            </w:r>
          </w:p>
          <w:p w14:paraId="4400CC61" w14:textId="77777777" w:rsidR="00CF3550" w:rsidRPr="00CF3550" w:rsidRDefault="00CF3550" w:rsidP="008E2A9C">
            <w:pPr>
              <w:pStyle w:val="TableText"/>
            </w:pPr>
            <w:r w:rsidRPr="00CF3550">
              <w:t>Category B – Contracting State’s requirement is different in character or the Contracting State has established other means of compliance</w:t>
            </w:r>
          </w:p>
          <w:p w14:paraId="6DAD757C" w14:textId="77777777" w:rsidR="009518B5" w:rsidRPr="0016175C" w:rsidRDefault="00CF3550" w:rsidP="008E2A9C">
            <w:pPr>
              <w:pStyle w:val="TableText"/>
            </w:pPr>
            <w:r w:rsidRPr="00CF3550">
              <w:t>Category C – Contracting State’s requirement is less protective, partially implemented or not implemented</w:t>
            </w:r>
            <w:r>
              <w:t>.</w:t>
            </w:r>
          </w:p>
        </w:tc>
      </w:tr>
      <w:tr w:rsidR="009518B5" w:rsidRPr="0016175C" w14:paraId="5F59B0D9" w14:textId="77777777" w:rsidTr="00C77ABC">
        <w:tc>
          <w:tcPr>
            <w:tcW w:w="2346" w:type="dxa"/>
            <w:shd w:val="clear" w:color="auto" w:fill="auto"/>
          </w:tcPr>
          <w:p w14:paraId="1A9625B9" w14:textId="77777777" w:rsidR="009518B5" w:rsidRPr="0016175C" w:rsidRDefault="009518B5" w:rsidP="008E2A9C">
            <w:pPr>
              <w:pStyle w:val="TableText"/>
            </w:pPr>
            <w:r w:rsidRPr="0016175C">
              <w:lastRenderedPageBreak/>
              <w:t>Actions undertaken by CASA are proportionate to the risk being managed</w:t>
            </w:r>
            <w:r w:rsidR="00582564" w:rsidRPr="00951558">
              <w:rPr>
                <w:vertAlign w:val="superscript"/>
              </w:rPr>
              <w:t>a</w:t>
            </w:r>
          </w:p>
        </w:tc>
        <w:tc>
          <w:tcPr>
            <w:tcW w:w="2843" w:type="dxa"/>
            <w:shd w:val="clear" w:color="auto" w:fill="auto"/>
          </w:tcPr>
          <w:p w14:paraId="0D31FCC8" w14:textId="77777777" w:rsidR="009518B5" w:rsidRPr="0016175C" w:rsidRDefault="009518B5" w:rsidP="008E2A9C">
            <w:pPr>
              <w:pStyle w:val="TableText"/>
              <w:rPr>
                <w:i/>
              </w:rPr>
            </w:pPr>
            <w:r w:rsidRPr="0016175C">
              <w:t>4a.Regulatory burden is only increased with a clear safety case</w:t>
            </w:r>
            <w:r w:rsidRPr="0016175C">
              <w:rPr>
                <w:i/>
              </w:rPr>
              <w:t xml:space="preserve"> </w:t>
            </w:r>
          </w:p>
          <w:p w14:paraId="51BB3E93" w14:textId="77777777" w:rsidR="009518B5" w:rsidRPr="0016175C" w:rsidRDefault="009518B5" w:rsidP="008E2A9C">
            <w:pPr>
              <w:pStyle w:val="TableText"/>
            </w:pPr>
            <w:r w:rsidRPr="0016175C">
              <w:t>4b. Enforcement action is proportionate to the infringement identified</w:t>
            </w:r>
          </w:p>
          <w:p w14:paraId="175C76E7" w14:textId="77777777" w:rsidR="009518B5" w:rsidRPr="0016175C" w:rsidRDefault="009518B5" w:rsidP="008E2A9C">
            <w:pPr>
              <w:pStyle w:val="TableText"/>
            </w:pPr>
            <w:r w:rsidRPr="0016175C">
              <w:t>4c. Number of complaints where CASA has acted disproportionately to the risk being managed</w:t>
            </w:r>
          </w:p>
        </w:tc>
        <w:tc>
          <w:tcPr>
            <w:tcW w:w="5125" w:type="dxa"/>
            <w:shd w:val="clear" w:color="auto" w:fill="auto"/>
          </w:tcPr>
          <w:p w14:paraId="514A4C2A" w14:textId="77777777" w:rsidR="00595581" w:rsidRPr="0016175C" w:rsidRDefault="00595581" w:rsidP="008E2A9C">
            <w:pPr>
              <w:pStyle w:val="TableText"/>
            </w:pPr>
            <w:r w:rsidRPr="0016175C">
              <w:t xml:space="preserve">There were no regulatory changes that increased the regulatory burden in 2017–18. </w:t>
            </w:r>
          </w:p>
          <w:p w14:paraId="2A58D5B4" w14:textId="77777777" w:rsidR="00595581" w:rsidRPr="0016175C" w:rsidRDefault="00595581" w:rsidP="008E2A9C">
            <w:pPr>
              <w:pStyle w:val="TableText"/>
              <w:rPr>
                <w:rFonts w:cs="Arial"/>
                <w:bCs/>
              </w:rPr>
            </w:pPr>
            <w:r w:rsidRPr="0016175C">
              <w:t>C</w:t>
            </w:r>
            <w:r w:rsidRPr="0016175C">
              <w:rPr>
                <w:rFonts w:cs="Arial"/>
              </w:rPr>
              <w:t xml:space="preserve">ASA issued 45 aviation infringement notices during </w:t>
            </w:r>
            <w:r w:rsidR="00A94C3A">
              <w:rPr>
                <w:rFonts w:cs="Arial"/>
              </w:rPr>
              <w:br/>
            </w:r>
            <w:r w:rsidRPr="0016175C">
              <w:rPr>
                <w:rFonts w:cs="Arial"/>
              </w:rPr>
              <w:t xml:space="preserve">2017–18. </w:t>
            </w:r>
            <w:r w:rsidR="002A1D82" w:rsidRPr="0016175C">
              <w:rPr>
                <w:rFonts w:cs="Arial"/>
              </w:rPr>
              <w:t>The</w:t>
            </w:r>
            <w:r w:rsidR="002A1D82">
              <w:rPr>
                <w:rFonts w:cs="Arial"/>
              </w:rPr>
              <w:t>y</w:t>
            </w:r>
            <w:r w:rsidR="002A1D82" w:rsidRPr="0016175C">
              <w:rPr>
                <w:rFonts w:cs="Arial"/>
              </w:rPr>
              <w:t xml:space="preserve"> </w:t>
            </w:r>
            <w:r w:rsidRPr="0016175C">
              <w:rPr>
                <w:rFonts w:cs="Arial"/>
              </w:rPr>
              <w:t xml:space="preserve">were </w:t>
            </w:r>
            <w:r w:rsidR="002A1D82">
              <w:rPr>
                <w:rFonts w:cs="Arial"/>
              </w:rPr>
              <w:t xml:space="preserve">issued for </w:t>
            </w:r>
            <w:r w:rsidRPr="0016175C">
              <w:rPr>
                <w:rFonts w:cs="Arial"/>
              </w:rPr>
              <w:t xml:space="preserve">RPAS-related offences under CASR Part 101, </w:t>
            </w:r>
            <w:r w:rsidR="002A1D82">
              <w:rPr>
                <w:rFonts w:cs="Arial"/>
              </w:rPr>
              <w:t>and the number of notices reflected</w:t>
            </w:r>
            <w:r w:rsidRPr="0016175C">
              <w:rPr>
                <w:rFonts w:cs="Arial"/>
                <w:bCs/>
              </w:rPr>
              <w:t xml:space="preserve"> the high volume of complaints that CASA received in relation to RPAS. </w:t>
            </w:r>
          </w:p>
          <w:p w14:paraId="2D0B2A31" w14:textId="77777777" w:rsidR="00595581" w:rsidRPr="0016175C" w:rsidRDefault="00595581" w:rsidP="008E2A9C">
            <w:pPr>
              <w:pStyle w:val="TableText"/>
              <w:rPr>
                <w:rFonts w:cs="Arial"/>
              </w:rPr>
            </w:pPr>
            <w:r w:rsidRPr="0016175C">
              <w:rPr>
                <w:rFonts w:cs="Arial"/>
                <w:bCs/>
              </w:rPr>
              <w:t xml:space="preserve">As in previous years, the majority of Administrative Appeals Tribunal applications arose from aviation medical certificate matters. Most of the cases were able to be settled prior to hearing. CASA has been successful in all aviation medical matters which have proceeded to hearing in recent times, including during the fourth quarter of 2017–18 </w:t>
            </w:r>
            <w:r w:rsidR="00720D5E" w:rsidRPr="0016175C">
              <w:rPr>
                <w:rFonts w:cs="Arial"/>
                <w:bCs/>
              </w:rPr>
              <w:t>whe</w:t>
            </w:r>
            <w:r w:rsidR="00720D5E">
              <w:rPr>
                <w:rFonts w:cs="Arial"/>
                <w:bCs/>
              </w:rPr>
              <w:t>n</w:t>
            </w:r>
            <w:r w:rsidR="00720D5E" w:rsidRPr="0016175C">
              <w:rPr>
                <w:rFonts w:cs="Arial"/>
                <w:bCs/>
              </w:rPr>
              <w:t xml:space="preserve"> </w:t>
            </w:r>
            <w:r w:rsidRPr="0016175C">
              <w:rPr>
                <w:rFonts w:cs="Arial"/>
                <w:bCs/>
              </w:rPr>
              <w:t>two decisions were handed down affirming CASA’s decision.</w:t>
            </w:r>
          </w:p>
          <w:p w14:paraId="205E5E70" w14:textId="77777777" w:rsidR="009518B5" w:rsidRPr="0016175C" w:rsidRDefault="00595581" w:rsidP="008E2A9C">
            <w:pPr>
              <w:pStyle w:val="TableText"/>
              <w:rPr>
                <w:rFonts w:eastAsia="Times New Roman"/>
                <w:color w:val="FF0000"/>
              </w:rPr>
            </w:pPr>
            <w:r w:rsidRPr="0016175C">
              <w:t>Of the 80 complaints finalised in 2017–18, two were upheld on the basis</w:t>
            </w:r>
            <w:r w:rsidR="00720D5E">
              <w:t xml:space="preserve"> that</w:t>
            </w:r>
            <w:r w:rsidRPr="0016175C">
              <w:t xml:space="preserve"> CASA had failed to act proportionately. One related to failure to apply the regulatory philosophy when assessing the date of expiry of a medical certificate, and the other related to a statement from CASA that a site visit was required to assess a certificate of approval variation</w:t>
            </w:r>
            <w:r w:rsidR="00720D5E">
              <w:t>,</w:t>
            </w:r>
            <w:r w:rsidRPr="0016175C">
              <w:t xml:space="preserve"> when a desktop assessment would have been sufficient.</w:t>
            </w:r>
          </w:p>
        </w:tc>
      </w:tr>
      <w:tr w:rsidR="009518B5" w:rsidRPr="0016175C" w14:paraId="1C55D5C8" w14:textId="77777777" w:rsidTr="00C77ABC">
        <w:tc>
          <w:tcPr>
            <w:tcW w:w="2346" w:type="dxa"/>
            <w:shd w:val="clear" w:color="auto" w:fill="auto"/>
          </w:tcPr>
          <w:p w14:paraId="0EE25D96" w14:textId="77777777" w:rsidR="009518B5" w:rsidRPr="0016175C" w:rsidRDefault="009518B5" w:rsidP="008E2A9C">
            <w:pPr>
              <w:pStyle w:val="TableText"/>
            </w:pPr>
            <w:r w:rsidRPr="0016175C">
              <w:t>Compliance and monitoring approaches are streamlined and coordinated</w:t>
            </w:r>
            <w:r w:rsidR="00582564" w:rsidRPr="00951558">
              <w:rPr>
                <w:vertAlign w:val="superscript"/>
              </w:rPr>
              <w:t>a</w:t>
            </w:r>
          </w:p>
        </w:tc>
        <w:tc>
          <w:tcPr>
            <w:tcW w:w="2843" w:type="dxa"/>
            <w:shd w:val="clear" w:color="auto" w:fill="auto"/>
          </w:tcPr>
          <w:p w14:paraId="1D2CF46C" w14:textId="77777777" w:rsidR="009518B5" w:rsidRPr="0016175C" w:rsidRDefault="009518B5" w:rsidP="008E2A9C">
            <w:pPr>
              <w:pStyle w:val="TableText"/>
              <w:rPr>
                <w:u w:val="single"/>
              </w:rPr>
            </w:pPr>
            <w:r w:rsidRPr="0016175C">
              <w:t>5b. Oversight of regulated entities is undertaken in accordance with the CASA Surveillance Manual</w:t>
            </w:r>
          </w:p>
          <w:p w14:paraId="60A99E29" w14:textId="77777777" w:rsidR="009518B5" w:rsidRPr="0016175C" w:rsidRDefault="009518B5" w:rsidP="008E2A9C">
            <w:pPr>
              <w:pStyle w:val="TableText"/>
            </w:pPr>
          </w:p>
        </w:tc>
        <w:tc>
          <w:tcPr>
            <w:tcW w:w="5125" w:type="dxa"/>
            <w:shd w:val="clear" w:color="auto" w:fill="auto"/>
          </w:tcPr>
          <w:p w14:paraId="66257D4F" w14:textId="77777777" w:rsidR="00595581" w:rsidRPr="0016175C" w:rsidRDefault="00595581" w:rsidP="008E2A9C">
            <w:pPr>
              <w:pStyle w:val="TableText"/>
            </w:pPr>
            <w:r w:rsidRPr="0016175C">
              <w:t xml:space="preserve">In 2017–18: </w:t>
            </w:r>
          </w:p>
          <w:p w14:paraId="4745278D" w14:textId="77777777" w:rsidR="00595581" w:rsidRDefault="00595581" w:rsidP="008E2A9C">
            <w:pPr>
              <w:pStyle w:val="TableText"/>
            </w:pPr>
            <w:r w:rsidRPr="0023665C">
              <w:t>on average, 67% of surveillance reports were issued within the 20-day period stipulated in the manual</w:t>
            </w:r>
          </w:p>
          <w:p w14:paraId="430B1C9F" w14:textId="77777777" w:rsidR="009518B5" w:rsidRPr="0016175C" w:rsidRDefault="003E450C" w:rsidP="008E2A9C">
            <w:pPr>
              <w:pStyle w:val="TableText"/>
              <w:rPr>
                <w:color w:val="FF0000"/>
              </w:rPr>
            </w:pPr>
            <w:r w:rsidRPr="0016175C">
              <w:t xml:space="preserve">44% of authorisation holder performance indicator assessments, including for </w:t>
            </w:r>
            <w:r w:rsidR="00720D5E">
              <w:t xml:space="preserve">RPAS </w:t>
            </w:r>
            <w:r w:rsidRPr="0016175C">
              <w:t>operators, were completed within the past six months; the result increases to 70% if RPAS operators are excluded.</w:t>
            </w:r>
          </w:p>
        </w:tc>
      </w:tr>
    </w:tbl>
    <w:p w14:paraId="23F72137" w14:textId="77777777" w:rsidR="000F61DE" w:rsidRDefault="000F61DE" w:rsidP="000F61DE">
      <w:pPr>
        <w:pStyle w:val="TableNotesLast"/>
      </w:pPr>
      <w:bookmarkStart w:id="51" w:name="_Hlk521495585"/>
      <w:bookmarkEnd w:id="49"/>
      <w:r>
        <w:t>a</w:t>
      </w:r>
      <w:r>
        <w:tab/>
        <w:t>Key performance indicator required under the Regulator Performance Framework.</w:t>
      </w:r>
    </w:p>
    <w:p w14:paraId="5AC2005D" w14:textId="77777777" w:rsidR="00D22330" w:rsidRPr="006C0823" w:rsidRDefault="00D22330" w:rsidP="00D22330">
      <w:pPr>
        <w:pStyle w:val="Heading3"/>
        <w:rPr>
          <w:lang w:val="en-GB"/>
        </w:rPr>
      </w:pPr>
      <w:r w:rsidRPr="006C0823">
        <w:rPr>
          <w:lang w:val="en-GB"/>
        </w:rPr>
        <w:t>Looking ahead</w:t>
      </w:r>
    </w:p>
    <w:p w14:paraId="5F94D144" w14:textId="77777777" w:rsidR="00D22330" w:rsidRPr="005C7A96" w:rsidRDefault="00D22330" w:rsidP="00D22330">
      <w:pPr>
        <w:pStyle w:val="Bullet"/>
        <w:rPr>
          <w:szCs w:val="24"/>
        </w:rPr>
      </w:pPr>
      <w:r w:rsidRPr="005C7A96">
        <w:rPr>
          <w:rFonts w:eastAsia="Calibri" w:cs="Calibri"/>
        </w:rPr>
        <w:t xml:space="preserve">CASA will </w:t>
      </w:r>
      <w:r w:rsidR="009D00A1">
        <w:rPr>
          <w:rFonts w:eastAsia="Calibri" w:cs="Calibri"/>
        </w:rPr>
        <w:t xml:space="preserve">need to </w:t>
      </w:r>
      <w:r w:rsidRPr="005C7A96">
        <w:rPr>
          <w:rFonts w:eastAsia="Calibri" w:cs="Calibri"/>
        </w:rPr>
        <w:t xml:space="preserve">work </w:t>
      </w:r>
      <w:r w:rsidR="009D00A1">
        <w:rPr>
          <w:rFonts w:eastAsia="Calibri" w:cs="Calibri"/>
        </w:rPr>
        <w:t xml:space="preserve">closely </w:t>
      </w:r>
      <w:r w:rsidRPr="005C7A96">
        <w:rPr>
          <w:rFonts w:eastAsia="Calibri" w:cs="Calibri"/>
        </w:rPr>
        <w:t xml:space="preserve">with the Department of Infrastructure, Regional Development and Cities on the civil aviation regulatory requirements </w:t>
      </w:r>
      <w:r>
        <w:rPr>
          <w:rFonts w:eastAsia="Calibri" w:cs="Calibri"/>
        </w:rPr>
        <w:t>arising from</w:t>
      </w:r>
      <w:r w:rsidRPr="005C7A96">
        <w:rPr>
          <w:rFonts w:eastAsia="Calibri" w:cs="Calibri"/>
        </w:rPr>
        <w:t xml:space="preserve"> the development of new runway infrastructure </w:t>
      </w:r>
      <w:r>
        <w:rPr>
          <w:rFonts w:eastAsia="Calibri" w:cs="Calibri"/>
        </w:rPr>
        <w:t>at the</w:t>
      </w:r>
      <w:r w:rsidRPr="005C7A96">
        <w:rPr>
          <w:rFonts w:eastAsia="Calibri" w:cs="Calibri"/>
        </w:rPr>
        <w:t xml:space="preserve"> </w:t>
      </w:r>
      <w:r>
        <w:rPr>
          <w:rFonts w:eastAsia="Calibri" w:cs="Calibri"/>
        </w:rPr>
        <w:t xml:space="preserve">Brisbane, </w:t>
      </w:r>
      <w:r w:rsidRPr="005C7A96">
        <w:rPr>
          <w:rFonts w:eastAsia="Calibri" w:cs="Calibri"/>
        </w:rPr>
        <w:t xml:space="preserve">Melbourne, </w:t>
      </w:r>
      <w:r>
        <w:rPr>
          <w:rFonts w:eastAsia="Calibri" w:cs="Calibri"/>
        </w:rPr>
        <w:t xml:space="preserve">Perth, </w:t>
      </w:r>
      <w:r w:rsidRPr="005C7A96">
        <w:rPr>
          <w:rFonts w:eastAsia="Calibri" w:cs="Calibri"/>
        </w:rPr>
        <w:t>Sydney and Sunshine Coast</w:t>
      </w:r>
      <w:r>
        <w:rPr>
          <w:rFonts w:eastAsia="Calibri" w:cs="Calibri"/>
        </w:rPr>
        <w:t xml:space="preserve"> airports</w:t>
      </w:r>
      <w:r w:rsidRPr="005C7A96">
        <w:rPr>
          <w:rFonts w:eastAsia="Calibri" w:cs="Calibri"/>
        </w:rPr>
        <w:t>.</w:t>
      </w:r>
    </w:p>
    <w:p w14:paraId="6B2D039A" w14:textId="77777777" w:rsidR="00D22330" w:rsidRPr="005C7A96" w:rsidRDefault="00D22330" w:rsidP="00D22330">
      <w:pPr>
        <w:pStyle w:val="Bullet"/>
        <w:rPr>
          <w:szCs w:val="24"/>
        </w:rPr>
      </w:pPr>
      <w:r>
        <w:rPr>
          <w:rFonts w:eastAsia="Calibri" w:cs="Calibri"/>
        </w:rPr>
        <w:t xml:space="preserve">The </w:t>
      </w:r>
      <w:r w:rsidRPr="005C7A96">
        <w:rPr>
          <w:rFonts w:eastAsia="Calibri" w:cs="Calibri"/>
        </w:rPr>
        <w:t>OneS</w:t>
      </w:r>
      <w:r>
        <w:rPr>
          <w:rFonts w:eastAsia="Calibri" w:cs="Calibri"/>
        </w:rPr>
        <w:t>KY</w:t>
      </w:r>
      <w:r w:rsidRPr="005C7A96">
        <w:rPr>
          <w:rFonts w:eastAsia="Calibri" w:cs="Calibri"/>
        </w:rPr>
        <w:t xml:space="preserve"> </w:t>
      </w:r>
      <w:r>
        <w:rPr>
          <w:rFonts w:eastAsia="Calibri" w:cs="Calibri"/>
        </w:rPr>
        <w:t>p</w:t>
      </w:r>
      <w:r w:rsidRPr="005C7A96">
        <w:rPr>
          <w:rFonts w:eastAsia="Calibri" w:cs="Calibri"/>
        </w:rPr>
        <w:t xml:space="preserve">roject </w:t>
      </w:r>
      <w:r>
        <w:rPr>
          <w:rFonts w:eastAsia="Calibri" w:cs="Calibri"/>
        </w:rPr>
        <w:t>will be</w:t>
      </w:r>
      <w:r w:rsidRPr="005C7A96">
        <w:rPr>
          <w:rFonts w:eastAsia="Calibri" w:cs="Calibri"/>
        </w:rPr>
        <w:t xml:space="preserve"> a major focus for CASA </w:t>
      </w:r>
      <w:r>
        <w:rPr>
          <w:rFonts w:eastAsia="Calibri" w:cs="Calibri"/>
        </w:rPr>
        <w:t xml:space="preserve">as it provides </w:t>
      </w:r>
      <w:r w:rsidRPr="005C7A96">
        <w:rPr>
          <w:rFonts w:eastAsia="Calibri" w:cs="Calibri"/>
        </w:rPr>
        <w:t>guidance on civil aviation regulatory aspects of the national air traffic control systems replacement.</w:t>
      </w:r>
    </w:p>
    <w:p w14:paraId="38F02C59" w14:textId="77777777" w:rsidR="00D22330" w:rsidRPr="00442B53" w:rsidRDefault="00D22330" w:rsidP="00D22330">
      <w:pPr>
        <w:pStyle w:val="Bullet"/>
        <w:rPr>
          <w:szCs w:val="24"/>
        </w:rPr>
      </w:pPr>
      <w:r w:rsidRPr="005C7A96">
        <w:rPr>
          <w:rFonts w:eastAsia="Calibri" w:cs="Calibri"/>
        </w:rPr>
        <w:t xml:space="preserve">CASA will </w:t>
      </w:r>
      <w:r w:rsidR="009D00A1">
        <w:rPr>
          <w:rFonts w:eastAsia="Calibri" w:cs="Calibri"/>
        </w:rPr>
        <w:t xml:space="preserve">need to </w:t>
      </w:r>
      <w:r w:rsidRPr="005C7A96">
        <w:rPr>
          <w:rFonts w:eastAsia="Calibri" w:cs="Calibri"/>
        </w:rPr>
        <w:t>work with Geoscience Australia and Airservices Australia on satellite-based technology and capability</w:t>
      </w:r>
      <w:r>
        <w:rPr>
          <w:rFonts w:eastAsia="Calibri" w:cs="Calibri"/>
        </w:rPr>
        <w:t>, and</w:t>
      </w:r>
      <w:r w:rsidRPr="005C7A96">
        <w:rPr>
          <w:rFonts w:eastAsia="Calibri" w:cs="Calibri"/>
        </w:rPr>
        <w:t xml:space="preserve"> with the </w:t>
      </w:r>
      <w:r>
        <w:rPr>
          <w:rFonts w:eastAsia="Calibri" w:cs="Calibri"/>
        </w:rPr>
        <w:t>Australian Space Agency</w:t>
      </w:r>
      <w:r w:rsidRPr="005C7A96">
        <w:rPr>
          <w:rFonts w:eastAsia="Calibri" w:cs="Calibri"/>
        </w:rPr>
        <w:t xml:space="preserve"> on civil aviation regulatory aspects </w:t>
      </w:r>
      <w:r>
        <w:rPr>
          <w:rFonts w:eastAsia="Calibri" w:cs="Calibri"/>
        </w:rPr>
        <w:t>of</w:t>
      </w:r>
      <w:r w:rsidRPr="005C7A96">
        <w:rPr>
          <w:rFonts w:eastAsia="Calibri" w:cs="Calibri"/>
        </w:rPr>
        <w:t xml:space="preserve"> space operations.</w:t>
      </w:r>
    </w:p>
    <w:p w14:paraId="70E2207B" w14:textId="77777777" w:rsidR="00D22330" w:rsidRDefault="00D22330" w:rsidP="00D22330">
      <w:pPr>
        <w:pStyle w:val="Bullet"/>
        <w:rPr>
          <w:szCs w:val="24"/>
        </w:rPr>
      </w:pPr>
      <w:r>
        <w:rPr>
          <w:szCs w:val="24"/>
          <w:lang w:eastAsia="en-AU"/>
        </w:rPr>
        <w:t>CASA will c</w:t>
      </w:r>
      <w:r w:rsidRPr="000803A4">
        <w:rPr>
          <w:szCs w:val="24"/>
          <w:lang w:eastAsia="en-AU"/>
        </w:rPr>
        <w:t>omplete the standards development phase</w:t>
      </w:r>
      <w:r>
        <w:rPr>
          <w:szCs w:val="24"/>
          <w:lang w:eastAsia="en-AU"/>
        </w:rPr>
        <w:t xml:space="preserve">, involving </w:t>
      </w:r>
      <w:r w:rsidRPr="000803A4">
        <w:rPr>
          <w:szCs w:val="24"/>
          <w:lang w:eastAsia="en-AU"/>
        </w:rPr>
        <w:t>multiple public consultation events</w:t>
      </w:r>
      <w:r>
        <w:rPr>
          <w:szCs w:val="24"/>
          <w:lang w:eastAsia="en-AU"/>
        </w:rPr>
        <w:t>, for the last tranche of aviation regulations to</w:t>
      </w:r>
      <w:r w:rsidRPr="000803A4">
        <w:rPr>
          <w:szCs w:val="24"/>
          <w:lang w:eastAsia="en-AU"/>
        </w:rPr>
        <w:t xml:space="preserve"> migrat</w:t>
      </w:r>
      <w:r>
        <w:rPr>
          <w:szCs w:val="24"/>
          <w:lang w:eastAsia="en-AU"/>
        </w:rPr>
        <w:t>e</w:t>
      </w:r>
      <w:r w:rsidRPr="000803A4">
        <w:rPr>
          <w:szCs w:val="24"/>
          <w:lang w:eastAsia="en-AU"/>
        </w:rPr>
        <w:t xml:space="preserve"> from the Civil Aviation Regulations 1988 to the Civil Aviation Safety Regulations 1998. This will encompass CASR Parts 91, 103, 105, 119, 121, 131, 133, 135</w:t>
      </w:r>
      <w:r w:rsidR="00EA74CF" w:rsidRPr="00EA74CF">
        <w:rPr>
          <w:szCs w:val="24"/>
          <w:lang w:eastAsia="en-AU"/>
        </w:rPr>
        <w:t xml:space="preserve"> </w:t>
      </w:r>
      <w:r w:rsidR="00EA74CF" w:rsidRPr="000803A4">
        <w:rPr>
          <w:szCs w:val="24"/>
          <w:lang w:eastAsia="en-AU"/>
        </w:rPr>
        <w:t>and</w:t>
      </w:r>
      <w:r w:rsidRPr="000803A4">
        <w:rPr>
          <w:szCs w:val="24"/>
          <w:lang w:eastAsia="en-AU"/>
        </w:rPr>
        <w:t xml:space="preserve"> 138</w:t>
      </w:r>
      <w:r>
        <w:rPr>
          <w:szCs w:val="24"/>
          <w:lang w:eastAsia="en-AU"/>
        </w:rPr>
        <w:t xml:space="preserve">, and </w:t>
      </w:r>
      <w:r w:rsidRPr="000803A4">
        <w:rPr>
          <w:szCs w:val="24"/>
          <w:lang w:eastAsia="en-AU"/>
        </w:rPr>
        <w:t xml:space="preserve">will include a significant reduction in the number of individual legislative instruments. </w:t>
      </w:r>
      <w:r w:rsidRPr="000803A4">
        <w:rPr>
          <w:szCs w:val="24"/>
          <w:lang w:eastAsia="en-AU"/>
        </w:rPr>
        <w:lastRenderedPageBreak/>
        <w:t>The result will be a significantly more coherent and internationally compatible set of aviation regulations and standards.</w:t>
      </w:r>
    </w:p>
    <w:p w14:paraId="2E04F9D5" w14:textId="77777777" w:rsidR="00290EB0" w:rsidRPr="000F0648" w:rsidRDefault="00F30BC8" w:rsidP="000F0648">
      <w:pPr>
        <w:pStyle w:val="Bullet"/>
        <w:rPr>
          <w:rFonts w:ascii="Calibri" w:hAnsi="Calibri"/>
          <w:sz w:val="22"/>
          <w:lang w:val="en-AU"/>
        </w:rPr>
      </w:pPr>
      <w:r>
        <w:t>N</w:t>
      </w:r>
      <w:r w:rsidR="000F0648">
        <w:t xml:space="preserve">ew streamlined maintenance regulations for Australia’s general aviation sector </w:t>
      </w:r>
      <w:r>
        <w:t xml:space="preserve">will be developed, </w:t>
      </w:r>
      <w:r w:rsidR="000F0648">
        <w:t xml:space="preserve">to minimise regulatory burden, reduce costs and </w:t>
      </w:r>
      <w:r>
        <w:t>align with</w:t>
      </w:r>
      <w:r w:rsidR="000F0648">
        <w:t xml:space="preserve"> the best practices of other leading aviation nations. The proposed new regulations will cover maintenance for aircraft used in private and aerial work operations.</w:t>
      </w:r>
    </w:p>
    <w:p w14:paraId="0FF130A1" w14:textId="77777777" w:rsidR="00D22330" w:rsidRPr="00C26288" w:rsidRDefault="00D22330" w:rsidP="00D22330">
      <w:pPr>
        <w:pStyle w:val="Bullet"/>
        <w:rPr>
          <w:szCs w:val="24"/>
        </w:rPr>
      </w:pPr>
      <w:r w:rsidRPr="00C26288">
        <w:rPr>
          <w:rFonts w:cs="Calibri"/>
        </w:rPr>
        <w:t>Work will continue to further enhance the National Surveillance Selection Process to better identify appropriate surveillance methods according to the type</w:t>
      </w:r>
      <w:r>
        <w:rPr>
          <w:rFonts w:cs="Calibri"/>
        </w:rPr>
        <w:t>s</w:t>
      </w:r>
      <w:r w:rsidRPr="00C26288">
        <w:rPr>
          <w:rFonts w:cs="Calibri"/>
        </w:rPr>
        <w:t xml:space="preserve"> of operations</w:t>
      </w:r>
      <w:r>
        <w:rPr>
          <w:rFonts w:cs="Calibri"/>
        </w:rPr>
        <w:t xml:space="preserve"> or </w:t>
      </w:r>
      <w:r w:rsidRPr="00C26288">
        <w:rPr>
          <w:rFonts w:cs="Calibri"/>
        </w:rPr>
        <w:t xml:space="preserve">activities conducted by authorisation holders. Identifying actual activities will </w:t>
      </w:r>
      <w:r>
        <w:rPr>
          <w:rFonts w:cs="Calibri"/>
        </w:rPr>
        <w:t>assist</w:t>
      </w:r>
      <w:r w:rsidRPr="00C26288">
        <w:rPr>
          <w:rFonts w:cs="Calibri"/>
        </w:rPr>
        <w:t xml:space="preserve"> CASA </w:t>
      </w:r>
      <w:r w:rsidR="001A7DB3">
        <w:rPr>
          <w:rFonts w:cs="Calibri"/>
        </w:rPr>
        <w:t xml:space="preserve">through the Aviation Safety Committee </w:t>
      </w:r>
      <w:r w:rsidRPr="00C26288">
        <w:rPr>
          <w:rFonts w:cs="Calibri"/>
        </w:rPr>
        <w:t xml:space="preserve">to focus its surveillance activities </w:t>
      </w:r>
      <w:r>
        <w:rPr>
          <w:rFonts w:cs="Calibri"/>
        </w:rPr>
        <w:t>on</w:t>
      </w:r>
      <w:r w:rsidRPr="00C26288">
        <w:rPr>
          <w:rFonts w:cs="Calibri"/>
        </w:rPr>
        <w:t xml:space="preserve"> </w:t>
      </w:r>
      <w:r>
        <w:rPr>
          <w:rFonts w:cs="Calibri"/>
        </w:rPr>
        <w:t xml:space="preserve">the </w:t>
      </w:r>
      <w:r w:rsidRPr="00C26288">
        <w:rPr>
          <w:rFonts w:cs="Calibri"/>
        </w:rPr>
        <w:t xml:space="preserve">areas </w:t>
      </w:r>
      <w:r>
        <w:rPr>
          <w:rFonts w:cs="Calibri"/>
        </w:rPr>
        <w:t xml:space="preserve">likely to have the </w:t>
      </w:r>
      <w:r w:rsidRPr="00C26288">
        <w:rPr>
          <w:rFonts w:cs="Calibri"/>
        </w:rPr>
        <w:t>highe</w:t>
      </w:r>
      <w:r>
        <w:rPr>
          <w:rFonts w:cs="Calibri"/>
        </w:rPr>
        <w:t>st</w:t>
      </w:r>
      <w:r w:rsidRPr="00C26288">
        <w:rPr>
          <w:rFonts w:cs="Calibri"/>
        </w:rPr>
        <w:t xml:space="preserve"> impact </w:t>
      </w:r>
      <w:r w:rsidR="00DF720A">
        <w:rPr>
          <w:rFonts w:cs="Calibri"/>
        </w:rPr>
        <w:t>on</w:t>
      </w:r>
      <w:r w:rsidRPr="00C26288">
        <w:rPr>
          <w:rFonts w:cs="Calibri"/>
        </w:rPr>
        <w:t xml:space="preserve"> the safety of flight.</w:t>
      </w:r>
      <w:r w:rsidRPr="002B1753">
        <w:rPr>
          <w:rFonts w:cs="Calibri"/>
        </w:rPr>
        <w:t xml:space="preserve"> </w:t>
      </w:r>
    </w:p>
    <w:p w14:paraId="32E35892" w14:textId="77777777" w:rsidR="00D22330" w:rsidRDefault="00D22330" w:rsidP="00D22330">
      <w:pPr>
        <w:pStyle w:val="Bullet"/>
      </w:pPr>
      <w:r>
        <w:rPr>
          <w:szCs w:val="24"/>
        </w:rPr>
        <w:t>I</w:t>
      </w:r>
      <w:r w:rsidRPr="008E2FE5">
        <w:rPr>
          <w:szCs w:val="24"/>
        </w:rPr>
        <w:t xml:space="preserve">n conjunction with its continuing delivery of </w:t>
      </w:r>
      <w:r>
        <w:rPr>
          <w:szCs w:val="24"/>
        </w:rPr>
        <w:t>r</w:t>
      </w:r>
      <w:r w:rsidRPr="008E2FE5">
        <w:rPr>
          <w:szCs w:val="24"/>
        </w:rPr>
        <w:t xml:space="preserve">egulatory </w:t>
      </w:r>
      <w:r>
        <w:rPr>
          <w:szCs w:val="24"/>
        </w:rPr>
        <w:t>p</w:t>
      </w:r>
      <w:r w:rsidRPr="008E2FE5">
        <w:rPr>
          <w:szCs w:val="24"/>
        </w:rPr>
        <w:t>hilosophy implementation workshops for CASA manage</w:t>
      </w:r>
      <w:r>
        <w:rPr>
          <w:szCs w:val="24"/>
        </w:rPr>
        <w:t>rs</w:t>
      </w:r>
      <w:r w:rsidRPr="008E2FE5">
        <w:rPr>
          <w:szCs w:val="24"/>
        </w:rPr>
        <w:t xml:space="preserve"> and staff, </w:t>
      </w:r>
      <w:r>
        <w:rPr>
          <w:szCs w:val="24"/>
        </w:rPr>
        <w:t>CASA</w:t>
      </w:r>
      <w:r w:rsidRPr="008E2FE5">
        <w:rPr>
          <w:szCs w:val="24"/>
        </w:rPr>
        <w:t xml:space="preserve"> will initiate a program to explain and discuss the importance of CASA’s </w:t>
      </w:r>
      <w:r>
        <w:rPr>
          <w:szCs w:val="24"/>
        </w:rPr>
        <w:t>r</w:t>
      </w:r>
      <w:r w:rsidRPr="008E2FE5">
        <w:rPr>
          <w:szCs w:val="24"/>
        </w:rPr>
        <w:t xml:space="preserve">egulatory </w:t>
      </w:r>
      <w:r>
        <w:rPr>
          <w:szCs w:val="24"/>
        </w:rPr>
        <w:t>p</w:t>
      </w:r>
      <w:r w:rsidRPr="008E2FE5">
        <w:rPr>
          <w:szCs w:val="24"/>
        </w:rPr>
        <w:t xml:space="preserve">hilosophy </w:t>
      </w:r>
      <w:r>
        <w:rPr>
          <w:szCs w:val="24"/>
        </w:rPr>
        <w:t>among</w:t>
      </w:r>
      <w:r w:rsidRPr="008E2FE5">
        <w:rPr>
          <w:szCs w:val="24"/>
        </w:rPr>
        <w:t xml:space="preserve"> members of the regulated aviation community.</w:t>
      </w:r>
      <w:r w:rsidRPr="006C0823">
        <w:t xml:space="preserve"> </w:t>
      </w:r>
    </w:p>
    <w:p w14:paraId="56C9A8D6" w14:textId="77777777" w:rsidR="00D22330" w:rsidRDefault="00D22330" w:rsidP="00D22330">
      <w:pPr>
        <w:pStyle w:val="Bullet"/>
      </w:pPr>
      <w:r>
        <w:t>A new</w:t>
      </w:r>
      <w:r w:rsidRPr="00B87FA2">
        <w:t xml:space="preserve"> </w:t>
      </w:r>
      <w:r>
        <w:t>p</w:t>
      </w:r>
      <w:r w:rsidRPr="00B87FA2">
        <w:t xml:space="preserve">rogram </w:t>
      </w:r>
      <w:r>
        <w:t xml:space="preserve">of reform </w:t>
      </w:r>
      <w:r w:rsidRPr="00B87FA2">
        <w:t xml:space="preserve">will commence to improve regulatory services and surveillance activities. The </w:t>
      </w:r>
      <w:r>
        <w:t>reform</w:t>
      </w:r>
      <w:r w:rsidRPr="00B87FA2">
        <w:t xml:space="preserve">s are expected to improve delivery times </w:t>
      </w:r>
      <w:r>
        <w:t xml:space="preserve">for regulatory services, </w:t>
      </w:r>
      <w:r w:rsidRPr="00B87FA2">
        <w:t xml:space="preserve">and consistency </w:t>
      </w:r>
      <w:r>
        <w:t xml:space="preserve">and quality assurance </w:t>
      </w:r>
      <w:r w:rsidRPr="00B87FA2">
        <w:t>in regulatory approval process</w:t>
      </w:r>
      <w:r>
        <w:t>es</w:t>
      </w:r>
      <w:r w:rsidRPr="00B87FA2">
        <w:t xml:space="preserve">. </w:t>
      </w:r>
      <w:r>
        <w:t>The reforms will ensure that s</w:t>
      </w:r>
      <w:r w:rsidRPr="00B87FA2">
        <w:t>urveillance activities</w:t>
      </w:r>
      <w:r>
        <w:t xml:space="preserve"> are sector aligned and </w:t>
      </w:r>
      <w:r w:rsidRPr="00B87FA2">
        <w:t>utilise standardised processes</w:t>
      </w:r>
      <w:r>
        <w:t xml:space="preserve"> and </w:t>
      </w:r>
      <w:r w:rsidRPr="00B87FA2">
        <w:t>new technologies</w:t>
      </w:r>
      <w:r>
        <w:t>,</w:t>
      </w:r>
      <w:r w:rsidRPr="00B87FA2">
        <w:t xml:space="preserve"> and </w:t>
      </w:r>
      <w:r>
        <w:t>that</w:t>
      </w:r>
      <w:r w:rsidRPr="00B87FA2">
        <w:t xml:space="preserve"> inspectors </w:t>
      </w:r>
      <w:r>
        <w:t xml:space="preserve">are allocated </w:t>
      </w:r>
      <w:r w:rsidRPr="00B87FA2">
        <w:t>to audit teams</w:t>
      </w:r>
      <w:r>
        <w:t xml:space="preserve"> outside their home regions</w:t>
      </w:r>
      <w:r w:rsidRPr="00B87FA2">
        <w:t xml:space="preserve">. </w:t>
      </w:r>
    </w:p>
    <w:p w14:paraId="115F04BE" w14:textId="008694EE" w:rsidR="000F61DE" w:rsidRPr="006C0823" w:rsidRDefault="000F61DE" w:rsidP="000F61DE">
      <w:pPr>
        <w:pStyle w:val="Heading2noTOC"/>
        <w:rPr>
          <w:lang w:val="en-GB"/>
        </w:rPr>
      </w:pPr>
      <w:r w:rsidRPr="006C0823">
        <w:rPr>
          <w:lang w:val="en-GB"/>
        </w:rPr>
        <w:t>Goal 2: Collaborative engagement with the wider aviation community to promote and support a positive safety culture</w:t>
      </w:r>
    </w:p>
    <w:p w14:paraId="0545AF30" w14:textId="77777777" w:rsidR="000F61DE" w:rsidRPr="006C0823" w:rsidRDefault="000F61DE" w:rsidP="000F61DE">
      <w:r w:rsidRPr="006C0823">
        <w:t>CASA maintains a constructive working relationship with other Australian Government agencies and promotes effective collaboration through consultation and communication with the wider aviation community. Through its consultative forums, feedback channels, educational efforts and promotional campaigns, CASA engages in a clear, open and transparent manner with the aviation industry to continuously improve the regulatory framework and be a partner in supporting and promoting a positive aviation safety culture.</w:t>
      </w:r>
    </w:p>
    <w:p w14:paraId="5D5E86D3" w14:textId="77777777" w:rsidR="000F61DE" w:rsidRPr="006C0823" w:rsidRDefault="000F61DE" w:rsidP="000F61DE">
      <w:pPr>
        <w:pStyle w:val="Heading3"/>
        <w:rPr>
          <w:lang w:val="en-GB"/>
        </w:rPr>
      </w:pPr>
      <w:r w:rsidRPr="006C0823">
        <w:rPr>
          <w:lang w:val="en-GB"/>
        </w:rPr>
        <w:t>Overall r</w:t>
      </w:r>
      <w:r w:rsidRPr="00D6772E">
        <w:rPr>
          <w:lang w:val="en-GB"/>
        </w:rPr>
        <w:t>esult</w:t>
      </w:r>
    </w:p>
    <w:p w14:paraId="0E6723F2" w14:textId="77777777" w:rsidR="000F61DE" w:rsidRPr="006C0823" w:rsidRDefault="000F61DE" w:rsidP="009A6C3B">
      <w:pPr>
        <w:pStyle w:val="ListParagraph"/>
        <w:numPr>
          <w:ilvl w:val="0"/>
          <w:numId w:val="36"/>
        </w:numPr>
      </w:pPr>
      <w:r>
        <w:t>100</w:t>
      </w:r>
      <w:r w:rsidRPr="006C0823">
        <w:t>% of targets met</w:t>
      </w:r>
    </w:p>
    <w:p w14:paraId="25DAC5D8" w14:textId="77777777" w:rsidR="000F61DE" w:rsidRPr="006C0823" w:rsidRDefault="000F61DE" w:rsidP="000F61DE">
      <w:r w:rsidRPr="00687E4A">
        <w:t>Of the 22 measures in place against this goal, all were assessed as on track or completed.</w:t>
      </w:r>
      <w:r w:rsidRPr="006C0823">
        <w:t xml:space="preserve"> </w:t>
      </w:r>
    </w:p>
    <w:p w14:paraId="54E4BB85" w14:textId="77777777" w:rsidR="000F61DE" w:rsidRDefault="000F61DE" w:rsidP="000F61DE">
      <w:pPr>
        <w:rPr>
          <w:szCs w:val="24"/>
        </w:rPr>
      </w:pPr>
      <w:r>
        <w:rPr>
          <w:szCs w:val="24"/>
        </w:rPr>
        <w:t xml:space="preserve">CASA’s success against this goal can be measured through its ongoing safety promotion activities for the wider aviation community and through successful international engagement. </w:t>
      </w:r>
    </w:p>
    <w:p w14:paraId="65FAC52A" w14:textId="77777777" w:rsidR="000F61DE" w:rsidRDefault="000F61DE" w:rsidP="000F61DE">
      <w:r w:rsidRPr="00B00147">
        <w:rPr>
          <w:szCs w:val="24"/>
        </w:rPr>
        <w:t xml:space="preserve">The introduction of the </w:t>
      </w:r>
      <w:r>
        <w:rPr>
          <w:szCs w:val="24"/>
        </w:rPr>
        <w:t xml:space="preserve">ASAP </w:t>
      </w:r>
      <w:r w:rsidRPr="00B00147">
        <w:rPr>
          <w:szCs w:val="24"/>
        </w:rPr>
        <w:t xml:space="preserve">and associated </w:t>
      </w:r>
      <w:r>
        <w:rPr>
          <w:szCs w:val="24"/>
        </w:rPr>
        <w:t>t</w:t>
      </w:r>
      <w:r w:rsidRPr="00B00147">
        <w:rPr>
          <w:szCs w:val="24"/>
        </w:rPr>
        <w:t xml:space="preserve">echnical </w:t>
      </w:r>
      <w:r>
        <w:rPr>
          <w:szCs w:val="24"/>
        </w:rPr>
        <w:t>w</w:t>
      </w:r>
      <w:r w:rsidRPr="00B00147">
        <w:rPr>
          <w:szCs w:val="24"/>
        </w:rPr>
        <w:t xml:space="preserve">orking </w:t>
      </w:r>
      <w:r>
        <w:rPr>
          <w:szCs w:val="24"/>
        </w:rPr>
        <w:t>g</w:t>
      </w:r>
      <w:r w:rsidRPr="00B00147">
        <w:rPr>
          <w:szCs w:val="24"/>
        </w:rPr>
        <w:t>roups in July 2017 has provided a range of industry representatives and their members with an opportunity to engage with CASA, and to provide objective</w:t>
      </w:r>
      <w:r>
        <w:rPr>
          <w:szCs w:val="24"/>
        </w:rPr>
        <w:t>,</w:t>
      </w:r>
      <w:r w:rsidRPr="00B00147">
        <w:rPr>
          <w:szCs w:val="24"/>
        </w:rPr>
        <w:t xml:space="preserve"> high-level advice on current and emerging issues. The </w:t>
      </w:r>
      <w:r>
        <w:rPr>
          <w:szCs w:val="24"/>
        </w:rPr>
        <w:t>ASAP</w:t>
      </w:r>
      <w:r w:rsidRPr="00B00147">
        <w:rPr>
          <w:szCs w:val="24"/>
        </w:rPr>
        <w:t xml:space="preserve"> also ensures that CASA’s engagement and consultation with industry is </w:t>
      </w:r>
      <w:r>
        <w:rPr>
          <w:szCs w:val="24"/>
        </w:rPr>
        <w:t>effectively</w:t>
      </w:r>
      <w:r w:rsidRPr="00B00147">
        <w:rPr>
          <w:szCs w:val="24"/>
        </w:rPr>
        <w:t xml:space="preserve"> targeted.</w:t>
      </w:r>
    </w:p>
    <w:p w14:paraId="7D2E3CD5" w14:textId="77777777" w:rsidR="000F61DE" w:rsidRPr="009B49FA" w:rsidRDefault="000F61DE" w:rsidP="000F61DE">
      <w:pPr>
        <w:pStyle w:val="Heading3"/>
      </w:pPr>
      <w:r w:rsidRPr="009B49FA">
        <w:lastRenderedPageBreak/>
        <w:t xml:space="preserve">Key achievements </w:t>
      </w:r>
    </w:p>
    <w:p w14:paraId="71E0A54C" w14:textId="77777777" w:rsidR="000F61DE" w:rsidRPr="00687E4A" w:rsidRDefault="000F61DE" w:rsidP="000F61DE">
      <w:pPr>
        <w:pStyle w:val="Bullet"/>
        <w:rPr>
          <w:szCs w:val="24"/>
        </w:rPr>
      </w:pPr>
      <w:r w:rsidRPr="00687E4A">
        <w:t>The</w:t>
      </w:r>
      <w:r>
        <w:t xml:space="preserve"> </w:t>
      </w:r>
      <w:r w:rsidRPr="00687E4A">
        <w:t xml:space="preserve">ASAP was established </w:t>
      </w:r>
      <w:r>
        <w:t xml:space="preserve">and </w:t>
      </w:r>
      <w:r w:rsidR="00D4641C">
        <w:t>met three times</w:t>
      </w:r>
      <w:r w:rsidRPr="00687E4A">
        <w:t xml:space="preserve">. </w:t>
      </w:r>
      <w:r>
        <w:t>F</w:t>
      </w:r>
      <w:r w:rsidR="008C7EC7">
        <w:t>our</w:t>
      </w:r>
      <w:r w:rsidRPr="00687E4A">
        <w:t xml:space="preserve"> </w:t>
      </w:r>
      <w:r>
        <w:t>t</w:t>
      </w:r>
      <w:r w:rsidRPr="00687E4A">
        <w:t xml:space="preserve">echnical </w:t>
      </w:r>
      <w:r>
        <w:t>w</w:t>
      </w:r>
      <w:r w:rsidRPr="00687E4A">
        <w:t xml:space="preserve">orking </w:t>
      </w:r>
      <w:r>
        <w:t>gr</w:t>
      </w:r>
      <w:r w:rsidRPr="00687E4A">
        <w:t xml:space="preserve">oups were </w:t>
      </w:r>
      <w:r w:rsidR="008C7EC7">
        <w:t>convene</w:t>
      </w:r>
      <w:r w:rsidRPr="00687E4A">
        <w:t xml:space="preserve">d </w:t>
      </w:r>
      <w:r>
        <w:t>to</w:t>
      </w:r>
      <w:r w:rsidRPr="00687E4A">
        <w:t xml:space="preserve"> provide </w:t>
      </w:r>
      <w:r>
        <w:t xml:space="preserve">the </w:t>
      </w:r>
      <w:r w:rsidRPr="00687E4A">
        <w:t xml:space="preserve">ASAP with specialist advice from industry representatives </w:t>
      </w:r>
      <w:r>
        <w:t xml:space="preserve">on </w:t>
      </w:r>
      <w:r w:rsidRPr="00687E4A">
        <w:t>policy and regulations</w:t>
      </w:r>
      <w:r>
        <w:t>,</w:t>
      </w:r>
      <w:r w:rsidRPr="00687E4A">
        <w:t xml:space="preserve"> enabling advice to be provided to CASA. </w:t>
      </w:r>
      <w:r>
        <w:t>More than</w:t>
      </w:r>
      <w:r w:rsidRPr="00687E4A">
        <w:t xml:space="preserve"> 500 industry participants registered to be involved with </w:t>
      </w:r>
      <w:r>
        <w:t xml:space="preserve">the ASAP and </w:t>
      </w:r>
      <w:r w:rsidRPr="00687E4A">
        <w:t>more than 80 people participat</w:t>
      </w:r>
      <w:r>
        <w:t>ed</w:t>
      </w:r>
      <w:r w:rsidRPr="00687E4A">
        <w:t xml:space="preserve"> in the five </w:t>
      </w:r>
      <w:r>
        <w:t>working group meetings</w:t>
      </w:r>
      <w:r w:rsidRPr="00687E4A">
        <w:t xml:space="preserve"> held</w:t>
      </w:r>
      <w:r>
        <w:t xml:space="preserve"> in 2017–18</w:t>
      </w:r>
      <w:r w:rsidRPr="00687E4A">
        <w:t>.</w:t>
      </w:r>
    </w:p>
    <w:p w14:paraId="5232406E" w14:textId="77777777" w:rsidR="000F61DE" w:rsidRPr="00687E4A" w:rsidRDefault="000F61DE" w:rsidP="000F61DE">
      <w:pPr>
        <w:pStyle w:val="Bullet"/>
        <w:rPr>
          <w:szCs w:val="24"/>
        </w:rPr>
      </w:pPr>
      <w:r>
        <w:t>A</w:t>
      </w:r>
      <w:r w:rsidRPr="00687E4A">
        <w:t xml:space="preserve"> major communication</w:t>
      </w:r>
      <w:r w:rsidR="00246391">
        <w:t>s</w:t>
      </w:r>
      <w:r w:rsidRPr="00687E4A">
        <w:t xml:space="preserve"> initiative continued to increase awareness of the drone safety rules and build public confidence in CASA’s management of drones. In October 2017,</w:t>
      </w:r>
      <w:r>
        <w:t xml:space="preserve"> CASA launched</w:t>
      </w:r>
      <w:r w:rsidRPr="00687E4A">
        <w:t xml:space="preserve"> </w:t>
      </w:r>
      <w:r w:rsidR="00EA74CF">
        <w:t>www.</w:t>
      </w:r>
      <w:r w:rsidRPr="00687E4A">
        <w:t>droneflyer.gov.au</w:t>
      </w:r>
      <w:r>
        <w:t xml:space="preserve">, </w:t>
      </w:r>
      <w:r w:rsidRPr="00687E4A">
        <w:t xml:space="preserve">a website specifically </w:t>
      </w:r>
      <w:r w:rsidR="00A74ED6">
        <w:t>designed for</w:t>
      </w:r>
      <w:r w:rsidRPr="00687E4A">
        <w:t xml:space="preserve"> recreational drone users</w:t>
      </w:r>
      <w:r>
        <w:t>, which promotes the drone safety rules clearly and concisely</w:t>
      </w:r>
      <w:r w:rsidRPr="00687E4A">
        <w:t>. CASA’s tweet promoting the website reached almost 1.5 million people.</w:t>
      </w:r>
    </w:p>
    <w:p w14:paraId="6CDEA47C" w14:textId="77777777" w:rsidR="000F61DE" w:rsidRPr="00687E4A" w:rsidRDefault="000F61DE" w:rsidP="000F61DE">
      <w:pPr>
        <w:pStyle w:val="Bullet"/>
      </w:pPr>
      <w:r w:rsidRPr="00687E4A">
        <w:t>CASA hosted the 20</w:t>
      </w:r>
      <w:r w:rsidRPr="005E0595">
        <w:t>th</w:t>
      </w:r>
      <w:r w:rsidRPr="00687E4A">
        <w:t xml:space="preserve"> FAA Asia-Pacific Bilateral Partners Dialogue Meeting in Canberra, with representation from </w:t>
      </w:r>
      <w:r>
        <w:t>more than</w:t>
      </w:r>
      <w:r w:rsidRPr="00687E4A">
        <w:t xml:space="preserve"> 40 government and industry organisations. The plenary and side meetings strengthened regulatory ties and </w:t>
      </w:r>
      <w:r>
        <w:t>provided</w:t>
      </w:r>
      <w:r w:rsidRPr="00687E4A">
        <w:t xml:space="preserve"> a valuable </w:t>
      </w:r>
      <w:r>
        <w:t xml:space="preserve">opportunity </w:t>
      </w:r>
      <w:r w:rsidRPr="00687E4A">
        <w:t>to share expertise on emerging aviation matters such as engineering and airworthiness certification.</w:t>
      </w:r>
    </w:p>
    <w:p w14:paraId="345911CC" w14:textId="77777777" w:rsidR="000F61DE" w:rsidRPr="00687E4A" w:rsidRDefault="000F61DE" w:rsidP="000F61DE">
      <w:pPr>
        <w:pStyle w:val="Bullet"/>
      </w:pPr>
      <w:r w:rsidRPr="00687E4A">
        <w:t>CASA continued</w:t>
      </w:r>
      <w:r>
        <w:t xml:space="preserve"> to engage </w:t>
      </w:r>
      <w:r w:rsidRPr="00687E4A">
        <w:t xml:space="preserve">with </w:t>
      </w:r>
      <w:r>
        <w:t xml:space="preserve">the </w:t>
      </w:r>
      <w:r w:rsidRPr="006C0823">
        <w:t>Civil Aviation Safety Authority of P</w:t>
      </w:r>
      <w:r>
        <w:t xml:space="preserve">apua </w:t>
      </w:r>
      <w:r w:rsidRPr="006C0823">
        <w:t>N</w:t>
      </w:r>
      <w:r>
        <w:t xml:space="preserve">ew </w:t>
      </w:r>
      <w:r w:rsidRPr="006C0823">
        <w:t>G</w:t>
      </w:r>
      <w:r>
        <w:t xml:space="preserve">uinea </w:t>
      </w:r>
      <w:r w:rsidRPr="00687E4A">
        <w:t>and the Indonesian Directorate General of Civil Aviation to advise on implementation of, and responses to, I</w:t>
      </w:r>
      <w:r>
        <w:t>CAO</w:t>
      </w:r>
      <w:r w:rsidRPr="00687E4A">
        <w:t xml:space="preserve"> audit findings. CASA received acknowledgement for the value of its contribution to both States’ improved </w:t>
      </w:r>
      <w:r>
        <w:t xml:space="preserve">scores for </w:t>
      </w:r>
      <w:r w:rsidRPr="00687E4A">
        <w:t>effective implementation</w:t>
      </w:r>
      <w:r>
        <w:t xml:space="preserve"> of the findings</w:t>
      </w:r>
      <w:r w:rsidRPr="00687E4A">
        <w:t xml:space="preserve">. </w:t>
      </w:r>
      <w:r>
        <w:t>Papua New Guinea’s</w:t>
      </w:r>
      <w:r w:rsidRPr="00687E4A">
        <w:t xml:space="preserve"> score</w:t>
      </w:r>
      <w:r>
        <w:t xml:space="preserve"> improved from 50.41 per cent in 2013 to</w:t>
      </w:r>
      <w:r w:rsidRPr="00687E4A">
        <w:t xml:space="preserve"> 62.16 per cent </w:t>
      </w:r>
      <w:r>
        <w:t>in 2017,</w:t>
      </w:r>
      <w:r w:rsidRPr="00687E4A">
        <w:t xml:space="preserve"> and Indonesia</w:t>
      </w:r>
      <w:r>
        <w:t>’s</w:t>
      </w:r>
      <w:r w:rsidRPr="00687E4A">
        <w:t xml:space="preserve"> score</w:t>
      </w:r>
      <w:r>
        <w:t xml:space="preserve"> improved from 50.61 per cent in 2016 to </w:t>
      </w:r>
      <w:r w:rsidRPr="00687E4A">
        <w:t xml:space="preserve">80.34 per cent </w:t>
      </w:r>
      <w:r>
        <w:t>in 2018</w:t>
      </w:r>
      <w:r w:rsidRPr="00687E4A">
        <w:t>.</w:t>
      </w:r>
    </w:p>
    <w:p w14:paraId="580C968D" w14:textId="77777777" w:rsidR="000F61DE" w:rsidRPr="008519EC" w:rsidRDefault="000F61DE" w:rsidP="008519EC">
      <w:pPr>
        <w:pStyle w:val="Bullet"/>
        <w:rPr>
          <w:szCs w:val="24"/>
        </w:rPr>
      </w:pPr>
      <w:r w:rsidRPr="00C42480">
        <w:t xml:space="preserve">CASA finalised the inaugural </w:t>
      </w:r>
      <w:r w:rsidR="00624F2E">
        <w:t>a</w:t>
      </w:r>
      <w:r w:rsidRPr="00C42480">
        <w:t xml:space="preserve">erospace </w:t>
      </w:r>
      <w:r w:rsidR="00624F2E">
        <w:t>m</w:t>
      </w:r>
      <w:r w:rsidRPr="00C42480">
        <w:t xml:space="preserve">edicine </w:t>
      </w:r>
      <w:r w:rsidR="00624F2E">
        <w:t>t</w:t>
      </w:r>
      <w:r w:rsidRPr="00C42480">
        <w:t xml:space="preserve">raining </w:t>
      </w:r>
      <w:r w:rsidR="00624F2E">
        <w:t>p</w:t>
      </w:r>
      <w:r w:rsidRPr="00C42480">
        <w:t>rogram in early 2018. This joint initiative between CASA, Qantas and Virgin Australia provides trainee aerospace medicine doctors with formal training over a two-year period, including a structured rotation program between the three organisations. The program is an Australian firs</w:t>
      </w:r>
      <w:r>
        <w:t>t</w:t>
      </w:r>
      <w:r w:rsidRPr="00C42480">
        <w:t xml:space="preserve">, and will commence in early July 2018. </w:t>
      </w:r>
    </w:p>
    <w:p w14:paraId="75F87816" w14:textId="77777777" w:rsidR="000F61DE" w:rsidRPr="00687E4A" w:rsidRDefault="000F61DE" w:rsidP="000F61DE">
      <w:pPr>
        <w:pStyle w:val="Heading3"/>
        <w:rPr>
          <w:lang w:val="en-GB"/>
        </w:rPr>
      </w:pPr>
      <w:r w:rsidRPr="00687E4A">
        <w:rPr>
          <w:lang w:val="en-GB"/>
        </w:rPr>
        <w:t>Challenges</w:t>
      </w:r>
    </w:p>
    <w:p w14:paraId="5823CE2A" w14:textId="77777777" w:rsidR="000F61DE" w:rsidRPr="00687E4A" w:rsidRDefault="000F61DE" w:rsidP="000F61DE">
      <w:pPr>
        <w:pStyle w:val="BulletLast"/>
      </w:pPr>
      <w:r w:rsidRPr="00687E4A">
        <w:t>In 2017–18</w:t>
      </w:r>
      <w:r w:rsidR="004B486B">
        <w:t>,</w:t>
      </w:r>
      <w:r w:rsidRPr="00687E4A">
        <w:t xml:space="preserve"> considerable effort and time </w:t>
      </w:r>
      <w:r>
        <w:t>was</w:t>
      </w:r>
      <w:r w:rsidRPr="00687E4A">
        <w:t xml:space="preserve"> directed to enhancing </w:t>
      </w:r>
      <w:r>
        <w:t>CASA’s consultation processes and</w:t>
      </w:r>
      <w:r w:rsidRPr="00687E4A">
        <w:t xml:space="preserve"> relationships with industry. The ASAP and </w:t>
      </w:r>
      <w:r>
        <w:t>its technical working groups</w:t>
      </w:r>
      <w:r w:rsidRPr="00687E4A">
        <w:t xml:space="preserve"> are now delivering significant results and have been acknowledged by industry as being open and transparent in their operation. CASA will continue to monitor and, where appropriate, evolve </w:t>
      </w:r>
      <w:r>
        <w:t xml:space="preserve">its </w:t>
      </w:r>
      <w:r w:rsidRPr="00687E4A">
        <w:t xml:space="preserve">consultation mechanisms to ensure </w:t>
      </w:r>
      <w:r>
        <w:t>that it</w:t>
      </w:r>
      <w:r w:rsidRPr="00687E4A">
        <w:t xml:space="preserve"> continue</w:t>
      </w:r>
      <w:r>
        <w:t>s</w:t>
      </w:r>
      <w:r w:rsidRPr="00687E4A">
        <w:t xml:space="preserve"> to collaborate with industry.</w:t>
      </w:r>
    </w:p>
    <w:p w14:paraId="70A909EE" w14:textId="77777777" w:rsidR="000F61DE" w:rsidRPr="00687E4A" w:rsidRDefault="000F61DE" w:rsidP="000F61DE">
      <w:pPr>
        <w:pStyle w:val="BulletLast"/>
      </w:pPr>
      <w:r w:rsidRPr="00687E4A">
        <w:t xml:space="preserve">The rapid technological changes and proliferation of RPAS, or </w:t>
      </w:r>
      <w:r>
        <w:t>‘</w:t>
      </w:r>
      <w:r w:rsidRPr="00687E4A">
        <w:t>drones</w:t>
      </w:r>
      <w:r>
        <w:t>’</w:t>
      </w:r>
      <w:r w:rsidRPr="00687E4A">
        <w:t xml:space="preserve"> as they are commonly known, continues to present challenges for CASA and the broader aviation industry. </w:t>
      </w:r>
      <w:r>
        <w:t xml:space="preserve">In 2017–18, </w:t>
      </w:r>
      <w:r w:rsidRPr="00687E4A">
        <w:t>CASA devote</w:t>
      </w:r>
      <w:r>
        <w:t>d</w:t>
      </w:r>
      <w:r w:rsidRPr="00687E4A">
        <w:t xml:space="preserve"> significant time and resources to ensur</w:t>
      </w:r>
      <w:r>
        <w:t>ing that</w:t>
      </w:r>
      <w:r w:rsidRPr="00687E4A">
        <w:t xml:space="preserve"> the community and industry can embrace and </w:t>
      </w:r>
      <w:r>
        <w:t>opt</w:t>
      </w:r>
      <w:r w:rsidRPr="00687E4A">
        <w:t xml:space="preserve">imise </w:t>
      </w:r>
      <w:r>
        <w:t xml:space="preserve">use of </w:t>
      </w:r>
      <w:r w:rsidRPr="00687E4A">
        <w:t>the new technologies as safely as possible.</w:t>
      </w:r>
    </w:p>
    <w:bookmarkEnd w:id="51"/>
    <w:p w14:paraId="1FEEE626" w14:textId="5E343874" w:rsidR="000F61DE" w:rsidRPr="006C0823" w:rsidRDefault="000F61DE" w:rsidP="000F61DE">
      <w:pPr>
        <w:pStyle w:val="Heading3"/>
        <w:rPr>
          <w:lang w:val="en-GB"/>
        </w:rPr>
      </w:pPr>
      <w:r w:rsidRPr="006C0823">
        <w:rPr>
          <w:lang w:val="en-GB"/>
        </w:rPr>
        <w:lastRenderedPageBreak/>
        <w:t xml:space="preserve">Key performance area </w:t>
      </w:r>
      <w:r>
        <w:rPr>
          <w:lang w:val="en-GB"/>
        </w:rPr>
        <w:t xml:space="preserve">– </w:t>
      </w:r>
      <w:r w:rsidRPr="006C0823">
        <w:rPr>
          <w:lang w:val="en-GB"/>
        </w:rPr>
        <w:t>Stakeholder engagement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8077"/>
      </w:tblGrid>
      <w:tr w:rsidR="000F61DE" w:rsidRPr="006C0823" w14:paraId="454886A0" w14:textId="77777777" w:rsidTr="00EE52B0">
        <w:trPr>
          <w:tblHeader/>
        </w:trPr>
        <w:tc>
          <w:tcPr>
            <w:tcW w:w="521" w:type="pct"/>
            <w:shd w:val="clear" w:color="auto" w:fill="B8CCE4"/>
          </w:tcPr>
          <w:p w14:paraId="2B000EDB" w14:textId="77777777" w:rsidR="000F61DE" w:rsidRPr="006C0823" w:rsidRDefault="000F61DE" w:rsidP="006E2310">
            <w:pPr>
              <w:pStyle w:val="TableHeading"/>
              <w:rPr>
                <w:rFonts w:eastAsia="Times New Roman"/>
              </w:rPr>
            </w:pPr>
            <w:r w:rsidRPr="006C0823">
              <w:rPr>
                <w:rFonts w:eastAsia="Times New Roman"/>
              </w:rPr>
              <w:t>Initiative</w:t>
            </w:r>
          </w:p>
          <w:p w14:paraId="3C46B33D" w14:textId="77777777" w:rsidR="000F61DE" w:rsidRPr="006C0823" w:rsidRDefault="000F61DE" w:rsidP="006E2310">
            <w:pPr>
              <w:pStyle w:val="TableHeading"/>
              <w:rPr>
                <w:rFonts w:eastAsia="Times New Roman"/>
              </w:rPr>
            </w:pPr>
            <w:r w:rsidRPr="006C0823">
              <w:rPr>
                <w:rFonts w:eastAsia="Times New Roman"/>
              </w:rPr>
              <w:t>2.1</w:t>
            </w:r>
          </w:p>
        </w:tc>
        <w:tc>
          <w:tcPr>
            <w:tcW w:w="4479" w:type="pct"/>
            <w:shd w:val="clear" w:color="auto" w:fill="B8CCE4"/>
          </w:tcPr>
          <w:p w14:paraId="7F56F02A" w14:textId="77777777" w:rsidR="000F61DE" w:rsidRPr="00AA7009" w:rsidRDefault="000F61DE" w:rsidP="006E2310">
            <w:pPr>
              <w:pStyle w:val="TableText"/>
              <w:rPr>
                <w:rFonts w:eastAsia="Times New Roman"/>
              </w:rPr>
            </w:pPr>
            <w:r w:rsidRPr="00AA7009">
              <w:rPr>
                <w:b/>
              </w:rPr>
              <w:t>Work with international organisations and other nations</w:t>
            </w:r>
          </w:p>
        </w:tc>
      </w:tr>
      <w:tr w:rsidR="000F61DE" w:rsidRPr="006C0823" w14:paraId="06B8831F" w14:textId="77777777" w:rsidTr="00A86663">
        <w:tc>
          <w:tcPr>
            <w:tcW w:w="521" w:type="pct"/>
            <w:shd w:val="clear" w:color="auto" w:fill="D9D9D9"/>
          </w:tcPr>
          <w:p w14:paraId="0A617C46"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9D9D9"/>
          </w:tcPr>
          <w:p w14:paraId="58E93C3B" w14:textId="77777777" w:rsidR="000F61DE" w:rsidRPr="006C0823" w:rsidRDefault="000F61DE" w:rsidP="006E2310">
            <w:pPr>
              <w:pStyle w:val="TableText"/>
              <w:rPr>
                <w:rFonts w:eastAsia="Times New Roman"/>
              </w:rPr>
            </w:pPr>
            <w:r>
              <w:rPr>
                <w:rFonts w:cs="Arial"/>
              </w:rPr>
              <w:t>M</w:t>
            </w:r>
            <w:r w:rsidRPr="00FB53F5">
              <w:rPr>
                <w:rFonts w:cs="Arial"/>
              </w:rPr>
              <w:t>aintain key regulatory relationships with organisations such as the Federal Aviation Administration, the European Aviation Safety Agency and the Civil Aviation Authority</w:t>
            </w:r>
            <w:r w:rsidRPr="0060117A">
              <w:rPr>
                <w:rFonts w:cs="Arial"/>
              </w:rPr>
              <w:t xml:space="preserve"> </w:t>
            </w:r>
            <w:r w:rsidRPr="00FB53F5">
              <w:rPr>
                <w:rFonts w:cs="Arial"/>
              </w:rPr>
              <w:t xml:space="preserve">New Zealand, </w:t>
            </w:r>
            <w:r>
              <w:rPr>
                <w:rFonts w:cs="Arial"/>
              </w:rPr>
              <w:t>and</w:t>
            </w:r>
            <w:r w:rsidRPr="00FB53F5">
              <w:rPr>
                <w:rFonts w:cs="Arial"/>
              </w:rPr>
              <w:t xml:space="preserve"> others</w:t>
            </w:r>
          </w:p>
        </w:tc>
      </w:tr>
      <w:tr w:rsidR="000F61DE" w:rsidRPr="006C0823" w14:paraId="657CE9F3" w14:textId="77777777" w:rsidTr="00A86663">
        <w:tc>
          <w:tcPr>
            <w:tcW w:w="521" w:type="pct"/>
            <w:shd w:val="clear" w:color="auto" w:fill="FFFFFF"/>
          </w:tcPr>
          <w:p w14:paraId="6F8AEE03" w14:textId="77777777" w:rsidR="000F61DE" w:rsidRPr="006C0823" w:rsidRDefault="000F61DE" w:rsidP="006E2310">
            <w:pPr>
              <w:pStyle w:val="TableHeading"/>
              <w:keepNext w:val="0"/>
              <w:rPr>
                <w:rFonts w:eastAsia="Times New Roman"/>
              </w:rPr>
            </w:pPr>
            <w:r w:rsidRPr="006C0823">
              <w:rPr>
                <w:rFonts w:eastAsia="Times New Roman"/>
              </w:rPr>
              <w:t>Result</w:t>
            </w:r>
          </w:p>
          <w:p w14:paraId="3FD9DA4F"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shd w:val="clear" w:color="auto" w:fill="FFFFFF"/>
          </w:tcPr>
          <w:p w14:paraId="2398CDDC" w14:textId="77777777" w:rsidR="000F61DE" w:rsidRPr="00A8550F" w:rsidRDefault="000F61DE" w:rsidP="006E2310">
            <w:pPr>
              <w:rPr>
                <w:rFonts w:ascii="Arial Narrow" w:hAnsi="Arial Narrow" w:cs="Arial"/>
                <w:sz w:val="20"/>
              </w:rPr>
            </w:pPr>
            <w:r w:rsidRPr="00A8550F">
              <w:rPr>
                <w:rFonts w:ascii="Arial Narrow" w:hAnsi="Arial Narrow" w:cs="Arial"/>
                <w:sz w:val="20"/>
              </w:rPr>
              <w:t>In March 2018, CASA successfully co-hosted the 20</w:t>
            </w:r>
            <w:r w:rsidRPr="00814598">
              <w:rPr>
                <w:rFonts w:ascii="Arial Narrow" w:hAnsi="Arial Narrow" w:cs="Arial"/>
                <w:sz w:val="20"/>
              </w:rPr>
              <w:t>th</w:t>
            </w:r>
            <w:r w:rsidRPr="00A8550F">
              <w:rPr>
                <w:rFonts w:ascii="Arial Narrow" w:hAnsi="Arial Narrow" w:cs="Arial"/>
                <w:sz w:val="20"/>
              </w:rPr>
              <w:t xml:space="preserve"> FAA Asia-Pacific Bilateral Partners Dialogue Meeting in Canberra</w:t>
            </w:r>
            <w:r>
              <w:rPr>
                <w:rFonts w:ascii="Arial Narrow" w:hAnsi="Arial Narrow" w:cs="Arial"/>
                <w:sz w:val="20"/>
              </w:rPr>
              <w:t>,</w:t>
            </w:r>
            <w:r w:rsidRPr="00A8550F">
              <w:rPr>
                <w:rFonts w:ascii="Arial Narrow" w:hAnsi="Arial Narrow" w:cs="Arial"/>
                <w:sz w:val="20"/>
              </w:rPr>
              <w:t xml:space="preserve"> which was attended by over 40 government and industry delegations from the United States, New Zealand, Singapore, China, Japan, Korea and other countries in the region. Plenary and bilateral discussions during the </w:t>
            </w:r>
            <w:r>
              <w:rPr>
                <w:rFonts w:ascii="Arial Narrow" w:hAnsi="Arial Narrow" w:cs="Arial"/>
                <w:sz w:val="20"/>
              </w:rPr>
              <w:t>m</w:t>
            </w:r>
            <w:r w:rsidRPr="00A8550F">
              <w:rPr>
                <w:rFonts w:ascii="Arial Narrow" w:hAnsi="Arial Narrow" w:cs="Arial"/>
                <w:sz w:val="20"/>
              </w:rPr>
              <w:t>eeting focused on airworthiness and certification linkages in the context of emerging industry innovations, with a view to updat</w:t>
            </w:r>
            <w:r>
              <w:rPr>
                <w:rFonts w:ascii="Arial Narrow" w:hAnsi="Arial Narrow" w:cs="Arial"/>
                <w:sz w:val="20"/>
              </w:rPr>
              <w:t>ing</w:t>
            </w:r>
            <w:r w:rsidRPr="00A8550F">
              <w:rPr>
                <w:rFonts w:ascii="Arial Narrow" w:hAnsi="Arial Narrow" w:cs="Arial"/>
                <w:sz w:val="20"/>
              </w:rPr>
              <w:t xml:space="preserve"> current bilateral arrangements</w:t>
            </w:r>
            <w:r>
              <w:rPr>
                <w:rFonts w:ascii="Arial Narrow" w:hAnsi="Arial Narrow" w:cs="Arial"/>
                <w:sz w:val="20"/>
              </w:rPr>
              <w:t xml:space="preserve"> </w:t>
            </w:r>
            <w:r w:rsidRPr="00A8550F">
              <w:rPr>
                <w:rFonts w:ascii="Arial Narrow" w:hAnsi="Arial Narrow" w:cs="Arial"/>
                <w:sz w:val="20"/>
              </w:rPr>
              <w:t>or establish</w:t>
            </w:r>
            <w:r>
              <w:rPr>
                <w:rFonts w:ascii="Arial Narrow" w:hAnsi="Arial Narrow" w:cs="Arial"/>
                <w:sz w:val="20"/>
              </w:rPr>
              <w:t>ing</w:t>
            </w:r>
            <w:r w:rsidRPr="00A8550F">
              <w:rPr>
                <w:rFonts w:ascii="Arial Narrow" w:hAnsi="Arial Narrow" w:cs="Arial"/>
                <w:sz w:val="20"/>
              </w:rPr>
              <w:t xml:space="preserve"> new arrangements.</w:t>
            </w:r>
          </w:p>
          <w:p w14:paraId="381E3D80" w14:textId="77777777" w:rsidR="000F61DE" w:rsidRDefault="000F61DE" w:rsidP="006E2310">
            <w:pPr>
              <w:rPr>
                <w:rFonts w:ascii="Arial Narrow" w:hAnsi="Arial Narrow" w:cs="Arial"/>
                <w:sz w:val="20"/>
              </w:rPr>
            </w:pPr>
            <w:r w:rsidRPr="00A8550F">
              <w:rPr>
                <w:rFonts w:ascii="Arial Narrow" w:hAnsi="Arial Narrow" w:cs="Arial"/>
                <w:sz w:val="20"/>
              </w:rPr>
              <w:t xml:space="preserve">CASA continues to progress working relationships through </w:t>
            </w:r>
            <w:r>
              <w:rPr>
                <w:rFonts w:ascii="Arial Narrow" w:hAnsi="Arial Narrow" w:cs="Arial"/>
                <w:sz w:val="20"/>
              </w:rPr>
              <w:t xml:space="preserve">the </w:t>
            </w:r>
            <w:r w:rsidRPr="00A8550F">
              <w:rPr>
                <w:rFonts w:ascii="Arial Narrow" w:hAnsi="Arial Narrow" w:cs="Arial"/>
                <w:sz w:val="20"/>
              </w:rPr>
              <w:t xml:space="preserve">regular exchange of information, liaison, teleconferences and international meetings. Throughout the year, relationships </w:t>
            </w:r>
            <w:r>
              <w:rPr>
                <w:rFonts w:ascii="Arial Narrow" w:hAnsi="Arial Narrow" w:cs="Arial"/>
                <w:sz w:val="20"/>
              </w:rPr>
              <w:t xml:space="preserve">with regulator counterparts </w:t>
            </w:r>
            <w:r w:rsidRPr="00A8550F">
              <w:rPr>
                <w:rFonts w:ascii="Arial Narrow" w:hAnsi="Arial Narrow" w:cs="Arial"/>
                <w:sz w:val="20"/>
              </w:rPr>
              <w:t xml:space="preserve">were strengthened </w:t>
            </w:r>
            <w:r>
              <w:rPr>
                <w:rFonts w:ascii="Arial Narrow" w:hAnsi="Arial Narrow" w:cs="Arial"/>
                <w:sz w:val="20"/>
              </w:rPr>
              <w:t>by</w:t>
            </w:r>
            <w:r w:rsidRPr="00A8550F">
              <w:rPr>
                <w:rFonts w:ascii="Arial Narrow" w:hAnsi="Arial Narrow" w:cs="Arial"/>
                <w:sz w:val="20"/>
              </w:rPr>
              <w:t xml:space="preserve"> initiatives such as</w:t>
            </w:r>
            <w:r>
              <w:rPr>
                <w:rFonts w:ascii="Arial Narrow" w:hAnsi="Arial Narrow" w:cs="Arial"/>
                <w:sz w:val="20"/>
              </w:rPr>
              <w:t>:</w:t>
            </w:r>
          </w:p>
          <w:p w14:paraId="7B2A2366" w14:textId="77777777" w:rsidR="000F61DE" w:rsidRDefault="000F61DE" w:rsidP="006E2310">
            <w:pPr>
              <w:pStyle w:val="TableBullet"/>
            </w:pPr>
            <w:r w:rsidRPr="00A8550F">
              <w:t xml:space="preserve">hosting </w:t>
            </w:r>
            <w:r>
              <w:t>a remotely piloted aircraft systems (RPAS)</w:t>
            </w:r>
            <w:r w:rsidRPr="00A8550F">
              <w:t xml:space="preserve"> discussion forum with </w:t>
            </w:r>
            <w:r w:rsidR="008031DD" w:rsidRPr="00E27051">
              <w:rPr>
                <w:rFonts w:cs="Arial"/>
              </w:rPr>
              <w:t xml:space="preserve">Federal Aviation Administration </w:t>
            </w:r>
            <w:r w:rsidR="008031DD">
              <w:rPr>
                <w:rFonts w:cs="Arial"/>
              </w:rPr>
              <w:t>(</w:t>
            </w:r>
            <w:r w:rsidRPr="00A8550F">
              <w:t>FAA</w:t>
            </w:r>
            <w:r w:rsidR="008031DD">
              <w:t>)</w:t>
            </w:r>
            <w:r w:rsidRPr="00A8550F">
              <w:t xml:space="preserve"> colleagues</w:t>
            </w:r>
            <w:r>
              <w:t>,</w:t>
            </w:r>
            <w:r w:rsidRPr="00A8550F">
              <w:t xml:space="preserve"> in Canberra</w:t>
            </w:r>
          </w:p>
          <w:p w14:paraId="1A9D0056" w14:textId="77777777" w:rsidR="000F61DE" w:rsidRDefault="000F61DE" w:rsidP="006E2310">
            <w:pPr>
              <w:pStyle w:val="TableBullet"/>
            </w:pPr>
            <w:r w:rsidRPr="00A8550F">
              <w:t xml:space="preserve">facilitating a visit by </w:t>
            </w:r>
            <w:r>
              <w:t>colleagues from the</w:t>
            </w:r>
            <w:r w:rsidRPr="00443C95">
              <w:t xml:space="preserve"> Civil Aviation Authority of New Zealand (CAA NZ) </w:t>
            </w:r>
            <w:r>
              <w:t xml:space="preserve">to work </w:t>
            </w:r>
            <w:r w:rsidRPr="00A8550F">
              <w:t xml:space="preserve">on </w:t>
            </w:r>
            <w:r>
              <w:t xml:space="preserve">personnel licensing matters under </w:t>
            </w:r>
            <w:r w:rsidRPr="00A8550F">
              <w:t>the Trans-Tasman Mutual Recognition Arrangement</w:t>
            </w:r>
          </w:p>
          <w:p w14:paraId="14229586" w14:textId="77777777" w:rsidR="000F61DE" w:rsidRDefault="000F61DE" w:rsidP="006E2310">
            <w:pPr>
              <w:pStyle w:val="TableBullet"/>
            </w:pPr>
            <w:r w:rsidRPr="00A8550F">
              <w:t>attend</w:t>
            </w:r>
            <w:r>
              <w:t>ing</w:t>
            </w:r>
            <w:r w:rsidRPr="00A8550F">
              <w:t xml:space="preserve"> the FAA</w:t>
            </w:r>
            <w:r>
              <w:t>–</w:t>
            </w:r>
            <w:r w:rsidRPr="00A8550F">
              <w:t>EASA International Aviation Safety Conference in Washington DC in June 2018.</w:t>
            </w:r>
          </w:p>
          <w:p w14:paraId="0DCEE497" w14:textId="77777777" w:rsidR="000F61DE" w:rsidRPr="00A8550F" w:rsidRDefault="000F61DE" w:rsidP="006E2310">
            <w:pPr>
              <w:rPr>
                <w:rFonts w:ascii="Arial Narrow" w:hAnsi="Arial Narrow" w:cs="Arial"/>
                <w:sz w:val="20"/>
              </w:rPr>
            </w:pPr>
            <w:r w:rsidRPr="00A8550F">
              <w:rPr>
                <w:rFonts w:ascii="Arial Narrow" w:hAnsi="Arial Narrow" w:cs="Arial"/>
                <w:sz w:val="20"/>
              </w:rPr>
              <w:t>A key achievement was supporting the development and signing of the first trilateral arrangement on regulatory collaboration and information sharing between CASA, CAA NZ and Transport Canada.</w:t>
            </w:r>
          </w:p>
          <w:p w14:paraId="55241D17" w14:textId="77777777" w:rsidR="000F61DE" w:rsidRPr="006C0823" w:rsidRDefault="000F61DE" w:rsidP="00A57C9B">
            <w:pPr>
              <w:pStyle w:val="TableText"/>
              <w:rPr>
                <w:rFonts w:eastAsia="Times New Roman"/>
              </w:rPr>
            </w:pPr>
            <w:r w:rsidRPr="00A8550F">
              <w:rPr>
                <w:rFonts w:cs="Arial"/>
              </w:rPr>
              <w:t>CASA continue</w:t>
            </w:r>
            <w:r>
              <w:rPr>
                <w:rFonts w:cs="Arial"/>
              </w:rPr>
              <w:t>d</w:t>
            </w:r>
            <w:r w:rsidRPr="00A8550F">
              <w:rPr>
                <w:rFonts w:cs="Arial"/>
              </w:rPr>
              <w:t xml:space="preserve"> to engage </w:t>
            </w:r>
            <w:r>
              <w:rPr>
                <w:rFonts w:cs="Arial"/>
              </w:rPr>
              <w:t xml:space="preserve">with </w:t>
            </w:r>
            <w:r w:rsidRPr="00A8550F">
              <w:rPr>
                <w:rFonts w:cs="Arial"/>
              </w:rPr>
              <w:t xml:space="preserve">CAA NZ colleagues to revitalise </w:t>
            </w:r>
            <w:r w:rsidR="00960BC1">
              <w:rPr>
                <w:rFonts w:cs="Arial"/>
              </w:rPr>
              <w:t xml:space="preserve">the </w:t>
            </w:r>
            <w:r w:rsidR="0092533C">
              <w:rPr>
                <w:rFonts w:cs="Arial"/>
              </w:rPr>
              <w:t>ANZA</w:t>
            </w:r>
            <w:r w:rsidRPr="00A8550F">
              <w:rPr>
                <w:rFonts w:cs="Arial"/>
              </w:rPr>
              <w:t xml:space="preserve"> discussions and progress mutual recognition </w:t>
            </w:r>
            <w:r>
              <w:rPr>
                <w:rFonts w:cs="Arial"/>
              </w:rPr>
              <w:t>of private pilot licences</w:t>
            </w:r>
            <w:r w:rsidRPr="00A8550F">
              <w:rPr>
                <w:rFonts w:cs="Arial"/>
              </w:rPr>
              <w:t xml:space="preserve"> and Class 2 medical certificates. Joint procedures were developed between CASA and CAA NZ on approaches to Queenstown aerodrome.</w:t>
            </w:r>
          </w:p>
        </w:tc>
      </w:tr>
      <w:tr w:rsidR="000F61DE" w:rsidRPr="006C0823" w14:paraId="79F53DBD" w14:textId="77777777" w:rsidTr="00A86663">
        <w:tc>
          <w:tcPr>
            <w:tcW w:w="521" w:type="pct"/>
            <w:shd w:val="clear" w:color="auto" w:fill="D9D9D9"/>
          </w:tcPr>
          <w:p w14:paraId="0427ED04"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9D9D9"/>
          </w:tcPr>
          <w:p w14:paraId="0ABC6ED9" w14:textId="77777777" w:rsidR="000F61DE" w:rsidRPr="006C0823" w:rsidRDefault="000F61DE" w:rsidP="006E2310">
            <w:pPr>
              <w:pStyle w:val="TableText"/>
              <w:rPr>
                <w:rFonts w:eastAsia="Times New Roman"/>
              </w:rPr>
            </w:pPr>
            <w:r>
              <w:rPr>
                <w:rFonts w:cs="Arial"/>
              </w:rPr>
              <w:t>Promote Australian expertise</w:t>
            </w:r>
          </w:p>
        </w:tc>
      </w:tr>
      <w:tr w:rsidR="000F61DE" w:rsidRPr="006C0823" w14:paraId="168B65D1" w14:textId="77777777" w:rsidTr="00A86663">
        <w:tc>
          <w:tcPr>
            <w:tcW w:w="521" w:type="pct"/>
            <w:shd w:val="clear" w:color="auto" w:fill="FFFFFF"/>
          </w:tcPr>
          <w:p w14:paraId="504E83BB" w14:textId="77777777" w:rsidR="000F61DE" w:rsidRPr="006C0823" w:rsidRDefault="000F61DE" w:rsidP="006E2310">
            <w:pPr>
              <w:pStyle w:val="TableHeading"/>
              <w:keepNext w:val="0"/>
              <w:rPr>
                <w:rFonts w:eastAsia="Times New Roman"/>
              </w:rPr>
            </w:pPr>
            <w:r w:rsidRPr="006C0823">
              <w:rPr>
                <w:rFonts w:eastAsia="Times New Roman"/>
              </w:rPr>
              <w:t>Result</w:t>
            </w:r>
          </w:p>
          <w:p w14:paraId="6F207160"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shd w:val="clear" w:color="auto" w:fill="FFFFFF"/>
          </w:tcPr>
          <w:p w14:paraId="4AAA64EA" w14:textId="77777777" w:rsidR="000F61DE" w:rsidRDefault="000F61DE" w:rsidP="006E2310">
            <w:pPr>
              <w:rPr>
                <w:rFonts w:ascii="Arial Narrow" w:hAnsi="Arial Narrow" w:cs="Arial"/>
                <w:sz w:val="20"/>
              </w:rPr>
            </w:pPr>
            <w:r w:rsidRPr="00A8550F">
              <w:rPr>
                <w:rFonts w:ascii="Arial Narrow" w:hAnsi="Arial Narrow" w:cs="Arial"/>
                <w:sz w:val="20"/>
              </w:rPr>
              <w:t>CASA facilitated dangerous goods training for inspectors from New Zealand, Papua New Guinea</w:t>
            </w:r>
            <w:r>
              <w:rPr>
                <w:rFonts w:ascii="Arial Narrow" w:hAnsi="Arial Narrow" w:cs="Arial"/>
                <w:sz w:val="20"/>
              </w:rPr>
              <w:t xml:space="preserve"> (PNG)</w:t>
            </w:r>
            <w:r w:rsidRPr="00A8550F">
              <w:rPr>
                <w:rFonts w:ascii="Arial Narrow" w:hAnsi="Arial Narrow" w:cs="Arial"/>
                <w:sz w:val="20"/>
              </w:rPr>
              <w:t xml:space="preserve">, Samoa, Kiribati and Tonga, </w:t>
            </w:r>
            <w:r>
              <w:rPr>
                <w:rFonts w:ascii="Arial Narrow" w:hAnsi="Arial Narrow" w:cs="Arial"/>
                <w:sz w:val="20"/>
              </w:rPr>
              <w:t xml:space="preserve">and </w:t>
            </w:r>
            <w:r w:rsidRPr="00A8550F">
              <w:rPr>
                <w:rFonts w:ascii="Arial Narrow" w:hAnsi="Arial Narrow" w:cs="Arial"/>
                <w:sz w:val="20"/>
              </w:rPr>
              <w:t>follow</w:t>
            </w:r>
            <w:r>
              <w:rPr>
                <w:rFonts w:ascii="Arial Narrow" w:hAnsi="Arial Narrow" w:cs="Arial"/>
                <w:sz w:val="20"/>
              </w:rPr>
              <w:t>-</w:t>
            </w:r>
            <w:r w:rsidRPr="00A8550F">
              <w:rPr>
                <w:rFonts w:ascii="Arial Narrow" w:hAnsi="Arial Narrow" w:cs="Arial"/>
                <w:sz w:val="20"/>
              </w:rPr>
              <w:t>up mentoring placements for PNG inspectors. Other training opportunities, that were attended by regional regulatory counterparts include</w:t>
            </w:r>
            <w:r>
              <w:rPr>
                <w:rFonts w:ascii="Arial Narrow" w:hAnsi="Arial Narrow" w:cs="Arial"/>
                <w:sz w:val="20"/>
              </w:rPr>
              <w:t>d:</w:t>
            </w:r>
          </w:p>
          <w:p w14:paraId="05EE345C" w14:textId="77777777" w:rsidR="000F61DE" w:rsidRDefault="000F61DE" w:rsidP="006E2310">
            <w:pPr>
              <w:pStyle w:val="TableBullet"/>
            </w:pPr>
            <w:r>
              <w:t>u</w:t>
            </w:r>
            <w:r w:rsidRPr="00A8550F">
              <w:t xml:space="preserve">pset </w:t>
            </w:r>
            <w:r>
              <w:t>p</w:t>
            </w:r>
            <w:r w:rsidRPr="00A8550F">
              <w:t xml:space="preserve">revention and </w:t>
            </w:r>
            <w:r>
              <w:t>r</w:t>
            </w:r>
            <w:r w:rsidRPr="00A8550F">
              <w:t xml:space="preserve">ecovery </w:t>
            </w:r>
            <w:r>
              <w:t>t</w:t>
            </w:r>
            <w:r w:rsidRPr="00A8550F">
              <w:t>raining</w:t>
            </w:r>
            <w:r>
              <w:t>, attended by</w:t>
            </w:r>
            <w:r w:rsidRPr="00A8550F">
              <w:t xml:space="preserve"> CAA NZ</w:t>
            </w:r>
            <w:r>
              <w:t xml:space="preserve"> staff</w:t>
            </w:r>
          </w:p>
          <w:p w14:paraId="1E5B6E9D" w14:textId="77777777" w:rsidR="000F61DE" w:rsidRDefault="000F61DE" w:rsidP="006E2310">
            <w:pPr>
              <w:pStyle w:val="TableBullet"/>
            </w:pPr>
            <w:r w:rsidRPr="00A8550F">
              <w:t xml:space="preserve">the </w:t>
            </w:r>
            <w:r>
              <w:t>m</w:t>
            </w:r>
            <w:r w:rsidRPr="00A8550F">
              <w:t xml:space="preserve">aintenance </w:t>
            </w:r>
            <w:r>
              <w:t>p</w:t>
            </w:r>
            <w:r w:rsidRPr="00A8550F">
              <w:t xml:space="preserve">rogram and </w:t>
            </w:r>
            <w:r>
              <w:t>r</w:t>
            </w:r>
            <w:r w:rsidRPr="00A8550F">
              <w:t xml:space="preserve">eliability </w:t>
            </w:r>
            <w:r>
              <w:t>c</w:t>
            </w:r>
            <w:r w:rsidRPr="00A8550F">
              <w:t>ourse</w:t>
            </w:r>
            <w:r>
              <w:t>,</w:t>
            </w:r>
            <w:r w:rsidRPr="00A8550F">
              <w:t xml:space="preserve"> attended by</w:t>
            </w:r>
            <w:r>
              <w:t xml:space="preserve"> Civil Aviation Authority of Singapore (</w:t>
            </w:r>
            <w:r w:rsidRPr="00A8550F">
              <w:t>CAAS</w:t>
            </w:r>
            <w:r>
              <w:t>) staff</w:t>
            </w:r>
          </w:p>
          <w:p w14:paraId="34AF3190" w14:textId="77777777" w:rsidR="000F61DE" w:rsidRPr="00A8550F" w:rsidRDefault="000F61DE" w:rsidP="006E2310">
            <w:pPr>
              <w:pStyle w:val="TableBullet"/>
            </w:pPr>
            <w:r w:rsidRPr="00A8550F">
              <w:t xml:space="preserve">a </w:t>
            </w:r>
            <w:r>
              <w:t xml:space="preserve">forum on </w:t>
            </w:r>
            <w:r w:rsidRPr="00A8550F">
              <w:t>legislative development and enforcement</w:t>
            </w:r>
            <w:r>
              <w:t>, attended by</w:t>
            </w:r>
            <w:r w:rsidRPr="00A8550F">
              <w:t xml:space="preserve"> officials from the Indonesian Directorate General of Civil Aviation.</w:t>
            </w:r>
          </w:p>
          <w:p w14:paraId="400D2174" w14:textId="77777777" w:rsidR="000F61DE" w:rsidRPr="00A8550F" w:rsidRDefault="000F61DE" w:rsidP="006E2310">
            <w:pPr>
              <w:rPr>
                <w:rFonts w:ascii="Arial Narrow" w:hAnsi="Arial Narrow" w:cs="Arial"/>
                <w:sz w:val="20"/>
              </w:rPr>
            </w:pPr>
            <w:r w:rsidRPr="00A8550F">
              <w:rPr>
                <w:rFonts w:ascii="Arial Narrow" w:hAnsi="Arial Narrow" w:cs="Arial"/>
                <w:sz w:val="20"/>
              </w:rPr>
              <w:t xml:space="preserve">CASA </w:t>
            </w:r>
            <w:r>
              <w:rPr>
                <w:rFonts w:ascii="Arial Narrow" w:hAnsi="Arial Narrow" w:cs="Arial"/>
                <w:sz w:val="20"/>
              </w:rPr>
              <w:t xml:space="preserve">and CASA PNG </w:t>
            </w:r>
            <w:r w:rsidRPr="00A8550F">
              <w:rPr>
                <w:rFonts w:ascii="Arial Narrow" w:hAnsi="Arial Narrow" w:cs="Arial"/>
                <w:sz w:val="20"/>
              </w:rPr>
              <w:t>continue</w:t>
            </w:r>
            <w:r>
              <w:rPr>
                <w:rFonts w:ascii="Arial Narrow" w:hAnsi="Arial Narrow" w:cs="Arial"/>
                <w:sz w:val="20"/>
              </w:rPr>
              <w:t>d</w:t>
            </w:r>
            <w:r w:rsidRPr="00A8550F">
              <w:rPr>
                <w:rFonts w:ascii="Arial Narrow" w:hAnsi="Arial Narrow" w:cs="Arial"/>
                <w:sz w:val="20"/>
              </w:rPr>
              <w:t xml:space="preserve"> to work towards closer</w:t>
            </w:r>
            <w:r>
              <w:rPr>
                <w:rFonts w:ascii="Arial Narrow" w:hAnsi="Arial Narrow" w:cs="Arial"/>
                <w:sz w:val="20"/>
              </w:rPr>
              <w:t xml:space="preserve"> information sharing on</w:t>
            </w:r>
            <w:r w:rsidRPr="00A8550F">
              <w:rPr>
                <w:rFonts w:ascii="Arial Narrow" w:hAnsi="Arial Narrow" w:cs="Arial"/>
                <w:sz w:val="20"/>
              </w:rPr>
              <w:t xml:space="preserve"> flight crew licensing as well as capacity building and mentoring of aviation medical personnel under the auspices of the Australian Aid program. CASA and the Pacific Aviation Safety Office </w:t>
            </w:r>
            <w:r>
              <w:rPr>
                <w:rFonts w:ascii="Arial Narrow" w:hAnsi="Arial Narrow" w:cs="Arial"/>
                <w:sz w:val="20"/>
              </w:rPr>
              <w:t xml:space="preserve">(PASO) </w:t>
            </w:r>
            <w:r w:rsidRPr="00A8550F">
              <w:rPr>
                <w:rFonts w:ascii="Arial Narrow" w:hAnsi="Arial Narrow" w:cs="Arial"/>
                <w:sz w:val="20"/>
              </w:rPr>
              <w:t xml:space="preserve">have commenced negotiations on a working arrangement to provide cost-recoverable technical assistance on a range of regulatory matters for the benefit of 10 Pacific </w:t>
            </w:r>
            <w:r>
              <w:rPr>
                <w:rFonts w:ascii="Arial Narrow" w:hAnsi="Arial Narrow" w:cs="Arial"/>
                <w:sz w:val="20"/>
              </w:rPr>
              <w:t>i</w:t>
            </w:r>
            <w:r w:rsidRPr="00A8550F">
              <w:rPr>
                <w:rFonts w:ascii="Arial Narrow" w:hAnsi="Arial Narrow" w:cs="Arial"/>
                <w:sz w:val="20"/>
              </w:rPr>
              <w:t>sland countries.</w:t>
            </w:r>
          </w:p>
          <w:p w14:paraId="52C92533" w14:textId="77777777" w:rsidR="000F61DE" w:rsidRDefault="000F61DE" w:rsidP="006E2310">
            <w:pPr>
              <w:rPr>
                <w:rFonts w:ascii="Arial Narrow" w:hAnsi="Arial Narrow" w:cs="Arial"/>
                <w:sz w:val="20"/>
              </w:rPr>
            </w:pPr>
            <w:r w:rsidRPr="00A8550F">
              <w:rPr>
                <w:rFonts w:ascii="Arial Narrow" w:hAnsi="Arial Narrow" w:cs="Arial"/>
                <w:sz w:val="20"/>
              </w:rPr>
              <w:t>CASA also advised and presented at an Austrade aviation mission to Thailand</w:t>
            </w:r>
            <w:r>
              <w:rPr>
                <w:rFonts w:ascii="Arial Narrow" w:hAnsi="Arial Narrow" w:cs="Arial"/>
                <w:sz w:val="20"/>
              </w:rPr>
              <w:t>,</w:t>
            </w:r>
            <w:r w:rsidRPr="00A8550F">
              <w:rPr>
                <w:rFonts w:ascii="Arial Narrow" w:hAnsi="Arial Narrow" w:cs="Arial"/>
                <w:sz w:val="20"/>
              </w:rPr>
              <w:t xml:space="preserve"> with senior Australian industry delegates and the Australian Ambassador to Thailand. The focus of the mission was to promote Australian aviation expertise and business opportunities</w:t>
            </w:r>
            <w:r>
              <w:rPr>
                <w:rFonts w:ascii="Arial Narrow" w:hAnsi="Arial Narrow" w:cs="Arial"/>
                <w:sz w:val="20"/>
              </w:rPr>
              <w:t xml:space="preserve"> – </w:t>
            </w:r>
            <w:r w:rsidRPr="00A8550F">
              <w:rPr>
                <w:rFonts w:ascii="Arial Narrow" w:hAnsi="Arial Narrow" w:cs="Arial"/>
                <w:sz w:val="20"/>
              </w:rPr>
              <w:t>topics rang</w:t>
            </w:r>
            <w:r>
              <w:rPr>
                <w:rFonts w:ascii="Arial Narrow" w:hAnsi="Arial Narrow" w:cs="Arial"/>
                <w:sz w:val="20"/>
              </w:rPr>
              <w:t>ed</w:t>
            </w:r>
            <w:r w:rsidRPr="00A8550F">
              <w:rPr>
                <w:rFonts w:ascii="Arial Narrow" w:hAnsi="Arial Narrow" w:cs="Arial"/>
                <w:sz w:val="20"/>
              </w:rPr>
              <w:t xml:space="preserve"> from aviation workforce training and education programs, through to </w:t>
            </w:r>
            <w:r>
              <w:rPr>
                <w:rFonts w:ascii="Arial Narrow" w:hAnsi="Arial Narrow" w:cs="Arial"/>
                <w:sz w:val="20"/>
              </w:rPr>
              <w:t xml:space="preserve">the </w:t>
            </w:r>
            <w:r w:rsidRPr="00A8550F">
              <w:rPr>
                <w:rFonts w:ascii="Arial Narrow" w:hAnsi="Arial Narrow" w:cs="Arial"/>
                <w:sz w:val="20"/>
              </w:rPr>
              <w:t>develop</w:t>
            </w:r>
            <w:r>
              <w:rPr>
                <w:rFonts w:ascii="Arial Narrow" w:hAnsi="Arial Narrow" w:cs="Arial"/>
                <w:sz w:val="20"/>
              </w:rPr>
              <w:t>ment of</w:t>
            </w:r>
            <w:r w:rsidRPr="00A8550F">
              <w:rPr>
                <w:rFonts w:ascii="Arial Narrow" w:hAnsi="Arial Narrow" w:cs="Arial"/>
                <w:sz w:val="20"/>
              </w:rPr>
              <w:t xml:space="preserve"> supportive regulatory frameworks. </w:t>
            </w:r>
          </w:p>
          <w:p w14:paraId="09A4E900" w14:textId="77777777" w:rsidR="000F61DE" w:rsidRPr="00A8550F" w:rsidRDefault="000F61DE" w:rsidP="006E2310">
            <w:pPr>
              <w:rPr>
                <w:rFonts w:ascii="Arial Narrow" w:hAnsi="Arial Narrow" w:cs="Arial"/>
                <w:sz w:val="20"/>
              </w:rPr>
            </w:pPr>
            <w:r w:rsidRPr="00A8550F">
              <w:rPr>
                <w:rFonts w:ascii="Arial Narrow" w:hAnsi="Arial Narrow" w:cs="Arial"/>
                <w:sz w:val="20"/>
              </w:rPr>
              <w:t xml:space="preserve">In June 2018, CASA </w:t>
            </w:r>
            <w:r>
              <w:rPr>
                <w:rFonts w:ascii="Arial Narrow" w:hAnsi="Arial Narrow" w:cs="Arial"/>
                <w:sz w:val="20"/>
              </w:rPr>
              <w:t xml:space="preserve">was visited </w:t>
            </w:r>
            <w:r w:rsidRPr="00A8550F">
              <w:rPr>
                <w:rFonts w:ascii="Arial Narrow" w:hAnsi="Arial Narrow" w:cs="Arial"/>
                <w:sz w:val="20"/>
              </w:rPr>
              <w:t xml:space="preserve">by a delegation from the Civil Aviation Authority of Thailand (CAAT) and the Thai </w:t>
            </w:r>
            <w:r>
              <w:rPr>
                <w:rFonts w:ascii="Arial Narrow" w:hAnsi="Arial Narrow" w:cs="Arial"/>
                <w:sz w:val="20"/>
              </w:rPr>
              <w:t>a</w:t>
            </w:r>
            <w:r w:rsidRPr="00A8550F">
              <w:rPr>
                <w:rFonts w:ascii="Arial Narrow" w:hAnsi="Arial Narrow" w:cs="Arial"/>
                <w:sz w:val="20"/>
              </w:rPr>
              <w:t xml:space="preserve">ir </w:t>
            </w:r>
            <w:r>
              <w:rPr>
                <w:rFonts w:ascii="Arial Narrow" w:hAnsi="Arial Narrow" w:cs="Arial"/>
                <w:sz w:val="20"/>
              </w:rPr>
              <w:t>n</w:t>
            </w:r>
            <w:r w:rsidRPr="00A8550F">
              <w:rPr>
                <w:rFonts w:ascii="Arial Narrow" w:hAnsi="Arial Narrow" w:cs="Arial"/>
                <w:sz w:val="20"/>
              </w:rPr>
              <w:t xml:space="preserve">avigation </w:t>
            </w:r>
            <w:r>
              <w:rPr>
                <w:rFonts w:ascii="Arial Narrow" w:hAnsi="Arial Narrow" w:cs="Arial"/>
                <w:sz w:val="20"/>
              </w:rPr>
              <w:t>s</w:t>
            </w:r>
            <w:r w:rsidRPr="00A8550F">
              <w:rPr>
                <w:rFonts w:ascii="Arial Narrow" w:hAnsi="Arial Narrow" w:cs="Arial"/>
                <w:sz w:val="20"/>
              </w:rPr>
              <w:t xml:space="preserve">ervice </w:t>
            </w:r>
            <w:r>
              <w:rPr>
                <w:rFonts w:ascii="Arial Narrow" w:hAnsi="Arial Narrow" w:cs="Arial"/>
                <w:sz w:val="20"/>
              </w:rPr>
              <w:t>p</w:t>
            </w:r>
            <w:r w:rsidRPr="00A8550F">
              <w:rPr>
                <w:rFonts w:ascii="Arial Narrow" w:hAnsi="Arial Narrow" w:cs="Arial"/>
                <w:sz w:val="20"/>
              </w:rPr>
              <w:t>rovider, AEROTHAI, who were in Australia on a study visit seeking methodologies to assist their transition from Aeronautical Information Services to Aeronautical Information Management. The Thai delegation included the Deputy Director General of the CAAT.</w:t>
            </w:r>
          </w:p>
        </w:tc>
      </w:tr>
      <w:tr w:rsidR="000F61DE" w:rsidRPr="006C0823" w14:paraId="13A30A27" w14:textId="77777777" w:rsidTr="00A86663">
        <w:tc>
          <w:tcPr>
            <w:tcW w:w="521" w:type="pct"/>
            <w:shd w:val="clear" w:color="auto" w:fill="D9D9D9"/>
          </w:tcPr>
          <w:p w14:paraId="7CCDBAF8"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9D9D9"/>
          </w:tcPr>
          <w:p w14:paraId="7B8AB733" w14:textId="77777777" w:rsidR="000F61DE" w:rsidRPr="006C0823" w:rsidRDefault="000F61DE" w:rsidP="006E2310">
            <w:pPr>
              <w:pStyle w:val="TableText"/>
              <w:rPr>
                <w:rFonts w:eastAsia="Times New Roman"/>
              </w:rPr>
            </w:pPr>
            <w:r>
              <w:rPr>
                <w:rFonts w:cs="Arial"/>
              </w:rPr>
              <w:t>Work with international counterparts to inform regional and global harmonisation of regulatory development</w:t>
            </w:r>
          </w:p>
        </w:tc>
      </w:tr>
      <w:tr w:rsidR="000F61DE" w:rsidRPr="006C0823" w14:paraId="669D3239" w14:textId="77777777" w:rsidTr="00A86663">
        <w:tc>
          <w:tcPr>
            <w:tcW w:w="521" w:type="pct"/>
            <w:shd w:val="clear" w:color="auto" w:fill="FFFFFF"/>
          </w:tcPr>
          <w:p w14:paraId="70C93FEC" w14:textId="77777777" w:rsidR="000F61DE" w:rsidRPr="006C0823" w:rsidRDefault="000F61DE" w:rsidP="006E2310">
            <w:pPr>
              <w:pStyle w:val="TableHeading"/>
              <w:keepNext w:val="0"/>
              <w:rPr>
                <w:rFonts w:eastAsia="Times New Roman"/>
              </w:rPr>
            </w:pPr>
            <w:r w:rsidRPr="006C0823">
              <w:rPr>
                <w:rFonts w:eastAsia="Times New Roman"/>
              </w:rPr>
              <w:t>Result</w:t>
            </w:r>
          </w:p>
          <w:p w14:paraId="73A6450E"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shd w:val="clear" w:color="auto" w:fill="FFFFFF"/>
          </w:tcPr>
          <w:p w14:paraId="4CB421E5" w14:textId="77777777" w:rsidR="000F61DE" w:rsidRPr="00A8550F" w:rsidRDefault="000F61DE" w:rsidP="006E2310">
            <w:pPr>
              <w:rPr>
                <w:rFonts w:ascii="Arial Narrow" w:hAnsi="Arial Narrow" w:cs="Arial"/>
                <w:sz w:val="20"/>
              </w:rPr>
            </w:pPr>
            <w:r w:rsidRPr="00A8550F">
              <w:rPr>
                <w:rFonts w:ascii="Arial Narrow" w:hAnsi="Arial Narrow" w:cs="Arial"/>
                <w:sz w:val="20"/>
              </w:rPr>
              <w:t xml:space="preserve">CASA coordinated advice to regulatory counterparts from the United States, Canada, New Zealand, Singapore, Brazil, Turkey, New Caledonia and other countries on </w:t>
            </w:r>
            <w:r>
              <w:rPr>
                <w:rFonts w:ascii="Arial Narrow" w:hAnsi="Arial Narrow" w:cs="Arial"/>
                <w:sz w:val="20"/>
              </w:rPr>
              <w:t xml:space="preserve">topics including </w:t>
            </w:r>
            <w:r w:rsidRPr="00A8550F">
              <w:rPr>
                <w:rFonts w:ascii="Arial Narrow" w:hAnsi="Arial Narrow" w:cs="Arial"/>
                <w:sz w:val="20"/>
              </w:rPr>
              <w:t>CASA operational matters, liaison opportunities, medical certification reforms, ICAO State Safety Program benchmarking, implementation of ICAO S</w:t>
            </w:r>
            <w:r>
              <w:rPr>
                <w:rFonts w:ascii="Arial Narrow" w:hAnsi="Arial Narrow" w:cs="Arial"/>
                <w:sz w:val="20"/>
              </w:rPr>
              <w:t>tandards and Recommended Practice</w:t>
            </w:r>
            <w:r w:rsidRPr="00A8550F">
              <w:rPr>
                <w:rFonts w:ascii="Arial Narrow" w:hAnsi="Arial Narrow" w:cs="Arial"/>
                <w:sz w:val="20"/>
              </w:rPr>
              <w:t xml:space="preserve">s, updates to civil aviation safety regulatory </w:t>
            </w:r>
            <w:r w:rsidRPr="00A8550F">
              <w:rPr>
                <w:rFonts w:ascii="Arial Narrow" w:hAnsi="Arial Narrow" w:cs="Arial"/>
                <w:sz w:val="20"/>
              </w:rPr>
              <w:lastRenderedPageBreak/>
              <w:t>amendments, and regional safety oversight cooperation systems. The 20</w:t>
            </w:r>
            <w:r w:rsidRPr="003C28E8">
              <w:rPr>
                <w:rFonts w:ascii="Arial Narrow" w:hAnsi="Arial Narrow" w:cs="Arial"/>
                <w:sz w:val="20"/>
              </w:rPr>
              <w:t>th</w:t>
            </w:r>
            <w:r w:rsidRPr="00A8550F">
              <w:rPr>
                <w:rFonts w:ascii="Arial Narrow" w:hAnsi="Arial Narrow" w:cs="Arial"/>
                <w:sz w:val="20"/>
              </w:rPr>
              <w:t xml:space="preserve"> FAA </w:t>
            </w:r>
            <w:r>
              <w:rPr>
                <w:rFonts w:ascii="Arial Narrow" w:hAnsi="Arial Narrow" w:cs="Arial"/>
                <w:sz w:val="20"/>
              </w:rPr>
              <w:t xml:space="preserve">Asia-Pacific </w:t>
            </w:r>
            <w:r w:rsidRPr="00A8550F">
              <w:rPr>
                <w:rFonts w:ascii="Arial Narrow" w:hAnsi="Arial Narrow" w:cs="Arial"/>
                <w:sz w:val="20"/>
              </w:rPr>
              <w:t>Bilateral Partners Dialogue Meeting also presented a valuable opportunity for CASA staff to strengthen and develop new working relationships with overseas colleagues.</w:t>
            </w:r>
          </w:p>
          <w:p w14:paraId="3585391D" w14:textId="77777777" w:rsidR="000F61DE" w:rsidRPr="00A8550F" w:rsidRDefault="000F61DE" w:rsidP="006E2310">
            <w:pPr>
              <w:rPr>
                <w:rFonts w:ascii="Arial Narrow" w:hAnsi="Arial Narrow" w:cs="Arial"/>
                <w:sz w:val="20"/>
              </w:rPr>
            </w:pPr>
            <w:r w:rsidRPr="00A8550F">
              <w:rPr>
                <w:rFonts w:ascii="Arial Narrow" w:hAnsi="Arial Narrow" w:cs="Arial"/>
                <w:sz w:val="20"/>
              </w:rPr>
              <w:t>CASA participate</w:t>
            </w:r>
            <w:r>
              <w:rPr>
                <w:rFonts w:ascii="Arial Narrow" w:hAnsi="Arial Narrow" w:cs="Arial"/>
                <w:sz w:val="20"/>
              </w:rPr>
              <w:t>d</w:t>
            </w:r>
            <w:r w:rsidRPr="00A8550F">
              <w:rPr>
                <w:rFonts w:ascii="Arial Narrow" w:hAnsi="Arial Narrow" w:cs="Arial"/>
                <w:sz w:val="20"/>
              </w:rPr>
              <w:t xml:space="preserve"> in discussions with Airservices Australia and the Department of Infrastructure, Regional Development and Cities (including </w:t>
            </w:r>
            <w:r w:rsidR="000D1D1B">
              <w:rPr>
                <w:rFonts w:ascii="Arial Narrow" w:hAnsi="Arial Narrow" w:cs="Arial"/>
                <w:sz w:val="20"/>
              </w:rPr>
              <w:t>Australia’</w:t>
            </w:r>
            <w:r>
              <w:rPr>
                <w:rFonts w:ascii="Arial Narrow" w:hAnsi="Arial Narrow" w:cs="Arial"/>
                <w:sz w:val="20"/>
              </w:rPr>
              <w:t xml:space="preserve">s </w:t>
            </w:r>
            <w:r w:rsidRPr="00A8550F">
              <w:rPr>
                <w:rFonts w:ascii="Arial Narrow" w:hAnsi="Arial Narrow" w:cs="Arial"/>
                <w:sz w:val="20"/>
              </w:rPr>
              <w:t>post in Montreal</w:t>
            </w:r>
            <w:r>
              <w:rPr>
                <w:rFonts w:ascii="Arial Narrow" w:hAnsi="Arial Narrow" w:cs="Arial"/>
                <w:sz w:val="20"/>
              </w:rPr>
              <w:t>, Canada</w:t>
            </w:r>
            <w:r w:rsidRPr="00A8550F">
              <w:rPr>
                <w:rFonts w:ascii="Arial Narrow" w:hAnsi="Arial Narrow" w:cs="Arial"/>
                <w:sz w:val="20"/>
              </w:rPr>
              <w:t>) on formulating whole-of-government aviation policy in the lead</w:t>
            </w:r>
            <w:r w:rsidR="00B03188">
              <w:rPr>
                <w:rFonts w:ascii="Arial Narrow" w:hAnsi="Arial Narrow" w:cs="Arial"/>
                <w:sz w:val="20"/>
              </w:rPr>
              <w:t>-</w:t>
            </w:r>
            <w:r w:rsidRPr="00A8550F">
              <w:rPr>
                <w:rFonts w:ascii="Arial Narrow" w:hAnsi="Arial Narrow" w:cs="Arial"/>
                <w:sz w:val="20"/>
              </w:rPr>
              <w:t xml:space="preserve">up to </w:t>
            </w:r>
            <w:r>
              <w:rPr>
                <w:rFonts w:ascii="Arial Narrow" w:hAnsi="Arial Narrow" w:cs="Arial"/>
                <w:sz w:val="20"/>
              </w:rPr>
              <w:t>ICAO’s 13th</w:t>
            </w:r>
            <w:r w:rsidRPr="00A8550F">
              <w:rPr>
                <w:rFonts w:ascii="Arial Narrow" w:hAnsi="Arial Narrow" w:cs="Arial"/>
                <w:sz w:val="20"/>
              </w:rPr>
              <w:t xml:space="preserve"> Air Navigation Conference</w:t>
            </w:r>
            <w:r>
              <w:rPr>
                <w:rFonts w:ascii="Arial Narrow" w:hAnsi="Arial Narrow" w:cs="Arial"/>
                <w:sz w:val="20"/>
              </w:rPr>
              <w:t>, to be held</w:t>
            </w:r>
            <w:r w:rsidRPr="00A8550F">
              <w:rPr>
                <w:rFonts w:ascii="Arial Narrow" w:hAnsi="Arial Narrow" w:cs="Arial"/>
                <w:sz w:val="20"/>
              </w:rPr>
              <w:t xml:space="preserve"> in October 2018</w:t>
            </w:r>
            <w:r>
              <w:rPr>
                <w:rFonts w:ascii="Arial Narrow" w:hAnsi="Arial Narrow" w:cs="Arial"/>
                <w:sz w:val="20"/>
              </w:rPr>
              <w:t>, and</w:t>
            </w:r>
            <w:r w:rsidRPr="00A8550F">
              <w:rPr>
                <w:rFonts w:ascii="Arial Narrow" w:hAnsi="Arial Narrow" w:cs="Arial"/>
                <w:sz w:val="20"/>
              </w:rPr>
              <w:t xml:space="preserve"> the</w:t>
            </w:r>
            <w:r>
              <w:rPr>
                <w:rFonts w:ascii="Arial Narrow" w:hAnsi="Arial Narrow" w:cs="Arial"/>
                <w:sz w:val="20"/>
              </w:rPr>
              <w:t xml:space="preserve"> next </w:t>
            </w:r>
            <w:r w:rsidRPr="00A8550F">
              <w:rPr>
                <w:rFonts w:ascii="Arial Narrow" w:hAnsi="Arial Narrow" w:cs="Arial"/>
                <w:sz w:val="20"/>
              </w:rPr>
              <w:t>ICAO General Assembly</w:t>
            </w:r>
            <w:r>
              <w:rPr>
                <w:rFonts w:ascii="Arial Narrow" w:hAnsi="Arial Narrow" w:cs="Arial"/>
                <w:sz w:val="20"/>
              </w:rPr>
              <w:t>, to be held</w:t>
            </w:r>
            <w:r w:rsidRPr="00A8550F">
              <w:rPr>
                <w:rFonts w:ascii="Arial Narrow" w:hAnsi="Arial Narrow" w:cs="Arial"/>
                <w:sz w:val="20"/>
              </w:rPr>
              <w:t xml:space="preserve"> in 2019.</w:t>
            </w:r>
          </w:p>
          <w:p w14:paraId="52ECEF17" w14:textId="77777777" w:rsidR="000F61DE" w:rsidRPr="006C0823" w:rsidRDefault="000F61DE" w:rsidP="006E2310">
            <w:pPr>
              <w:pStyle w:val="TableText"/>
              <w:rPr>
                <w:rFonts w:eastAsia="Times New Roman"/>
              </w:rPr>
            </w:pPr>
            <w:r w:rsidRPr="00A8550F">
              <w:rPr>
                <w:rFonts w:cs="Arial"/>
              </w:rPr>
              <w:t xml:space="preserve">CASA and CAA NZ are actively supporting PASO in its organisational and governance reform, as well as improving technical expertise linkages and training, recognising that safer Pacific aviation is a regional </w:t>
            </w:r>
            <w:r w:rsidR="00733C0D">
              <w:rPr>
                <w:rFonts w:cs="Arial"/>
              </w:rPr>
              <w:t>prior</w:t>
            </w:r>
            <w:r w:rsidRPr="00A8550F">
              <w:rPr>
                <w:rFonts w:cs="Arial"/>
              </w:rPr>
              <w:t>ity.</w:t>
            </w:r>
          </w:p>
        </w:tc>
      </w:tr>
      <w:tr w:rsidR="000F61DE" w:rsidRPr="006C0823" w14:paraId="6B8B7B14" w14:textId="77777777" w:rsidTr="00A86663">
        <w:tc>
          <w:tcPr>
            <w:tcW w:w="521" w:type="pct"/>
            <w:shd w:val="clear" w:color="auto" w:fill="D9D9D9"/>
          </w:tcPr>
          <w:p w14:paraId="379CB1FD" w14:textId="77777777" w:rsidR="000F61DE" w:rsidRPr="006C0823" w:rsidRDefault="000F61DE" w:rsidP="006E2310">
            <w:pPr>
              <w:pStyle w:val="TableHeading"/>
              <w:rPr>
                <w:rFonts w:eastAsia="Times New Roman"/>
              </w:rPr>
            </w:pPr>
            <w:r w:rsidRPr="006C0823">
              <w:rPr>
                <w:rFonts w:eastAsia="Times New Roman"/>
              </w:rPr>
              <w:lastRenderedPageBreak/>
              <w:t>Measure</w:t>
            </w:r>
          </w:p>
        </w:tc>
        <w:tc>
          <w:tcPr>
            <w:tcW w:w="4479" w:type="pct"/>
            <w:shd w:val="clear" w:color="auto" w:fill="D9D9D9"/>
          </w:tcPr>
          <w:p w14:paraId="1165055D" w14:textId="77777777" w:rsidR="000F61DE" w:rsidRPr="006C0823" w:rsidRDefault="000F61DE" w:rsidP="006E2310">
            <w:pPr>
              <w:pStyle w:val="TableText"/>
              <w:rPr>
                <w:rFonts w:eastAsia="Times New Roman"/>
              </w:rPr>
            </w:pPr>
            <w:r>
              <w:rPr>
                <w:rFonts w:cs="Arial"/>
              </w:rPr>
              <w:t>Deliver</w:t>
            </w:r>
            <w:r w:rsidRPr="00FE20DF">
              <w:rPr>
                <w:rFonts w:cs="Arial"/>
              </w:rPr>
              <w:t xml:space="preserve"> activities with our counterparts in both Indonesia and P</w:t>
            </w:r>
            <w:r>
              <w:rPr>
                <w:rFonts w:cs="Arial"/>
              </w:rPr>
              <w:t xml:space="preserve">apua New Guinea </w:t>
            </w:r>
            <w:r w:rsidRPr="00FE20DF">
              <w:rPr>
                <w:rFonts w:cs="Arial"/>
              </w:rPr>
              <w:t xml:space="preserve">to enhance aviation safety oversight capacity in the region, </w:t>
            </w:r>
            <w:r>
              <w:rPr>
                <w:rFonts w:cs="Arial"/>
              </w:rPr>
              <w:t xml:space="preserve">as agreed </w:t>
            </w:r>
            <w:r w:rsidRPr="00FE20DF">
              <w:rPr>
                <w:rFonts w:cs="Arial"/>
              </w:rPr>
              <w:t>in relevant memorand</w:t>
            </w:r>
            <w:r>
              <w:rPr>
                <w:rFonts w:cs="Arial"/>
              </w:rPr>
              <w:t>a</w:t>
            </w:r>
            <w:r w:rsidRPr="00FE20DF">
              <w:rPr>
                <w:rFonts w:cs="Arial"/>
              </w:rPr>
              <w:t xml:space="preserve"> of understandings on cooperation in the transport sector</w:t>
            </w:r>
          </w:p>
        </w:tc>
      </w:tr>
      <w:tr w:rsidR="000F61DE" w:rsidRPr="006C0823" w14:paraId="4C971CAC" w14:textId="77777777" w:rsidTr="00A86663">
        <w:tc>
          <w:tcPr>
            <w:tcW w:w="521" w:type="pct"/>
          </w:tcPr>
          <w:p w14:paraId="60FD943E" w14:textId="77777777" w:rsidR="000F61DE" w:rsidRPr="006C0823" w:rsidRDefault="000F61DE" w:rsidP="006E2310">
            <w:pPr>
              <w:pStyle w:val="TableHeading"/>
              <w:keepNext w:val="0"/>
              <w:rPr>
                <w:rFonts w:eastAsia="Times New Roman"/>
              </w:rPr>
            </w:pPr>
            <w:r w:rsidRPr="006C0823">
              <w:rPr>
                <w:rFonts w:eastAsia="Times New Roman"/>
              </w:rPr>
              <w:t>Result</w:t>
            </w:r>
          </w:p>
          <w:p w14:paraId="7B2CF09A"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06173B3C" w14:textId="77777777" w:rsidR="000F61DE" w:rsidRDefault="000F61DE" w:rsidP="006E2310">
            <w:pPr>
              <w:rPr>
                <w:rFonts w:ascii="Arial Narrow" w:hAnsi="Arial Narrow" w:cs="Arial"/>
                <w:sz w:val="20"/>
              </w:rPr>
            </w:pPr>
            <w:r w:rsidRPr="00A8550F">
              <w:rPr>
                <w:rFonts w:ascii="Arial Narrow" w:hAnsi="Arial Narrow" w:cs="Arial"/>
                <w:sz w:val="20"/>
              </w:rPr>
              <w:t xml:space="preserve">Under CASA’s Australian Aid program, 13 activities were implemented to enhance the regulatory oversight capabilities and organisational performance of PNG and Indonesian counterparts. </w:t>
            </w:r>
            <w:r>
              <w:rPr>
                <w:rFonts w:ascii="Arial Narrow" w:hAnsi="Arial Narrow" w:cs="Arial"/>
                <w:sz w:val="20"/>
              </w:rPr>
              <w:t>In particular:</w:t>
            </w:r>
          </w:p>
          <w:p w14:paraId="444826DE" w14:textId="77777777" w:rsidR="000F61DE" w:rsidRDefault="000F61DE" w:rsidP="006E2310">
            <w:pPr>
              <w:pStyle w:val="TableBullet"/>
            </w:pPr>
            <w:r>
              <w:t>CASA provided</w:t>
            </w:r>
            <w:r w:rsidRPr="00A8550F">
              <w:t xml:space="preserve"> dangerous goods training for CASA PNG officers in Port Moresby and in Australia, which culminated in ICAO certification for CASA PNG. </w:t>
            </w:r>
          </w:p>
          <w:p w14:paraId="1F07E3B9" w14:textId="77777777" w:rsidR="000F61DE" w:rsidRDefault="000F61DE" w:rsidP="006E2310">
            <w:pPr>
              <w:pStyle w:val="TableBullet"/>
            </w:pPr>
            <w:r w:rsidRPr="00A8550F">
              <w:t>CASA’s Principal Medical Officer provid</w:t>
            </w:r>
            <w:r>
              <w:t>ed mentoring, including</w:t>
            </w:r>
            <w:r w:rsidRPr="00A8550F">
              <w:t xml:space="preserve"> on-the-job training and advice</w:t>
            </w:r>
            <w:r>
              <w:t>,</w:t>
            </w:r>
            <w:r w:rsidRPr="00A8550F">
              <w:t xml:space="preserve"> to CASA PNG’s Aviation Medical Officer. </w:t>
            </w:r>
          </w:p>
          <w:p w14:paraId="0CB7F837" w14:textId="77777777" w:rsidR="000F61DE" w:rsidRDefault="000F61DE" w:rsidP="006E2310">
            <w:pPr>
              <w:pStyle w:val="TableBullet"/>
            </w:pPr>
            <w:r w:rsidRPr="00A8550F">
              <w:t>Indonesian Directorate General of Civil Aviation (</w:t>
            </w:r>
            <w:r>
              <w:t>I</w:t>
            </w:r>
            <w:r w:rsidRPr="00A8550F">
              <w:t xml:space="preserve">DGCA) </w:t>
            </w:r>
            <w:r>
              <w:t xml:space="preserve">staff were supported </w:t>
            </w:r>
            <w:r w:rsidRPr="00A8550F">
              <w:t xml:space="preserve">to study Australian </w:t>
            </w:r>
            <w:r>
              <w:t>a</w:t>
            </w:r>
            <w:r w:rsidRPr="00A8550F">
              <w:t xml:space="preserve">erodrome </w:t>
            </w:r>
            <w:r>
              <w:t>r</w:t>
            </w:r>
            <w:r w:rsidRPr="00A8550F">
              <w:t xml:space="preserve">escue and </w:t>
            </w:r>
            <w:r>
              <w:t>f</w:t>
            </w:r>
            <w:r w:rsidRPr="00A8550F">
              <w:t xml:space="preserve">irefighting </w:t>
            </w:r>
            <w:r>
              <w:t>s</w:t>
            </w:r>
            <w:r w:rsidRPr="00A8550F">
              <w:t xml:space="preserve">ervices, </w:t>
            </w:r>
            <w:r>
              <w:t xml:space="preserve">which </w:t>
            </w:r>
            <w:r w:rsidRPr="00A8550F">
              <w:t xml:space="preserve">influenced the development of Indonesia’s first </w:t>
            </w:r>
            <w:r>
              <w:t>a</w:t>
            </w:r>
            <w:r w:rsidRPr="00A8550F">
              <w:t xml:space="preserve">irport </w:t>
            </w:r>
            <w:r>
              <w:t>e</w:t>
            </w:r>
            <w:r w:rsidRPr="00A8550F">
              <w:t xml:space="preserve">mergency </w:t>
            </w:r>
            <w:r>
              <w:t>e</w:t>
            </w:r>
            <w:r w:rsidRPr="00A8550F">
              <w:t xml:space="preserve">xercise </w:t>
            </w:r>
            <w:r>
              <w:t>m</w:t>
            </w:r>
            <w:r w:rsidRPr="00A8550F">
              <w:t xml:space="preserve">anual. </w:t>
            </w:r>
          </w:p>
          <w:p w14:paraId="08BA1ED1" w14:textId="77777777" w:rsidR="000F61DE" w:rsidRPr="00A8550F" w:rsidRDefault="000F61DE" w:rsidP="006E2310">
            <w:pPr>
              <w:rPr>
                <w:rFonts w:ascii="Arial Narrow" w:hAnsi="Arial Narrow" w:cs="Arial"/>
                <w:sz w:val="20"/>
              </w:rPr>
            </w:pPr>
            <w:r>
              <w:rPr>
                <w:rFonts w:ascii="Arial Narrow" w:hAnsi="Arial Narrow" w:cs="Arial"/>
                <w:sz w:val="20"/>
              </w:rPr>
              <w:t xml:space="preserve">CASA, CASA PNG and the IDGCA are </w:t>
            </w:r>
            <w:r w:rsidRPr="00A8550F">
              <w:rPr>
                <w:rFonts w:ascii="Arial Narrow" w:hAnsi="Arial Narrow" w:cs="Arial"/>
                <w:sz w:val="20"/>
              </w:rPr>
              <w:t>consider</w:t>
            </w:r>
            <w:r>
              <w:rPr>
                <w:rFonts w:ascii="Arial Narrow" w:hAnsi="Arial Narrow" w:cs="Arial"/>
                <w:sz w:val="20"/>
              </w:rPr>
              <w:t>ing</w:t>
            </w:r>
            <w:r w:rsidRPr="00A8550F">
              <w:rPr>
                <w:rFonts w:ascii="Arial Narrow" w:hAnsi="Arial Narrow" w:cs="Arial"/>
                <w:sz w:val="20"/>
              </w:rPr>
              <w:t xml:space="preserve"> additional training opportunities and placements for regulatory officers.</w:t>
            </w:r>
          </w:p>
          <w:p w14:paraId="673CDA51" w14:textId="77777777" w:rsidR="000F61DE" w:rsidRPr="00A8550F" w:rsidRDefault="000F61DE" w:rsidP="006E2310">
            <w:pPr>
              <w:rPr>
                <w:rFonts w:ascii="Arial Narrow" w:hAnsi="Arial Narrow" w:cs="Arial"/>
                <w:sz w:val="20"/>
              </w:rPr>
            </w:pPr>
            <w:r w:rsidRPr="00A8550F">
              <w:rPr>
                <w:rFonts w:ascii="Arial Narrow" w:hAnsi="Arial Narrow" w:cs="Arial"/>
                <w:sz w:val="20"/>
              </w:rPr>
              <w:t>CASA directly share</w:t>
            </w:r>
            <w:r>
              <w:rPr>
                <w:rFonts w:ascii="Arial Narrow" w:hAnsi="Arial Narrow" w:cs="Arial"/>
                <w:sz w:val="20"/>
              </w:rPr>
              <w:t>d</w:t>
            </w:r>
            <w:r w:rsidRPr="00A8550F">
              <w:rPr>
                <w:rFonts w:ascii="Arial Narrow" w:hAnsi="Arial Narrow" w:cs="Arial"/>
                <w:sz w:val="20"/>
              </w:rPr>
              <w:t xml:space="preserve"> information with CASA PNG to assist </w:t>
            </w:r>
            <w:r>
              <w:rPr>
                <w:rFonts w:ascii="Arial Narrow" w:hAnsi="Arial Narrow" w:cs="Arial"/>
                <w:sz w:val="20"/>
              </w:rPr>
              <w:t xml:space="preserve">PNG to </w:t>
            </w:r>
            <w:r w:rsidRPr="00A8550F">
              <w:rPr>
                <w:rFonts w:ascii="Arial Narrow" w:hAnsi="Arial Narrow" w:cs="Arial"/>
                <w:sz w:val="20"/>
              </w:rPr>
              <w:t>implement</w:t>
            </w:r>
            <w:r>
              <w:rPr>
                <w:rFonts w:ascii="Arial Narrow" w:hAnsi="Arial Narrow" w:cs="Arial"/>
                <w:sz w:val="20"/>
              </w:rPr>
              <w:t xml:space="preserve"> the findings of an</w:t>
            </w:r>
            <w:r w:rsidRPr="00A8550F">
              <w:rPr>
                <w:rFonts w:ascii="Arial Narrow" w:hAnsi="Arial Narrow" w:cs="Arial"/>
                <w:sz w:val="20"/>
              </w:rPr>
              <w:t xml:space="preserve"> ICAO</w:t>
            </w:r>
            <w:r>
              <w:rPr>
                <w:rFonts w:ascii="Arial Narrow" w:hAnsi="Arial Narrow" w:cs="Arial"/>
                <w:sz w:val="20"/>
              </w:rPr>
              <w:t xml:space="preserve"> coordinated validation mission (ICVM) under the Universal Safety Oversight Audit Programme</w:t>
            </w:r>
            <w:r w:rsidRPr="00A8550F">
              <w:rPr>
                <w:rFonts w:ascii="Arial Narrow" w:hAnsi="Arial Narrow" w:cs="Arial"/>
                <w:sz w:val="20"/>
              </w:rPr>
              <w:t xml:space="preserve">. </w:t>
            </w:r>
            <w:r>
              <w:rPr>
                <w:rFonts w:ascii="Arial Narrow" w:hAnsi="Arial Narrow" w:cs="Arial"/>
                <w:sz w:val="20"/>
              </w:rPr>
              <w:t xml:space="preserve">In </w:t>
            </w:r>
            <w:r w:rsidRPr="00A8550F">
              <w:rPr>
                <w:rFonts w:ascii="Arial Narrow" w:hAnsi="Arial Narrow" w:cs="Arial"/>
                <w:sz w:val="20"/>
              </w:rPr>
              <w:t>June 2018, CASA PNG scored an interim effective implementation score of 62.16</w:t>
            </w:r>
            <w:r w:rsidR="00B53390">
              <w:rPr>
                <w:rFonts w:ascii="Arial Narrow" w:hAnsi="Arial Narrow" w:cs="Arial"/>
                <w:sz w:val="20"/>
              </w:rPr>
              <w:t xml:space="preserve"> per cent</w:t>
            </w:r>
            <w:r>
              <w:rPr>
                <w:rFonts w:ascii="Arial Narrow" w:hAnsi="Arial Narrow" w:cs="Arial"/>
                <w:sz w:val="20"/>
              </w:rPr>
              <w:t>,</w:t>
            </w:r>
            <w:r w:rsidRPr="00A8550F">
              <w:rPr>
                <w:rFonts w:ascii="Arial Narrow" w:hAnsi="Arial Narrow" w:cs="Arial"/>
                <w:sz w:val="20"/>
              </w:rPr>
              <w:t xml:space="preserve"> which </w:t>
            </w:r>
            <w:r>
              <w:rPr>
                <w:rFonts w:ascii="Arial Narrow" w:hAnsi="Arial Narrow" w:cs="Arial"/>
                <w:sz w:val="20"/>
              </w:rPr>
              <w:t>was</w:t>
            </w:r>
            <w:r w:rsidRPr="00A8550F">
              <w:rPr>
                <w:rFonts w:ascii="Arial Narrow" w:hAnsi="Arial Narrow" w:cs="Arial"/>
                <w:sz w:val="20"/>
              </w:rPr>
              <w:t xml:space="preserve"> a significant improvement from its previous score of 50.41</w:t>
            </w:r>
            <w:r w:rsidR="00B53390">
              <w:rPr>
                <w:rFonts w:ascii="Arial Narrow" w:hAnsi="Arial Narrow" w:cs="Arial"/>
                <w:sz w:val="20"/>
              </w:rPr>
              <w:t xml:space="preserve"> per cent</w:t>
            </w:r>
            <w:r w:rsidRPr="00A8550F">
              <w:rPr>
                <w:rFonts w:ascii="Arial Narrow" w:hAnsi="Arial Narrow" w:cs="Arial"/>
                <w:sz w:val="20"/>
              </w:rPr>
              <w:t xml:space="preserve"> in 2013. </w:t>
            </w:r>
            <w:r>
              <w:rPr>
                <w:rFonts w:ascii="Arial Narrow" w:hAnsi="Arial Narrow" w:cs="Arial"/>
                <w:sz w:val="20"/>
              </w:rPr>
              <w:t>A</w:t>
            </w:r>
            <w:r w:rsidRPr="00A8550F">
              <w:rPr>
                <w:rFonts w:ascii="Arial Narrow" w:hAnsi="Arial Narrow" w:cs="Arial"/>
                <w:sz w:val="20"/>
              </w:rPr>
              <w:t xml:space="preserve"> CASA PNG senior executive </w:t>
            </w:r>
            <w:r>
              <w:rPr>
                <w:rFonts w:ascii="Arial Narrow" w:hAnsi="Arial Narrow" w:cs="Arial"/>
                <w:sz w:val="20"/>
              </w:rPr>
              <w:t xml:space="preserve">expressed appreciation for CASA’s support and partnership </w:t>
            </w:r>
            <w:r w:rsidRPr="00A8550F">
              <w:rPr>
                <w:rFonts w:ascii="Arial Narrow" w:hAnsi="Arial Narrow" w:cs="Arial"/>
                <w:sz w:val="20"/>
              </w:rPr>
              <w:t xml:space="preserve">at the PNG Regulator Symposium in March 2018. CASA and CASA PNG </w:t>
            </w:r>
            <w:r>
              <w:rPr>
                <w:rFonts w:ascii="Arial Narrow" w:hAnsi="Arial Narrow" w:cs="Arial"/>
                <w:sz w:val="20"/>
              </w:rPr>
              <w:t xml:space="preserve">also </w:t>
            </w:r>
            <w:r w:rsidRPr="00A8550F">
              <w:rPr>
                <w:rFonts w:ascii="Arial Narrow" w:hAnsi="Arial Narrow" w:cs="Arial"/>
                <w:sz w:val="20"/>
              </w:rPr>
              <w:t>continued</w:t>
            </w:r>
            <w:r>
              <w:rPr>
                <w:rFonts w:ascii="Arial Narrow" w:hAnsi="Arial Narrow" w:cs="Arial"/>
                <w:sz w:val="20"/>
              </w:rPr>
              <w:t xml:space="preserve"> to collaborate on other issues, such as</w:t>
            </w:r>
            <w:r w:rsidRPr="00A8550F">
              <w:rPr>
                <w:rFonts w:ascii="Arial Narrow" w:hAnsi="Arial Narrow" w:cs="Arial"/>
                <w:sz w:val="20"/>
              </w:rPr>
              <w:t xml:space="preserve"> sharing pilot licensing examination material and processes. </w:t>
            </w:r>
          </w:p>
          <w:p w14:paraId="24903D94" w14:textId="77777777" w:rsidR="000F61DE" w:rsidRPr="00A8550F" w:rsidRDefault="000F61DE" w:rsidP="006D761C">
            <w:pPr>
              <w:rPr>
                <w:rFonts w:ascii="Arial Narrow" w:hAnsi="Arial Narrow" w:cs="Arial"/>
                <w:sz w:val="20"/>
              </w:rPr>
            </w:pPr>
            <w:r>
              <w:rPr>
                <w:rFonts w:ascii="Arial Narrow" w:hAnsi="Arial Narrow" w:cs="Arial"/>
                <w:sz w:val="20"/>
              </w:rPr>
              <w:t>CASA’s</w:t>
            </w:r>
            <w:r w:rsidRPr="00A8550F">
              <w:rPr>
                <w:rFonts w:ascii="Arial Narrow" w:hAnsi="Arial Narrow" w:cs="Arial"/>
                <w:sz w:val="20"/>
              </w:rPr>
              <w:t xml:space="preserve"> ongoing engagement with the IDGCA saw </w:t>
            </w:r>
            <w:r>
              <w:rPr>
                <w:rFonts w:ascii="Arial Narrow" w:hAnsi="Arial Narrow" w:cs="Arial"/>
                <w:sz w:val="20"/>
              </w:rPr>
              <w:t>Indonesia</w:t>
            </w:r>
            <w:r w:rsidRPr="00A8550F">
              <w:rPr>
                <w:rFonts w:ascii="Arial Narrow" w:hAnsi="Arial Narrow" w:cs="Arial"/>
                <w:sz w:val="20"/>
              </w:rPr>
              <w:t xml:space="preserve"> increase its ICVM effective implementation score</w:t>
            </w:r>
            <w:r>
              <w:rPr>
                <w:rFonts w:ascii="Arial Narrow" w:hAnsi="Arial Narrow" w:cs="Arial"/>
                <w:sz w:val="20"/>
              </w:rPr>
              <w:t>,</w:t>
            </w:r>
            <w:r w:rsidRPr="00A8550F">
              <w:rPr>
                <w:rFonts w:ascii="Arial Narrow" w:hAnsi="Arial Narrow" w:cs="Arial"/>
                <w:sz w:val="20"/>
              </w:rPr>
              <w:t xml:space="preserve"> from 50.61</w:t>
            </w:r>
            <w:r w:rsidR="00B53390">
              <w:rPr>
                <w:rFonts w:ascii="Arial Narrow" w:hAnsi="Arial Narrow" w:cs="Arial"/>
                <w:sz w:val="20"/>
              </w:rPr>
              <w:t xml:space="preserve"> per cent</w:t>
            </w:r>
            <w:r w:rsidRPr="00A8550F">
              <w:rPr>
                <w:rFonts w:ascii="Arial Narrow" w:hAnsi="Arial Narrow" w:cs="Arial"/>
                <w:sz w:val="20"/>
              </w:rPr>
              <w:t xml:space="preserve"> in 2016 to 80.34</w:t>
            </w:r>
            <w:r w:rsidR="00B53390">
              <w:rPr>
                <w:rFonts w:ascii="Arial Narrow" w:hAnsi="Arial Narrow" w:cs="Arial"/>
                <w:sz w:val="20"/>
              </w:rPr>
              <w:t xml:space="preserve"> per cent</w:t>
            </w:r>
            <w:r w:rsidRPr="00A8550F">
              <w:rPr>
                <w:rFonts w:ascii="Arial Narrow" w:hAnsi="Arial Narrow" w:cs="Arial"/>
                <w:sz w:val="20"/>
              </w:rPr>
              <w:t xml:space="preserve"> in October 2017. During bilateral discussions at the Indonesia</w:t>
            </w:r>
            <w:r>
              <w:rPr>
                <w:rFonts w:ascii="Arial Narrow" w:hAnsi="Arial Narrow" w:cs="Arial"/>
                <w:sz w:val="20"/>
              </w:rPr>
              <w:t>–</w:t>
            </w:r>
            <w:r w:rsidRPr="00A8550F">
              <w:rPr>
                <w:rFonts w:ascii="Arial Narrow" w:hAnsi="Arial Narrow" w:cs="Arial"/>
                <w:sz w:val="20"/>
              </w:rPr>
              <w:t xml:space="preserve">Australia Transport Sector Forum in April 2018, Indonesian officials expressed gratitude for CASA’s level of partnership and contribution to the development of </w:t>
            </w:r>
            <w:r>
              <w:rPr>
                <w:rFonts w:ascii="Arial Narrow" w:hAnsi="Arial Narrow" w:cs="Arial"/>
                <w:sz w:val="20"/>
              </w:rPr>
              <w:t xml:space="preserve">the </w:t>
            </w:r>
            <w:r w:rsidR="00B91D5D">
              <w:rPr>
                <w:rFonts w:ascii="Arial Narrow" w:hAnsi="Arial Narrow" w:cs="Arial"/>
                <w:sz w:val="20"/>
              </w:rPr>
              <w:t>I</w:t>
            </w:r>
            <w:r>
              <w:rPr>
                <w:rFonts w:ascii="Arial Narrow" w:hAnsi="Arial Narrow" w:cs="Arial"/>
                <w:sz w:val="20"/>
              </w:rPr>
              <w:t>DGCA’s</w:t>
            </w:r>
            <w:r w:rsidRPr="00A8550F">
              <w:rPr>
                <w:rFonts w:ascii="Arial Narrow" w:hAnsi="Arial Narrow" w:cs="Arial"/>
                <w:sz w:val="20"/>
              </w:rPr>
              <w:t xml:space="preserve"> regulatory capacity. </w:t>
            </w:r>
          </w:p>
        </w:tc>
      </w:tr>
      <w:tr w:rsidR="000F61DE" w:rsidRPr="006C0823" w14:paraId="598FF0B1" w14:textId="77777777" w:rsidTr="00A86663">
        <w:tc>
          <w:tcPr>
            <w:tcW w:w="521" w:type="pct"/>
            <w:shd w:val="clear" w:color="auto" w:fill="D0CECE"/>
          </w:tcPr>
          <w:p w14:paraId="5C33DE61"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0CECE"/>
          </w:tcPr>
          <w:p w14:paraId="4CE71EA8" w14:textId="77777777" w:rsidR="000F61DE" w:rsidRPr="006C0823" w:rsidRDefault="000F61DE" w:rsidP="006E2310">
            <w:pPr>
              <w:pStyle w:val="TableText"/>
              <w:rPr>
                <w:rFonts w:eastAsia="Times New Roman"/>
              </w:rPr>
            </w:pPr>
            <w:r>
              <w:rPr>
                <w:rFonts w:cs="Arial"/>
              </w:rPr>
              <w:t>M</w:t>
            </w:r>
            <w:r w:rsidRPr="00FE20DF">
              <w:rPr>
                <w:rFonts w:cs="Arial"/>
              </w:rPr>
              <w:t>aintain active engagement with Asia Pacific regulatory counterparts, including through our role as technical advisor to the Departmental Australian Council Representative to the Pacific Aviation Safety Office (PASO)</w:t>
            </w:r>
          </w:p>
        </w:tc>
      </w:tr>
      <w:tr w:rsidR="000F61DE" w:rsidRPr="006C0823" w14:paraId="62C49E55" w14:textId="77777777" w:rsidTr="00A86663">
        <w:tc>
          <w:tcPr>
            <w:tcW w:w="521" w:type="pct"/>
          </w:tcPr>
          <w:p w14:paraId="02119218" w14:textId="77777777" w:rsidR="000F61DE" w:rsidRPr="006C0823" w:rsidRDefault="000F61DE" w:rsidP="006E2310">
            <w:pPr>
              <w:pStyle w:val="TableHeading"/>
              <w:keepNext w:val="0"/>
              <w:rPr>
                <w:rFonts w:eastAsia="Times New Roman"/>
              </w:rPr>
            </w:pPr>
            <w:r w:rsidRPr="006C0823">
              <w:rPr>
                <w:rFonts w:eastAsia="Times New Roman"/>
              </w:rPr>
              <w:t>Result</w:t>
            </w:r>
          </w:p>
          <w:p w14:paraId="771E4362"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5F0C0E4C" w14:textId="77777777" w:rsidR="000F61DE" w:rsidRDefault="000F61DE" w:rsidP="006E2310">
            <w:pPr>
              <w:pStyle w:val="TableText"/>
              <w:rPr>
                <w:rFonts w:cs="Arial"/>
              </w:rPr>
            </w:pPr>
            <w:r w:rsidRPr="00762280">
              <w:rPr>
                <w:rFonts w:cs="Arial"/>
              </w:rPr>
              <w:t xml:space="preserve">CASA attended three PASO meetings (a </w:t>
            </w:r>
            <w:r>
              <w:rPr>
                <w:rFonts w:cs="Arial"/>
              </w:rPr>
              <w:t>c</w:t>
            </w:r>
            <w:r w:rsidRPr="00762280">
              <w:rPr>
                <w:rFonts w:cs="Arial"/>
              </w:rPr>
              <w:t xml:space="preserve">ouncil </w:t>
            </w:r>
            <w:r>
              <w:rPr>
                <w:rFonts w:cs="Arial"/>
              </w:rPr>
              <w:t>m</w:t>
            </w:r>
            <w:r w:rsidRPr="00762280">
              <w:rPr>
                <w:rFonts w:cs="Arial"/>
              </w:rPr>
              <w:t xml:space="preserve">eeting, </w:t>
            </w:r>
            <w:r>
              <w:rPr>
                <w:rFonts w:cs="Arial"/>
              </w:rPr>
              <w:t>the a</w:t>
            </w:r>
            <w:r w:rsidRPr="00762280">
              <w:rPr>
                <w:rFonts w:cs="Arial"/>
              </w:rPr>
              <w:t xml:space="preserve">nnual </w:t>
            </w:r>
            <w:r>
              <w:rPr>
                <w:rFonts w:cs="Arial"/>
              </w:rPr>
              <w:t>g</w:t>
            </w:r>
            <w:r w:rsidRPr="00762280">
              <w:rPr>
                <w:rFonts w:cs="Arial"/>
              </w:rPr>
              <w:t xml:space="preserve">eneral </w:t>
            </w:r>
            <w:r>
              <w:rPr>
                <w:rFonts w:cs="Arial"/>
              </w:rPr>
              <w:t>m</w:t>
            </w:r>
            <w:r w:rsidRPr="00762280">
              <w:rPr>
                <w:rFonts w:cs="Arial"/>
              </w:rPr>
              <w:t xml:space="preserve">eeting and </w:t>
            </w:r>
            <w:r>
              <w:rPr>
                <w:rFonts w:cs="Arial"/>
              </w:rPr>
              <w:t>a s</w:t>
            </w:r>
            <w:r w:rsidRPr="00762280">
              <w:rPr>
                <w:rFonts w:cs="Arial"/>
              </w:rPr>
              <w:t xml:space="preserve">pecial </w:t>
            </w:r>
            <w:r>
              <w:rPr>
                <w:rFonts w:cs="Arial"/>
              </w:rPr>
              <w:t>c</w:t>
            </w:r>
            <w:r w:rsidRPr="00762280">
              <w:rPr>
                <w:rFonts w:cs="Arial"/>
              </w:rPr>
              <w:t xml:space="preserve">ouncil </w:t>
            </w:r>
            <w:r>
              <w:rPr>
                <w:rFonts w:cs="Arial"/>
              </w:rPr>
              <w:t>m</w:t>
            </w:r>
            <w:r w:rsidRPr="00762280">
              <w:rPr>
                <w:rFonts w:cs="Arial"/>
              </w:rPr>
              <w:t xml:space="preserve">eeting) in the capacity of technical advisor to the </w:t>
            </w:r>
            <w:r>
              <w:rPr>
                <w:rFonts w:cs="Arial"/>
              </w:rPr>
              <w:t xml:space="preserve">Departmental </w:t>
            </w:r>
            <w:r w:rsidRPr="00762280">
              <w:rPr>
                <w:rFonts w:cs="Arial"/>
              </w:rPr>
              <w:t xml:space="preserve">Australian </w:t>
            </w:r>
            <w:r>
              <w:rPr>
                <w:rFonts w:cs="Arial"/>
              </w:rPr>
              <w:t>Council</w:t>
            </w:r>
            <w:r w:rsidRPr="00762280">
              <w:rPr>
                <w:rFonts w:cs="Arial"/>
              </w:rPr>
              <w:t xml:space="preserve"> </w:t>
            </w:r>
            <w:r>
              <w:rPr>
                <w:rFonts w:cs="Arial"/>
              </w:rPr>
              <w:t>R</w:t>
            </w:r>
            <w:r w:rsidRPr="00762280">
              <w:rPr>
                <w:rFonts w:cs="Arial"/>
              </w:rPr>
              <w:t xml:space="preserve">epresentative. </w:t>
            </w:r>
          </w:p>
          <w:p w14:paraId="6C8D6893" w14:textId="77777777" w:rsidR="000F61DE" w:rsidRDefault="000F61DE" w:rsidP="006E2310">
            <w:pPr>
              <w:pStyle w:val="TableText"/>
              <w:rPr>
                <w:rFonts w:cs="Arial"/>
              </w:rPr>
            </w:pPr>
            <w:r w:rsidRPr="00762280">
              <w:rPr>
                <w:rFonts w:cs="Arial"/>
              </w:rPr>
              <w:t xml:space="preserve">The PASO forum provides a valuable opportunity </w:t>
            </w:r>
            <w:r>
              <w:rPr>
                <w:rFonts w:cs="Arial"/>
              </w:rPr>
              <w:t xml:space="preserve">for CASA </w:t>
            </w:r>
            <w:r w:rsidRPr="00762280">
              <w:rPr>
                <w:rFonts w:cs="Arial"/>
              </w:rPr>
              <w:t xml:space="preserve">to engage with Pacific </w:t>
            </w:r>
            <w:r>
              <w:rPr>
                <w:rFonts w:cs="Arial"/>
              </w:rPr>
              <w:t>i</w:t>
            </w:r>
            <w:r w:rsidRPr="00762280">
              <w:rPr>
                <w:rFonts w:cs="Arial"/>
              </w:rPr>
              <w:t xml:space="preserve">sland counterparts and a vital channel </w:t>
            </w:r>
            <w:r>
              <w:rPr>
                <w:rFonts w:cs="Arial"/>
              </w:rPr>
              <w:t>for</w:t>
            </w:r>
            <w:r w:rsidRPr="00762280">
              <w:rPr>
                <w:rFonts w:cs="Arial"/>
              </w:rPr>
              <w:t xml:space="preserve"> regulatory cooperation and Australia’s leadership on aviation regulatory and policy matters in the region. The Australian delegation advised PASO members on governance issues, organisational reform, forward strategy and financial management. CASA commenced discussions on a working arrangement with PASO</w:t>
            </w:r>
            <w:r>
              <w:rPr>
                <w:rFonts w:cs="Arial"/>
              </w:rPr>
              <w:t>, to</w:t>
            </w:r>
            <w:r w:rsidRPr="00762280">
              <w:rPr>
                <w:rFonts w:cs="Arial"/>
              </w:rPr>
              <w:t xml:space="preserve"> reaffirm Australia’s commitment to the region, with a view to finalising the arrangement in 2018</w:t>
            </w:r>
            <w:r>
              <w:rPr>
                <w:rFonts w:cs="Arial"/>
              </w:rPr>
              <w:t>–</w:t>
            </w:r>
            <w:r w:rsidRPr="00762280">
              <w:rPr>
                <w:rFonts w:cs="Arial"/>
              </w:rPr>
              <w:t xml:space="preserve">19. </w:t>
            </w:r>
          </w:p>
          <w:p w14:paraId="07F1CFFC" w14:textId="77777777" w:rsidR="000F61DE" w:rsidRPr="006C0823" w:rsidRDefault="000F61DE" w:rsidP="006E2310">
            <w:pPr>
              <w:pStyle w:val="TableText"/>
              <w:rPr>
                <w:rFonts w:eastAsia="Times New Roman"/>
              </w:rPr>
            </w:pPr>
            <w:r w:rsidRPr="00762280">
              <w:rPr>
                <w:rFonts w:cs="Arial"/>
              </w:rPr>
              <w:t xml:space="preserve">CASA and the </w:t>
            </w:r>
            <w:r w:rsidRPr="00CA3119">
              <w:rPr>
                <w:rFonts w:cs="Arial"/>
              </w:rPr>
              <w:t>Department of Infrastructure, Regional Development and Cities</w:t>
            </w:r>
            <w:r w:rsidRPr="00762280">
              <w:rPr>
                <w:rFonts w:cs="Arial"/>
              </w:rPr>
              <w:t xml:space="preserve"> continue to champion Pacific issues in wider forums and enhanc</w:t>
            </w:r>
            <w:r>
              <w:rPr>
                <w:rFonts w:cs="Arial"/>
              </w:rPr>
              <w:t>e</w:t>
            </w:r>
            <w:r w:rsidRPr="00762280">
              <w:rPr>
                <w:rFonts w:cs="Arial"/>
              </w:rPr>
              <w:t xml:space="preserve"> linkages with ICAO</w:t>
            </w:r>
            <w:r>
              <w:rPr>
                <w:rFonts w:cs="Arial"/>
              </w:rPr>
              <w:t>,</w:t>
            </w:r>
            <w:r w:rsidRPr="00762280">
              <w:rPr>
                <w:rFonts w:cs="Arial"/>
              </w:rPr>
              <w:t xml:space="preserve"> such the Global Aviation Safety Oversight Systems initiative</w:t>
            </w:r>
            <w:r>
              <w:rPr>
                <w:rFonts w:cs="Arial"/>
              </w:rPr>
              <w:t>,</w:t>
            </w:r>
            <w:r w:rsidRPr="00762280">
              <w:rPr>
                <w:rFonts w:cs="Arial"/>
              </w:rPr>
              <w:t xml:space="preserve"> which is favourably perceived by the 10 Pacific </w:t>
            </w:r>
            <w:r>
              <w:rPr>
                <w:rFonts w:cs="Arial"/>
              </w:rPr>
              <w:t>i</w:t>
            </w:r>
            <w:r w:rsidRPr="00762280">
              <w:rPr>
                <w:rFonts w:cs="Arial"/>
              </w:rPr>
              <w:t xml:space="preserve">sland </w:t>
            </w:r>
            <w:r w:rsidR="00DB3C7F">
              <w:rPr>
                <w:rFonts w:cs="Arial"/>
              </w:rPr>
              <w:t>M</w:t>
            </w:r>
            <w:r w:rsidRPr="00762280">
              <w:rPr>
                <w:rFonts w:cs="Arial"/>
              </w:rPr>
              <w:t>ember States.</w:t>
            </w:r>
          </w:p>
        </w:tc>
      </w:tr>
      <w:tr w:rsidR="000F61DE" w:rsidRPr="006C0823" w14:paraId="514A5E16" w14:textId="77777777" w:rsidTr="00A86663">
        <w:tc>
          <w:tcPr>
            <w:tcW w:w="521" w:type="pct"/>
            <w:shd w:val="clear" w:color="auto" w:fill="D0CECE"/>
          </w:tcPr>
          <w:p w14:paraId="2BFB0E07" w14:textId="77777777" w:rsidR="000F61DE" w:rsidRPr="006C0823" w:rsidRDefault="000F61DE" w:rsidP="006E2310">
            <w:pPr>
              <w:pStyle w:val="TableHeading"/>
              <w:rPr>
                <w:rFonts w:eastAsia="Times New Roman"/>
              </w:rPr>
            </w:pPr>
            <w:r w:rsidRPr="006C0823">
              <w:rPr>
                <w:rFonts w:eastAsia="Times New Roman"/>
              </w:rPr>
              <w:lastRenderedPageBreak/>
              <w:t>Measure</w:t>
            </w:r>
          </w:p>
        </w:tc>
        <w:tc>
          <w:tcPr>
            <w:tcW w:w="4479" w:type="pct"/>
            <w:shd w:val="clear" w:color="auto" w:fill="D0CECE"/>
          </w:tcPr>
          <w:p w14:paraId="5955F2A4" w14:textId="77777777" w:rsidR="000F61DE" w:rsidRPr="006C0823" w:rsidRDefault="000F61DE" w:rsidP="006E2310">
            <w:pPr>
              <w:pStyle w:val="TableText"/>
              <w:rPr>
                <w:rFonts w:eastAsia="Times New Roman"/>
              </w:rPr>
            </w:pPr>
            <w:r>
              <w:rPr>
                <w:rFonts w:cs="Arial"/>
              </w:rPr>
              <w:t>R</w:t>
            </w:r>
            <w:r w:rsidRPr="00FE20DF">
              <w:rPr>
                <w:rFonts w:cs="Arial"/>
              </w:rPr>
              <w:t>eview and establish formal bilateral arrangements with counterpart agencies</w:t>
            </w:r>
            <w:r>
              <w:rPr>
                <w:rFonts w:cs="Arial"/>
              </w:rPr>
              <w:t xml:space="preserve"> that recognise mutual safety outcomes</w:t>
            </w:r>
            <w:r w:rsidRPr="00FE20DF">
              <w:rPr>
                <w:rFonts w:cs="Arial"/>
              </w:rPr>
              <w:t xml:space="preserve"> to reduce regulatory duplication and costs to Australian industry</w:t>
            </w:r>
          </w:p>
        </w:tc>
      </w:tr>
      <w:tr w:rsidR="000F61DE" w:rsidRPr="006C0823" w14:paraId="5FFC99E4" w14:textId="77777777" w:rsidTr="00A86663">
        <w:tc>
          <w:tcPr>
            <w:tcW w:w="521" w:type="pct"/>
          </w:tcPr>
          <w:p w14:paraId="2D084A09" w14:textId="77777777" w:rsidR="000F61DE" w:rsidRPr="006C0823" w:rsidRDefault="000F61DE" w:rsidP="006E2310">
            <w:pPr>
              <w:pStyle w:val="TableHeading"/>
              <w:keepNext w:val="0"/>
              <w:rPr>
                <w:rFonts w:eastAsia="Times New Roman"/>
              </w:rPr>
            </w:pPr>
            <w:r w:rsidRPr="006C0823">
              <w:rPr>
                <w:rFonts w:eastAsia="Times New Roman"/>
              </w:rPr>
              <w:t>Result</w:t>
            </w:r>
          </w:p>
          <w:p w14:paraId="320CFF28"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37A56ABD" w14:textId="77777777" w:rsidR="000F61DE" w:rsidRPr="006C0823" w:rsidRDefault="000F61DE" w:rsidP="006E2310">
            <w:pPr>
              <w:pStyle w:val="TableText"/>
              <w:rPr>
                <w:rFonts w:eastAsia="Times New Roman"/>
              </w:rPr>
            </w:pPr>
            <w:r w:rsidRPr="00762280">
              <w:rPr>
                <w:rFonts w:cs="Arial"/>
              </w:rPr>
              <w:t>CASA</w:t>
            </w:r>
            <w:r>
              <w:rPr>
                <w:rFonts w:cs="Arial"/>
              </w:rPr>
              <w:t xml:space="preserve"> mapped its </w:t>
            </w:r>
            <w:r w:rsidRPr="00762280">
              <w:rPr>
                <w:rFonts w:cs="Arial"/>
              </w:rPr>
              <w:t>suite of bilateral arrangements and initiated meetings with stakeholders to review, update and improve various arrangements which are a strategic priority for CASA. CASA entered into the first trilateral arrangement of its kind between CASA, CAA NZ and Transport Canada on information sharing and regulatory cooperation. Policy and implementation discussions are continuing between CASA and CAA NZ on mutual recognition of private pilot licences and Class 2 medical certificates, which will streamline regulatory requirements and industry costs across the two jurisdictions.</w:t>
            </w:r>
          </w:p>
        </w:tc>
      </w:tr>
      <w:tr w:rsidR="000F61DE" w:rsidRPr="006C0823" w14:paraId="66F67C7D" w14:textId="77777777" w:rsidTr="00A86663">
        <w:tc>
          <w:tcPr>
            <w:tcW w:w="521" w:type="pct"/>
            <w:shd w:val="clear" w:color="auto" w:fill="E7E6E6"/>
          </w:tcPr>
          <w:p w14:paraId="78A8B9BC"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E7E6E6"/>
          </w:tcPr>
          <w:p w14:paraId="7BEA4F70" w14:textId="77777777" w:rsidR="000F61DE" w:rsidRPr="006C0823" w:rsidRDefault="000F61DE" w:rsidP="006E2310">
            <w:pPr>
              <w:pStyle w:val="TableText"/>
              <w:rPr>
                <w:rFonts w:eastAsia="Times New Roman"/>
              </w:rPr>
            </w:pPr>
            <w:r>
              <w:rPr>
                <w:rFonts w:cs="Arial"/>
              </w:rPr>
              <w:t>Contribute to</w:t>
            </w:r>
            <w:r w:rsidRPr="00FE20DF">
              <w:rPr>
                <w:rFonts w:cs="Arial"/>
              </w:rPr>
              <w:t xml:space="preserve"> International Civil Aviation Organization (ICAO) aviation safety and technical groups as appropriate</w:t>
            </w:r>
            <w:r>
              <w:rPr>
                <w:rFonts w:cs="Arial"/>
              </w:rPr>
              <w:t xml:space="preserve"> to maintain Australia’s standing as a state of chief importance in ICAO, shape the direction of global aviation standards, and inform CASA of best practice</w:t>
            </w:r>
          </w:p>
        </w:tc>
      </w:tr>
      <w:tr w:rsidR="000F61DE" w:rsidRPr="006C0823" w14:paraId="1555E594" w14:textId="77777777" w:rsidTr="00A86663">
        <w:tc>
          <w:tcPr>
            <w:tcW w:w="521" w:type="pct"/>
          </w:tcPr>
          <w:p w14:paraId="1912AA8B" w14:textId="77777777" w:rsidR="000F61DE" w:rsidRPr="006C0823" w:rsidRDefault="000F61DE" w:rsidP="006E2310">
            <w:pPr>
              <w:pStyle w:val="TableHeading"/>
              <w:keepNext w:val="0"/>
              <w:rPr>
                <w:rFonts w:eastAsia="Times New Roman"/>
              </w:rPr>
            </w:pPr>
            <w:r w:rsidRPr="006C0823">
              <w:rPr>
                <w:rFonts w:eastAsia="Times New Roman"/>
              </w:rPr>
              <w:t>Result</w:t>
            </w:r>
          </w:p>
          <w:p w14:paraId="7C2555E2"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3F5CB291" w14:textId="77777777" w:rsidR="000F61DE" w:rsidRPr="00CA3119" w:rsidRDefault="000F61DE" w:rsidP="006E2310">
            <w:pPr>
              <w:rPr>
                <w:rFonts w:ascii="Arial Narrow" w:hAnsi="Arial Narrow" w:cs="Arial"/>
                <w:sz w:val="20"/>
              </w:rPr>
            </w:pPr>
            <w:r w:rsidRPr="005575E1">
              <w:rPr>
                <w:rFonts w:ascii="Arial Narrow" w:hAnsi="Arial Narrow" w:cs="Arial"/>
                <w:sz w:val="20"/>
              </w:rPr>
              <w:t>CASA, Airservices Australia and the</w:t>
            </w:r>
            <w:r w:rsidRPr="005575E1">
              <w:rPr>
                <w:rFonts w:ascii="Arial Narrow" w:hAnsi="Arial Narrow" w:cs="Arial"/>
              </w:rPr>
              <w:t xml:space="preserve"> </w:t>
            </w:r>
            <w:r w:rsidRPr="005575E1">
              <w:rPr>
                <w:rFonts w:ascii="Arial Narrow" w:hAnsi="Arial Narrow" w:cs="Arial"/>
                <w:sz w:val="20"/>
              </w:rPr>
              <w:t>Department of Infrastructure, Regional Development and Cities</w:t>
            </w:r>
            <w:r w:rsidRPr="00CA3119">
              <w:rPr>
                <w:rFonts w:ascii="Arial Narrow" w:hAnsi="Arial Narrow" w:cs="Arial"/>
                <w:sz w:val="20"/>
              </w:rPr>
              <w:t xml:space="preserve"> reviewed government resourcing </w:t>
            </w:r>
            <w:r>
              <w:rPr>
                <w:rFonts w:ascii="Arial Narrow" w:hAnsi="Arial Narrow" w:cs="Arial"/>
                <w:sz w:val="20"/>
              </w:rPr>
              <w:t xml:space="preserve">of Australian representation </w:t>
            </w:r>
            <w:r w:rsidRPr="00CA3119">
              <w:rPr>
                <w:rFonts w:ascii="Arial Narrow" w:hAnsi="Arial Narrow" w:cs="Arial"/>
                <w:sz w:val="20"/>
              </w:rPr>
              <w:t>at ICAO forums and developed an induction kit for Australian representatives</w:t>
            </w:r>
            <w:r>
              <w:rPr>
                <w:rFonts w:ascii="Arial Narrow" w:hAnsi="Arial Narrow" w:cs="Arial"/>
                <w:sz w:val="20"/>
              </w:rPr>
              <w:t>,</w:t>
            </w:r>
            <w:r w:rsidRPr="00CA3119">
              <w:rPr>
                <w:rFonts w:ascii="Arial Narrow" w:hAnsi="Arial Narrow" w:cs="Arial"/>
                <w:sz w:val="20"/>
              </w:rPr>
              <w:t xml:space="preserve"> to ensure </w:t>
            </w:r>
            <w:r>
              <w:rPr>
                <w:rFonts w:ascii="Arial Narrow" w:hAnsi="Arial Narrow" w:cs="Arial"/>
                <w:sz w:val="20"/>
              </w:rPr>
              <w:t xml:space="preserve">that </w:t>
            </w:r>
            <w:r w:rsidRPr="00CA3119">
              <w:rPr>
                <w:rFonts w:ascii="Arial Narrow" w:hAnsi="Arial Narrow" w:cs="Arial"/>
                <w:sz w:val="20"/>
              </w:rPr>
              <w:t>Australian messaging is coordinated and resource</w:t>
            </w:r>
            <w:r>
              <w:rPr>
                <w:rFonts w:ascii="Arial Narrow" w:hAnsi="Arial Narrow" w:cs="Arial"/>
                <w:sz w:val="20"/>
              </w:rPr>
              <w:t xml:space="preserve"> </w:t>
            </w:r>
            <w:r w:rsidRPr="00CA3119">
              <w:rPr>
                <w:rFonts w:ascii="Arial Narrow" w:hAnsi="Arial Narrow" w:cs="Arial"/>
                <w:sz w:val="20"/>
              </w:rPr>
              <w:t>efficient, particularly in the lead</w:t>
            </w:r>
            <w:r>
              <w:rPr>
                <w:rFonts w:ascii="Arial Narrow" w:hAnsi="Arial Narrow" w:cs="Arial"/>
                <w:sz w:val="20"/>
              </w:rPr>
              <w:t>-</w:t>
            </w:r>
            <w:r w:rsidRPr="00CA3119">
              <w:rPr>
                <w:rFonts w:ascii="Arial Narrow" w:hAnsi="Arial Narrow" w:cs="Arial"/>
                <w:sz w:val="20"/>
              </w:rPr>
              <w:t xml:space="preserve">up </w:t>
            </w:r>
            <w:r>
              <w:rPr>
                <w:rFonts w:ascii="Arial Narrow" w:hAnsi="Arial Narrow" w:cs="Arial"/>
                <w:sz w:val="20"/>
              </w:rPr>
              <w:t xml:space="preserve">to the </w:t>
            </w:r>
            <w:r w:rsidRPr="00CA3119">
              <w:rPr>
                <w:rFonts w:ascii="Arial Narrow" w:hAnsi="Arial Narrow" w:cs="Arial"/>
                <w:sz w:val="20"/>
              </w:rPr>
              <w:t>ICAO Council elections</w:t>
            </w:r>
            <w:r>
              <w:rPr>
                <w:rFonts w:ascii="Arial Narrow" w:hAnsi="Arial Narrow" w:cs="Arial"/>
                <w:sz w:val="20"/>
              </w:rPr>
              <w:t xml:space="preserve"> to be held</w:t>
            </w:r>
            <w:r w:rsidRPr="00CA3119">
              <w:rPr>
                <w:rFonts w:ascii="Arial Narrow" w:hAnsi="Arial Narrow" w:cs="Arial"/>
                <w:sz w:val="20"/>
              </w:rPr>
              <w:t xml:space="preserve"> in 2019. A training day </w:t>
            </w:r>
            <w:r>
              <w:rPr>
                <w:rFonts w:ascii="Arial Narrow" w:hAnsi="Arial Narrow" w:cs="Arial"/>
                <w:sz w:val="20"/>
              </w:rPr>
              <w:t xml:space="preserve">for Australian Government officials who participate in ICAO forums </w:t>
            </w:r>
            <w:r w:rsidRPr="00CA3119">
              <w:rPr>
                <w:rFonts w:ascii="Arial Narrow" w:hAnsi="Arial Narrow" w:cs="Arial"/>
                <w:sz w:val="20"/>
              </w:rPr>
              <w:t xml:space="preserve">was held at the Department of Infrastructure, Regional Development and Cities in April 2018. Collaboration among the </w:t>
            </w:r>
            <w:r>
              <w:rPr>
                <w:rFonts w:ascii="Arial Narrow" w:hAnsi="Arial Narrow" w:cs="Arial"/>
                <w:sz w:val="20"/>
              </w:rPr>
              <w:t>three</w:t>
            </w:r>
            <w:r w:rsidRPr="00CA3119">
              <w:rPr>
                <w:rFonts w:ascii="Arial Narrow" w:hAnsi="Arial Narrow" w:cs="Arial"/>
                <w:sz w:val="20"/>
              </w:rPr>
              <w:t xml:space="preserve"> agencies is </w:t>
            </w:r>
            <w:r>
              <w:rPr>
                <w:rFonts w:ascii="Arial Narrow" w:hAnsi="Arial Narrow" w:cs="Arial"/>
                <w:sz w:val="20"/>
              </w:rPr>
              <w:t>also refining</w:t>
            </w:r>
            <w:r w:rsidRPr="00CA3119">
              <w:rPr>
                <w:rFonts w:ascii="Arial Narrow" w:hAnsi="Arial Narrow" w:cs="Arial"/>
                <w:sz w:val="20"/>
              </w:rPr>
              <w:t xml:space="preserve"> Australia’s ICAO Council re-election strategy and policy positions in the lead</w:t>
            </w:r>
            <w:r>
              <w:rPr>
                <w:rFonts w:ascii="Arial Narrow" w:hAnsi="Arial Narrow" w:cs="Arial"/>
                <w:sz w:val="20"/>
              </w:rPr>
              <w:t>-</w:t>
            </w:r>
            <w:r w:rsidRPr="00CA3119">
              <w:rPr>
                <w:rFonts w:ascii="Arial Narrow" w:hAnsi="Arial Narrow" w:cs="Arial"/>
                <w:sz w:val="20"/>
              </w:rPr>
              <w:t>up to the 13</w:t>
            </w:r>
            <w:r w:rsidRPr="00480026">
              <w:rPr>
                <w:rFonts w:ascii="Arial Narrow" w:hAnsi="Arial Narrow" w:cs="Arial"/>
                <w:sz w:val="20"/>
              </w:rPr>
              <w:t>th</w:t>
            </w:r>
            <w:r w:rsidRPr="00CA3119">
              <w:rPr>
                <w:rFonts w:ascii="Arial Narrow" w:hAnsi="Arial Narrow" w:cs="Arial"/>
                <w:sz w:val="20"/>
              </w:rPr>
              <w:t xml:space="preserve"> Air Navigation Conference</w:t>
            </w:r>
            <w:r>
              <w:rPr>
                <w:rFonts w:ascii="Arial Narrow" w:hAnsi="Arial Narrow" w:cs="Arial"/>
                <w:sz w:val="20"/>
              </w:rPr>
              <w:t>, to be held</w:t>
            </w:r>
            <w:r w:rsidRPr="00CA3119">
              <w:rPr>
                <w:rFonts w:ascii="Arial Narrow" w:hAnsi="Arial Narrow" w:cs="Arial"/>
                <w:sz w:val="20"/>
              </w:rPr>
              <w:t xml:space="preserve"> in October 2018. </w:t>
            </w:r>
            <w:r w:rsidR="007900BE">
              <w:rPr>
                <w:rFonts w:ascii="Arial Narrow" w:hAnsi="Arial Narrow" w:cs="Arial"/>
                <w:sz w:val="20"/>
              </w:rPr>
              <w:t>W</w:t>
            </w:r>
            <w:r w:rsidR="007900BE" w:rsidRPr="00CA3119">
              <w:rPr>
                <w:rFonts w:ascii="Arial Narrow" w:hAnsi="Arial Narrow" w:cs="Arial"/>
                <w:sz w:val="20"/>
              </w:rPr>
              <w:t>here possible</w:t>
            </w:r>
            <w:r w:rsidR="007900BE">
              <w:rPr>
                <w:rFonts w:ascii="Arial Narrow" w:hAnsi="Arial Narrow" w:cs="Arial"/>
                <w:sz w:val="20"/>
              </w:rPr>
              <w:t>,</w:t>
            </w:r>
            <w:r w:rsidR="007900BE" w:rsidRPr="00CA3119">
              <w:rPr>
                <w:rFonts w:ascii="Arial Narrow" w:hAnsi="Arial Narrow" w:cs="Arial"/>
                <w:sz w:val="20"/>
              </w:rPr>
              <w:t xml:space="preserve"> </w:t>
            </w:r>
            <w:r w:rsidRPr="00CA3119">
              <w:rPr>
                <w:rFonts w:ascii="Arial Narrow" w:hAnsi="Arial Narrow" w:cs="Arial"/>
                <w:sz w:val="20"/>
              </w:rPr>
              <w:t>CASA continues to support ICAO’s resourcing requests for coordinated action team missions.</w:t>
            </w:r>
          </w:p>
          <w:p w14:paraId="623B3B11" w14:textId="77777777" w:rsidR="000F61DE" w:rsidRPr="006C0823" w:rsidRDefault="000F61DE" w:rsidP="00792EEF">
            <w:pPr>
              <w:pStyle w:val="TableText"/>
              <w:rPr>
                <w:rFonts w:eastAsia="Times New Roman"/>
              </w:rPr>
            </w:pPr>
            <w:r w:rsidRPr="00CA3119">
              <w:rPr>
                <w:rFonts w:cs="Arial"/>
              </w:rPr>
              <w:t xml:space="preserve">In response to the findings </w:t>
            </w:r>
            <w:r>
              <w:rPr>
                <w:rFonts w:cs="Arial"/>
              </w:rPr>
              <w:t>of an</w:t>
            </w:r>
            <w:r w:rsidRPr="00CA3119">
              <w:rPr>
                <w:rFonts w:cs="Arial"/>
              </w:rPr>
              <w:t xml:space="preserve"> ICAO </w:t>
            </w:r>
            <w:r>
              <w:rPr>
                <w:rFonts w:cs="Arial"/>
              </w:rPr>
              <w:t>c</w:t>
            </w:r>
            <w:r w:rsidRPr="00CA3119">
              <w:rPr>
                <w:rFonts w:cs="Arial"/>
              </w:rPr>
              <w:t xml:space="preserve">oordinated </w:t>
            </w:r>
            <w:r>
              <w:rPr>
                <w:rFonts w:cs="Arial"/>
              </w:rPr>
              <w:t>v</w:t>
            </w:r>
            <w:r w:rsidRPr="00CA3119">
              <w:rPr>
                <w:rFonts w:cs="Arial"/>
              </w:rPr>
              <w:t xml:space="preserve">alidation </w:t>
            </w:r>
            <w:r>
              <w:rPr>
                <w:rFonts w:cs="Arial"/>
              </w:rPr>
              <w:t>m</w:t>
            </w:r>
            <w:r w:rsidRPr="00CA3119">
              <w:rPr>
                <w:rFonts w:cs="Arial"/>
              </w:rPr>
              <w:t>ission</w:t>
            </w:r>
            <w:r>
              <w:rPr>
                <w:rFonts w:cs="Arial"/>
              </w:rPr>
              <w:t xml:space="preserve"> </w:t>
            </w:r>
            <w:r w:rsidR="009C14B6">
              <w:rPr>
                <w:rFonts w:cs="Arial"/>
              </w:rPr>
              <w:t xml:space="preserve">of Australia </w:t>
            </w:r>
            <w:r>
              <w:rPr>
                <w:rFonts w:cs="Arial"/>
              </w:rPr>
              <w:t>conducted</w:t>
            </w:r>
            <w:r w:rsidRPr="00CA3119">
              <w:rPr>
                <w:rFonts w:cs="Arial"/>
              </w:rPr>
              <w:t xml:space="preserve"> in late</w:t>
            </w:r>
            <w:r w:rsidR="00792EEF">
              <w:rPr>
                <w:rFonts w:cs="Arial"/>
              </w:rPr>
              <w:t xml:space="preserve"> </w:t>
            </w:r>
            <w:r w:rsidRPr="00CA3119">
              <w:rPr>
                <w:rFonts w:cs="Arial"/>
              </w:rPr>
              <w:t xml:space="preserve">2017, CASA contributed to revised </w:t>
            </w:r>
            <w:r>
              <w:rPr>
                <w:rFonts w:cs="Arial"/>
              </w:rPr>
              <w:t>M</w:t>
            </w:r>
            <w:r w:rsidR="00D137C5">
              <w:rPr>
                <w:rFonts w:cs="Arial"/>
              </w:rPr>
              <w:t>o</w:t>
            </w:r>
            <w:r>
              <w:rPr>
                <w:rFonts w:cs="Arial"/>
              </w:rPr>
              <w:t>Us</w:t>
            </w:r>
            <w:r w:rsidRPr="00CA3119">
              <w:rPr>
                <w:rFonts w:cs="Arial"/>
              </w:rPr>
              <w:t xml:space="preserve"> on whole-of-government policy settings and engagement in ICAO forums. A tripartite M</w:t>
            </w:r>
            <w:r w:rsidR="00D137C5" w:rsidRPr="00CA3119">
              <w:rPr>
                <w:rFonts w:cs="Arial"/>
              </w:rPr>
              <w:t>o</w:t>
            </w:r>
            <w:r w:rsidRPr="00CA3119">
              <w:rPr>
                <w:rFonts w:cs="Arial"/>
              </w:rPr>
              <w:t xml:space="preserve">U between the </w:t>
            </w:r>
            <w:r w:rsidR="00B32F59">
              <w:rPr>
                <w:rFonts w:cs="Arial"/>
              </w:rPr>
              <w:t>D</w:t>
            </w:r>
            <w:r w:rsidRPr="00CA3119">
              <w:rPr>
                <w:rFonts w:cs="Arial"/>
              </w:rPr>
              <w:t>epartment, CASA and Airservices and a</w:t>
            </w:r>
            <w:r w:rsidR="004B3C71">
              <w:rPr>
                <w:rFonts w:cs="Arial"/>
              </w:rPr>
              <w:t>n</w:t>
            </w:r>
            <w:r w:rsidRPr="00CA3119">
              <w:rPr>
                <w:rFonts w:cs="Arial"/>
              </w:rPr>
              <w:t xml:space="preserve"> M</w:t>
            </w:r>
            <w:r w:rsidR="00D137C5" w:rsidRPr="00CA3119">
              <w:rPr>
                <w:rFonts w:cs="Arial"/>
              </w:rPr>
              <w:t>o</w:t>
            </w:r>
            <w:r w:rsidRPr="00CA3119">
              <w:rPr>
                <w:rFonts w:cs="Arial"/>
              </w:rPr>
              <w:t xml:space="preserve">U encompassing all Australian Government agencies involved in aviation </w:t>
            </w:r>
            <w:r w:rsidR="00916CE0">
              <w:rPr>
                <w:rFonts w:cs="Arial"/>
              </w:rPr>
              <w:t>are</w:t>
            </w:r>
            <w:r w:rsidR="00792EEF" w:rsidRPr="00CA3119">
              <w:rPr>
                <w:rFonts w:cs="Arial"/>
              </w:rPr>
              <w:t xml:space="preserve"> </w:t>
            </w:r>
            <w:r w:rsidRPr="00CA3119">
              <w:rPr>
                <w:rFonts w:cs="Arial"/>
              </w:rPr>
              <w:t>under consideration, to be finalised in 2018–19. The M</w:t>
            </w:r>
            <w:r w:rsidR="00D137C5" w:rsidRPr="00CA3119">
              <w:rPr>
                <w:rFonts w:cs="Arial"/>
              </w:rPr>
              <w:t>o</w:t>
            </w:r>
            <w:r w:rsidRPr="00CA3119">
              <w:rPr>
                <w:rFonts w:cs="Arial"/>
              </w:rPr>
              <w:t>Us clarify several processes, roles and responsibilities between agencies.</w:t>
            </w:r>
          </w:p>
        </w:tc>
      </w:tr>
    </w:tbl>
    <w:p w14:paraId="1B550F8C" w14:textId="77777777" w:rsidR="00EE52B0" w:rsidRDefault="00EE52B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8077"/>
      </w:tblGrid>
      <w:tr w:rsidR="000F61DE" w:rsidRPr="006C0823" w14:paraId="7340DC07" w14:textId="77777777" w:rsidTr="00EE52B0">
        <w:trPr>
          <w:tblHeader/>
        </w:trPr>
        <w:tc>
          <w:tcPr>
            <w:tcW w:w="521" w:type="pct"/>
            <w:shd w:val="clear" w:color="auto" w:fill="B8CCE4"/>
          </w:tcPr>
          <w:p w14:paraId="29422ADA" w14:textId="77777777" w:rsidR="000F61DE" w:rsidRPr="006C0823" w:rsidRDefault="000F61DE" w:rsidP="006E2310">
            <w:pPr>
              <w:pStyle w:val="TableHeading"/>
              <w:rPr>
                <w:rFonts w:eastAsia="Times New Roman"/>
              </w:rPr>
            </w:pPr>
            <w:r w:rsidRPr="006C0823">
              <w:rPr>
                <w:rFonts w:eastAsia="Times New Roman"/>
              </w:rPr>
              <w:t>Initiative</w:t>
            </w:r>
          </w:p>
          <w:p w14:paraId="6A72C17D" w14:textId="77777777" w:rsidR="000F61DE" w:rsidRPr="006C0823" w:rsidRDefault="000F61DE" w:rsidP="006E2310">
            <w:pPr>
              <w:pStyle w:val="TableHeading"/>
              <w:rPr>
                <w:rFonts w:eastAsia="Times New Roman"/>
              </w:rPr>
            </w:pPr>
            <w:r w:rsidRPr="006C0823">
              <w:rPr>
                <w:rFonts w:eastAsia="Times New Roman"/>
              </w:rPr>
              <w:t>2.2</w:t>
            </w:r>
          </w:p>
        </w:tc>
        <w:tc>
          <w:tcPr>
            <w:tcW w:w="4479" w:type="pct"/>
            <w:shd w:val="clear" w:color="auto" w:fill="B8CCE4"/>
          </w:tcPr>
          <w:p w14:paraId="4F75BF83" w14:textId="77777777" w:rsidR="000F61DE" w:rsidRPr="00AA7009" w:rsidRDefault="000F61DE" w:rsidP="006E2310">
            <w:pPr>
              <w:pStyle w:val="TableText"/>
              <w:rPr>
                <w:rFonts w:eastAsia="Times New Roman"/>
              </w:rPr>
            </w:pPr>
            <w:r w:rsidRPr="00AA7009">
              <w:rPr>
                <w:b/>
              </w:rPr>
              <w:t>Work with partner organisations</w:t>
            </w:r>
          </w:p>
        </w:tc>
      </w:tr>
      <w:tr w:rsidR="000F61DE" w:rsidRPr="006C0823" w14:paraId="575D3D00" w14:textId="77777777" w:rsidTr="00A86663">
        <w:tc>
          <w:tcPr>
            <w:tcW w:w="521" w:type="pct"/>
            <w:shd w:val="clear" w:color="auto" w:fill="D9D9D9"/>
          </w:tcPr>
          <w:p w14:paraId="1A45F7C6"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9D9D9"/>
          </w:tcPr>
          <w:p w14:paraId="093F2AE5" w14:textId="77777777" w:rsidR="000F61DE" w:rsidRPr="006C0823" w:rsidRDefault="000F61DE" w:rsidP="006E2310">
            <w:pPr>
              <w:pStyle w:val="TableText"/>
              <w:rPr>
                <w:rFonts w:eastAsia="Times New Roman"/>
              </w:rPr>
            </w:pPr>
            <w:r>
              <w:rPr>
                <w:rFonts w:cs="Arial"/>
              </w:rPr>
              <w:t>C</w:t>
            </w:r>
            <w:r w:rsidRPr="00586E31">
              <w:rPr>
                <w:rFonts w:cs="Arial"/>
              </w:rPr>
              <w:t xml:space="preserve">ollaborate with local government organisations on local and national safety issues such as </w:t>
            </w:r>
            <w:r>
              <w:rPr>
                <w:rFonts w:cs="Arial"/>
              </w:rPr>
              <w:t>remotely piloted aircraft</w:t>
            </w:r>
            <w:r w:rsidRPr="00586E31">
              <w:rPr>
                <w:rFonts w:cs="Arial"/>
              </w:rPr>
              <w:t xml:space="preserve"> </w:t>
            </w:r>
            <w:r>
              <w:rPr>
                <w:rFonts w:cs="Arial"/>
              </w:rPr>
              <w:t xml:space="preserve">systems </w:t>
            </w:r>
            <w:r w:rsidRPr="00586E31">
              <w:rPr>
                <w:rFonts w:cs="Arial"/>
              </w:rPr>
              <w:t xml:space="preserve">and </w:t>
            </w:r>
            <w:r>
              <w:rPr>
                <w:rFonts w:cs="Arial"/>
              </w:rPr>
              <w:t>airport-related issues</w:t>
            </w:r>
          </w:p>
        </w:tc>
      </w:tr>
      <w:tr w:rsidR="000F61DE" w:rsidRPr="006C0823" w14:paraId="364E3E62" w14:textId="77777777" w:rsidTr="00A86663">
        <w:tc>
          <w:tcPr>
            <w:tcW w:w="521" w:type="pct"/>
          </w:tcPr>
          <w:p w14:paraId="2EFA107A" w14:textId="77777777" w:rsidR="000F61DE" w:rsidRPr="006C0823" w:rsidRDefault="000F61DE" w:rsidP="006E2310">
            <w:pPr>
              <w:pStyle w:val="TableHeading"/>
              <w:keepNext w:val="0"/>
              <w:rPr>
                <w:rFonts w:eastAsia="Times New Roman"/>
              </w:rPr>
            </w:pPr>
            <w:r w:rsidRPr="006C0823">
              <w:rPr>
                <w:rFonts w:eastAsia="Times New Roman"/>
              </w:rPr>
              <w:t>Result</w:t>
            </w:r>
          </w:p>
          <w:p w14:paraId="4A56EC3D"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03B1CACA" w14:textId="77777777" w:rsidR="000F61DE" w:rsidRPr="00CA3119" w:rsidRDefault="000F61DE" w:rsidP="006E2310">
            <w:pPr>
              <w:rPr>
                <w:rFonts w:ascii="Arial Narrow" w:hAnsi="Arial Narrow" w:cs="Arial"/>
                <w:sz w:val="20"/>
              </w:rPr>
            </w:pPr>
            <w:r w:rsidRPr="00CA3119">
              <w:rPr>
                <w:rFonts w:ascii="Arial Narrow" w:hAnsi="Arial Narrow"/>
                <w:sz w:val="20"/>
              </w:rPr>
              <w:t>CASA continue</w:t>
            </w:r>
            <w:r>
              <w:rPr>
                <w:rFonts w:ascii="Arial Narrow" w:hAnsi="Arial Narrow"/>
                <w:sz w:val="20"/>
              </w:rPr>
              <w:t>d</w:t>
            </w:r>
            <w:r w:rsidRPr="00CA3119">
              <w:rPr>
                <w:rFonts w:ascii="Arial Narrow" w:hAnsi="Arial Narrow"/>
                <w:sz w:val="20"/>
              </w:rPr>
              <w:t xml:space="preserve"> to work with state and local government agencies on a range of aviation safety matters as required, providing accurate and informative advice in a timely manner. For example, </w:t>
            </w:r>
            <w:r w:rsidRPr="00CA3119">
              <w:rPr>
                <w:rFonts w:ascii="Arial Narrow" w:hAnsi="Arial Narrow" w:cs="Arial"/>
                <w:sz w:val="20"/>
              </w:rPr>
              <w:t xml:space="preserve">a booklet </w:t>
            </w:r>
            <w:r>
              <w:rPr>
                <w:rFonts w:ascii="Arial Narrow" w:hAnsi="Arial Narrow" w:cs="Arial"/>
                <w:sz w:val="20"/>
              </w:rPr>
              <w:t>on safety management systems for</w:t>
            </w:r>
            <w:r w:rsidRPr="00CA3119">
              <w:rPr>
                <w:rFonts w:ascii="Arial Narrow" w:hAnsi="Arial Narrow" w:cs="Arial"/>
                <w:sz w:val="20"/>
              </w:rPr>
              <w:t xml:space="preserve"> small rural and regional aerodromes </w:t>
            </w:r>
            <w:r>
              <w:rPr>
                <w:rFonts w:ascii="Arial Narrow" w:hAnsi="Arial Narrow" w:cs="Arial"/>
                <w:sz w:val="20"/>
              </w:rPr>
              <w:t xml:space="preserve">(most of which are managed by local government) was added to </w:t>
            </w:r>
            <w:r w:rsidRPr="00CA3119">
              <w:rPr>
                <w:rFonts w:ascii="Arial Narrow" w:hAnsi="Arial Narrow" w:cs="Arial"/>
                <w:sz w:val="20"/>
              </w:rPr>
              <w:t xml:space="preserve">the </w:t>
            </w:r>
            <w:r w:rsidRPr="00CA3119">
              <w:rPr>
                <w:rFonts w:ascii="Arial Narrow" w:hAnsi="Arial Narrow" w:cs="Arial"/>
                <w:i/>
                <w:sz w:val="20"/>
              </w:rPr>
              <w:t xml:space="preserve">SMS for Aviation: A Practical Guide </w:t>
            </w:r>
            <w:r w:rsidRPr="00CA3119">
              <w:rPr>
                <w:rFonts w:ascii="Arial Narrow" w:hAnsi="Arial Narrow" w:cs="Arial"/>
                <w:sz w:val="20"/>
              </w:rPr>
              <w:t>kit in June 2018.</w:t>
            </w:r>
          </w:p>
          <w:p w14:paraId="56BD46B4" w14:textId="77777777" w:rsidR="000F61DE" w:rsidRPr="006C0823" w:rsidRDefault="000F61DE" w:rsidP="006E2310">
            <w:pPr>
              <w:pStyle w:val="TableText"/>
              <w:rPr>
                <w:rFonts w:eastAsia="Times New Roman"/>
              </w:rPr>
            </w:pPr>
            <w:r>
              <w:t>A</w:t>
            </w:r>
            <w:r w:rsidRPr="00CA3119">
              <w:t xml:space="preserve">t the </w:t>
            </w:r>
            <w:r>
              <w:t xml:space="preserve">2018 </w:t>
            </w:r>
            <w:r w:rsidRPr="00CA3119">
              <w:t>National General Assembly of Local Government</w:t>
            </w:r>
            <w:r>
              <w:t>, CASA held an exhibit</w:t>
            </w:r>
            <w:r w:rsidRPr="00CA3119">
              <w:t xml:space="preserve"> highlight</w:t>
            </w:r>
            <w:r>
              <w:t>ing the</w:t>
            </w:r>
            <w:r w:rsidRPr="00CA3119">
              <w:t xml:space="preserve"> role </w:t>
            </w:r>
            <w:r>
              <w:t xml:space="preserve">of local government </w:t>
            </w:r>
            <w:r w:rsidRPr="00CA3119">
              <w:t xml:space="preserve">in airport-related issues, such as planning and development and </w:t>
            </w:r>
            <w:r>
              <w:t>RPAS, and</w:t>
            </w:r>
            <w:r w:rsidRPr="00CA3119">
              <w:t xml:space="preserve"> sought </w:t>
            </w:r>
            <w:r>
              <w:t xml:space="preserve">feedback </w:t>
            </w:r>
            <w:r w:rsidRPr="00CA3119">
              <w:t>from local government on potential signage to support local initiatives to discourage drone use in restricted airspace.</w:t>
            </w:r>
          </w:p>
        </w:tc>
      </w:tr>
      <w:tr w:rsidR="000F61DE" w:rsidRPr="006C0823" w14:paraId="12F7B220" w14:textId="77777777" w:rsidTr="00A86663">
        <w:tc>
          <w:tcPr>
            <w:tcW w:w="521" w:type="pct"/>
            <w:shd w:val="clear" w:color="auto" w:fill="D9D9D9"/>
          </w:tcPr>
          <w:p w14:paraId="72BC0B04"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9D9D9"/>
          </w:tcPr>
          <w:p w14:paraId="32FF9B5B" w14:textId="77777777" w:rsidR="000F61DE" w:rsidRPr="006C0823" w:rsidRDefault="000F61DE" w:rsidP="006E2310">
            <w:pPr>
              <w:pStyle w:val="TableText"/>
              <w:rPr>
                <w:rFonts w:eastAsia="Times New Roman"/>
              </w:rPr>
            </w:pPr>
            <w:r>
              <w:rPr>
                <w:rFonts w:cs="Arial"/>
              </w:rPr>
              <w:t>E</w:t>
            </w:r>
            <w:r w:rsidRPr="00586E31">
              <w:rPr>
                <w:rFonts w:cs="Arial"/>
              </w:rPr>
              <w:t xml:space="preserve">xplore opportunities for </w:t>
            </w:r>
            <w:r>
              <w:rPr>
                <w:rFonts w:cs="Arial"/>
              </w:rPr>
              <w:t>us</w:t>
            </w:r>
            <w:r w:rsidRPr="00586E31">
              <w:rPr>
                <w:rFonts w:cs="Arial"/>
              </w:rPr>
              <w:t xml:space="preserve"> to demonstrate safety leadership by bringing industry safety partners together</w:t>
            </w:r>
          </w:p>
        </w:tc>
      </w:tr>
      <w:tr w:rsidR="000F61DE" w:rsidRPr="006C0823" w14:paraId="196AB91F" w14:textId="77777777" w:rsidTr="00A86663">
        <w:tc>
          <w:tcPr>
            <w:tcW w:w="521" w:type="pct"/>
          </w:tcPr>
          <w:p w14:paraId="437934B7" w14:textId="77777777" w:rsidR="000F61DE" w:rsidRPr="006C0823" w:rsidRDefault="000F61DE" w:rsidP="006E2310">
            <w:pPr>
              <w:pStyle w:val="TableHeading"/>
              <w:keepNext w:val="0"/>
              <w:rPr>
                <w:rFonts w:eastAsia="Times New Roman"/>
              </w:rPr>
            </w:pPr>
            <w:r w:rsidRPr="006C0823">
              <w:rPr>
                <w:rFonts w:eastAsia="Times New Roman"/>
              </w:rPr>
              <w:t>Result</w:t>
            </w:r>
          </w:p>
          <w:p w14:paraId="1BE82813"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34562157" w14:textId="77777777" w:rsidR="00082D80" w:rsidRDefault="000F61DE" w:rsidP="00082D80">
            <w:pPr>
              <w:pStyle w:val="TableText"/>
              <w:rPr>
                <w:rFonts w:cs="Arial"/>
              </w:rPr>
            </w:pPr>
            <w:r>
              <w:rPr>
                <w:rFonts w:cs="Arial"/>
              </w:rPr>
              <w:t>CASA provide</w:t>
            </w:r>
            <w:r w:rsidR="00082D80">
              <w:rPr>
                <w:rFonts w:cs="Arial"/>
              </w:rPr>
              <w:t>d</w:t>
            </w:r>
            <w:r>
              <w:rPr>
                <w:rFonts w:cs="Arial"/>
              </w:rPr>
              <w:t xml:space="preserve"> secretariat support to the Aviation Safety Advisory Panel (ASAP) and technical working groups </w:t>
            </w:r>
            <w:r w:rsidR="0068482B">
              <w:rPr>
                <w:rFonts w:cs="Arial"/>
              </w:rPr>
              <w:t xml:space="preserve">which consulted heavily on </w:t>
            </w:r>
            <w:r>
              <w:rPr>
                <w:rFonts w:cs="Arial"/>
              </w:rPr>
              <w:t xml:space="preserve">Civil Aviation Safety Regulations (CASR) Parts 91, 66, 101 and 103. </w:t>
            </w:r>
          </w:p>
          <w:p w14:paraId="6749E889" w14:textId="77777777" w:rsidR="000F61DE" w:rsidRPr="006C0823" w:rsidRDefault="000F61DE" w:rsidP="004B3C71">
            <w:pPr>
              <w:pStyle w:val="TableText"/>
              <w:rPr>
                <w:rFonts w:eastAsia="Times New Roman"/>
              </w:rPr>
            </w:pPr>
            <w:r>
              <w:rPr>
                <w:rFonts w:cs="Arial"/>
              </w:rPr>
              <w:t xml:space="preserve">CASA coordinates the </w:t>
            </w:r>
            <w:r w:rsidRPr="00EC3CBE">
              <w:rPr>
                <w:rFonts w:cs="Arial"/>
              </w:rPr>
              <w:t xml:space="preserve">Regional </w:t>
            </w:r>
            <w:r>
              <w:rPr>
                <w:rFonts w:cs="Arial"/>
              </w:rPr>
              <w:t>A</w:t>
            </w:r>
            <w:r w:rsidRPr="00EC3CBE">
              <w:rPr>
                <w:rFonts w:cs="Arial"/>
              </w:rPr>
              <w:t xml:space="preserve">irspace and </w:t>
            </w:r>
            <w:r>
              <w:rPr>
                <w:rFonts w:cs="Arial"/>
              </w:rPr>
              <w:t>P</w:t>
            </w:r>
            <w:r w:rsidRPr="00EC3CBE">
              <w:rPr>
                <w:rFonts w:cs="Arial"/>
              </w:rPr>
              <w:t xml:space="preserve">rocedures </w:t>
            </w:r>
            <w:r>
              <w:rPr>
                <w:rFonts w:cs="Arial"/>
              </w:rPr>
              <w:t>A</w:t>
            </w:r>
            <w:r w:rsidRPr="00EC3CBE">
              <w:rPr>
                <w:rFonts w:cs="Arial"/>
              </w:rPr>
              <w:t xml:space="preserve">dvisory </w:t>
            </w:r>
            <w:r>
              <w:rPr>
                <w:rFonts w:cs="Arial"/>
              </w:rPr>
              <w:t>C</w:t>
            </w:r>
            <w:r w:rsidRPr="00EC3CBE">
              <w:rPr>
                <w:rFonts w:cs="Arial"/>
              </w:rPr>
              <w:t xml:space="preserve">ommittees (RAPAC) forums </w:t>
            </w:r>
            <w:r>
              <w:rPr>
                <w:rFonts w:cs="Arial"/>
              </w:rPr>
              <w:t xml:space="preserve">to </w:t>
            </w:r>
            <w:r w:rsidRPr="00EC3CBE">
              <w:rPr>
                <w:rFonts w:cs="Arial"/>
              </w:rPr>
              <w:t>discuss</w:t>
            </w:r>
            <w:r>
              <w:rPr>
                <w:rFonts w:cs="Arial"/>
              </w:rPr>
              <w:t xml:space="preserve"> </w:t>
            </w:r>
            <w:r w:rsidRPr="00EC3CBE">
              <w:rPr>
                <w:rFonts w:cs="Arial"/>
              </w:rPr>
              <w:t>matters relating to airspace and related procedures in Australia</w:t>
            </w:r>
            <w:r>
              <w:rPr>
                <w:rFonts w:cs="Arial"/>
              </w:rPr>
              <w:t xml:space="preserve">. The first round of RAPAC meetings are complete. </w:t>
            </w:r>
            <w:r w:rsidR="00916CE0">
              <w:rPr>
                <w:rFonts w:cs="Arial"/>
              </w:rPr>
              <w:t>For the 2018 schedule of meetings, p</w:t>
            </w:r>
            <w:r>
              <w:rPr>
                <w:rFonts w:cs="Arial"/>
              </w:rPr>
              <w:t xml:space="preserve">lease refer </w:t>
            </w:r>
            <w:r w:rsidR="00691568" w:rsidRPr="00691568">
              <w:rPr>
                <w:rStyle w:val="Hyperlink"/>
                <w:rFonts w:cs="Arial"/>
              </w:rPr>
              <w:t>www.casa.gov.au/operations/standard-page/rapac-meeting-schedule</w:t>
            </w:r>
            <w:r>
              <w:rPr>
                <w:rFonts w:cs="Arial"/>
              </w:rPr>
              <w:t>.</w:t>
            </w:r>
          </w:p>
        </w:tc>
      </w:tr>
      <w:tr w:rsidR="000F61DE" w:rsidRPr="006C0823" w14:paraId="700D459E" w14:textId="77777777" w:rsidTr="00A86663">
        <w:tc>
          <w:tcPr>
            <w:tcW w:w="521" w:type="pct"/>
            <w:shd w:val="clear" w:color="auto" w:fill="D9D9D9"/>
          </w:tcPr>
          <w:p w14:paraId="2E4C9C93"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9D9D9"/>
          </w:tcPr>
          <w:p w14:paraId="4C1F83BA" w14:textId="77777777" w:rsidR="000F61DE" w:rsidRPr="006C0823" w:rsidRDefault="000F61DE" w:rsidP="006E2310">
            <w:pPr>
              <w:pStyle w:val="TableText"/>
              <w:rPr>
                <w:rFonts w:eastAsia="Times New Roman"/>
              </w:rPr>
            </w:pPr>
            <w:r>
              <w:rPr>
                <w:rFonts w:cs="Arial"/>
              </w:rPr>
              <w:t>Listen and respond appropriately following industry engagement</w:t>
            </w:r>
          </w:p>
        </w:tc>
      </w:tr>
      <w:tr w:rsidR="000F61DE" w:rsidRPr="006C0823" w14:paraId="3240E211" w14:textId="77777777" w:rsidTr="00A86663">
        <w:tc>
          <w:tcPr>
            <w:tcW w:w="521" w:type="pct"/>
          </w:tcPr>
          <w:p w14:paraId="4834B070" w14:textId="77777777" w:rsidR="000F61DE" w:rsidRPr="006C0823" w:rsidRDefault="000F61DE" w:rsidP="006E2310">
            <w:pPr>
              <w:pStyle w:val="TableHeading"/>
              <w:keepNext w:val="0"/>
              <w:rPr>
                <w:rFonts w:eastAsia="Times New Roman"/>
              </w:rPr>
            </w:pPr>
            <w:r w:rsidRPr="006C0823">
              <w:rPr>
                <w:rFonts w:eastAsia="Times New Roman"/>
              </w:rPr>
              <w:t>Result</w:t>
            </w:r>
          </w:p>
          <w:p w14:paraId="2861A436" w14:textId="77777777" w:rsidR="000F61DE" w:rsidRPr="006C0823" w:rsidRDefault="000F61DE" w:rsidP="006E2310">
            <w:pPr>
              <w:pStyle w:val="TableHeading"/>
              <w:keepNext w:val="0"/>
              <w:rPr>
                <w:rFonts w:eastAsia="Times New Roman"/>
              </w:rPr>
            </w:pPr>
            <w:r w:rsidRPr="006C0823">
              <w:rPr>
                <w:rFonts w:eastAsia="Times New Roman"/>
              </w:rPr>
              <w:lastRenderedPageBreak/>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44E57832" w14:textId="77777777" w:rsidR="000F61DE" w:rsidRPr="006C0823" w:rsidRDefault="000F61DE" w:rsidP="006E2310">
            <w:pPr>
              <w:pStyle w:val="TableText"/>
              <w:rPr>
                <w:rFonts w:eastAsia="Times New Roman"/>
              </w:rPr>
            </w:pPr>
            <w:r>
              <w:rPr>
                <w:rFonts w:cs="Arial"/>
              </w:rPr>
              <w:lastRenderedPageBreak/>
              <w:t>See above</w:t>
            </w:r>
            <w:r w:rsidR="009B42F2">
              <w:rPr>
                <w:rFonts w:cs="Arial"/>
              </w:rPr>
              <w:t xml:space="preserve">. </w:t>
            </w:r>
          </w:p>
        </w:tc>
      </w:tr>
    </w:tbl>
    <w:p w14:paraId="7E2D8016" w14:textId="77777777" w:rsidR="00EE52B0" w:rsidRDefault="00EE52B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8077"/>
      </w:tblGrid>
      <w:tr w:rsidR="000F61DE" w:rsidRPr="006C0823" w14:paraId="4962AF39" w14:textId="77777777" w:rsidTr="00EE52B0">
        <w:trPr>
          <w:tblHeader/>
        </w:trPr>
        <w:tc>
          <w:tcPr>
            <w:tcW w:w="521" w:type="pct"/>
            <w:shd w:val="clear" w:color="auto" w:fill="B8CCE4"/>
          </w:tcPr>
          <w:p w14:paraId="3297CAFF" w14:textId="77777777" w:rsidR="000F61DE" w:rsidRPr="009B42F2" w:rsidRDefault="000F61DE" w:rsidP="006E2310">
            <w:pPr>
              <w:pStyle w:val="TableHeading"/>
              <w:rPr>
                <w:rFonts w:eastAsia="Times New Roman"/>
              </w:rPr>
            </w:pPr>
            <w:r w:rsidRPr="009B42F2">
              <w:rPr>
                <w:rFonts w:eastAsia="Times New Roman"/>
              </w:rPr>
              <w:t>Initiative</w:t>
            </w:r>
          </w:p>
          <w:p w14:paraId="04536DFC" w14:textId="77777777" w:rsidR="000F61DE" w:rsidRPr="009B42F2" w:rsidRDefault="000F61DE" w:rsidP="006E2310">
            <w:pPr>
              <w:pStyle w:val="TableHeading"/>
              <w:rPr>
                <w:rFonts w:eastAsia="Times New Roman"/>
              </w:rPr>
            </w:pPr>
            <w:r w:rsidRPr="009B42F2">
              <w:rPr>
                <w:rFonts w:eastAsia="Times New Roman"/>
              </w:rPr>
              <w:t>2.3</w:t>
            </w:r>
          </w:p>
        </w:tc>
        <w:tc>
          <w:tcPr>
            <w:tcW w:w="4479" w:type="pct"/>
            <w:shd w:val="clear" w:color="auto" w:fill="B8CCE4"/>
          </w:tcPr>
          <w:p w14:paraId="0FAF0BC1" w14:textId="77777777" w:rsidR="000F61DE" w:rsidRPr="009B42F2" w:rsidRDefault="000F61DE" w:rsidP="006E2310">
            <w:pPr>
              <w:pStyle w:val="TableText"/>
              <w:rPr>
                <w:rFonts w:eastAsia="Times New Roman"/>
              </w:rPr>
            </w:pPr>
            <w:r w:rsidRPr="009B42F2">
              <w:rPr>
                <w:b/>
              </w:rPr>
              <w:t>Develop stakeholder relationships</w:t>
            </w:r>
          </w:p>
        </w:tc>
      </w:tr>
      <w:tr w:rsidR="000F61DE" w:rsidRPr="006C0823" w14:paraId="77A2D98F" w14:textId="77777777" w:rsidTr="00A86663">
        <w:tc>
          <w:tcPr>
            <w:tcW w:w="521" w:type="pct"/>
            <w:shd w:val="clear" w:color="auto" w:fill="D9D9D9"/>
          </w:tcPr>
          <w:p w14:paraId="69E8FBD1" w14:textId="77777777" w:rsidR="000F61DE" w:rsidRPr="009B42F2" w:rsidRDefault="000F61DE" w:rsidP="006E2310">
            <w:pPr>
              <w:pStyle w:val="TableHeading"/>
              <w:rPr>
                <w:rFonts w:eastAsia="Times New Roman"/>
              </w:rPr>
            </w:pPr>
            <w:r w:rsidRPr="009B42F2">
              <w:rPr>
                <w:rFonts w:eastAsia="Times New Roman"/>
              </w:rPr>
              <w:t>Measure</w:t>
            </w:r>
          </w:p>
        </w:tc>
        <w:tc>
          <w:tcPr>
            <w:tcW w:w="4479" w:type="pct"/>
            <w:shd w:val="clear" w:color="auto" w:fill="D9D9D9"/>
          </w:tcPr>
          <w:p w14:paraId="2A116029" w14:textId="77777777" w:rsidR="000F61DE" w:rsidRPr="009B42F2" w:rsidRDefault="000F61DE" w:rsidP="006E2310">
            <w:pPr>
              <w:pStyle w:val="TableText"/>
              <w:rPr>
                <w:rFonts w:eastAsia="Times New Roman"/>
              </w:rPr>
            </w:pPr>
            <w:r w:rsidRPr="009B42F2">
              <w:rPr>
                <w:rFonts w:cs="Arial"/>
              </w:rPr>
              <w:t>Further develop the newly established Aviation Safety Advisory Panel that covers the largest possible industry representation but with a senior membership that allows agile, strategic and constructive engagement</w:t>
            </w:r>
          </w:p>
        </w:tc>
      </w:tr>
      <w:tr w:rsidR="000F61DE" w:rsidRPr="006C0823" w14:paraId="4E56279D" w14:textId="77777777" w:rsidTr="00A86663">
        <w:tc>
          <w:tcPr>
            <w:tcW w:w="521" w:type="pct"/>
          </w:tcPr>
          <w:p w14:paraId="3D814CE5" w14:textId="77777777" w:rsidR="000F61DE" w:rsidRPr="009B42F2" w:rsidRDefault="000F61DE" w:rsidP="006E2310">
            <w:pPr>
              <w:pStyle w:val="TableHeading"/>
              <w:keepNext w:val="0"/>
              <w:rPr>
                <w:rFonts w:eastAsia="Times New Roman"/>
              </w:rPr>
            </w:pPr>
            <w:r w:rsidRPr="009B42F2">
              <w:rPr>
                <w:rFonts w:eastAsia="Times New Roman"/>
              </w:rPr>
              <w:t>Result</w:t>
            </w:r>
          </w:p>
          <w:p w14:paraId="246FB01B" w14:textId="77777777" w:rsidR="000F61DE" w:rsidRPr="009B42F2" w:rsidRDefault="000F61DE" w:rsidP="006E2310">
            <w:pPr>
              <w:pStyle w:val="TableHeading"/>
              <w:keepNext w:val="0"/>
              <w:rPr>
                <w:rFonts w:eastAsia="Times New Roman"/>
              </w:rPr>
            </w:pPr>
            <w:r w:rsidRPr="009B42F2">
              <w:rPr>
                <w:rFonts w:eastAsia="Times New Roman"/>
              </w:rPr>
              <w:sym w:font="Wingdings" w:char="F0FC"/>
            </w:r>
            <w:r w:rsidRPr="009B42F2">
              <w:rPr>
                <w:rFonts w:eastAsia="Times New Roman"/>
              </w:rPr>
              <w:sym w:font="Wingdings" w:char="F0FC"/>
            </w:r>
            <w:r w:rsidRPr="009B42F2">
              <w:rPr>
                <w:rFonts w:eastAsia="Times New Roman"/>
              </w:rPr>
              <w:sym w:font="Wingdings" w:char="F0FC"/>
            </w:r>
          </w:p>
        </w:tc>
        <w:tc>
          <w:tcPr>
            <w:tcW w:w="4479" w:type="pct"/>
          </w:tcPr>
          <w:p w14:paraId="6BC3B726" w14:textId="77777777" w:rsidR="000F61DE" w:rsidRPr="009B42F2" w:rsidRDefault="009B42F2" w:rsidP="00A336EC">
            <w:pPr>
              <w:rPr>
                <w:rFonts w:eastAsia="Times New Roman"/>
              </w:rPr>
            </w:pPr>
            <w:r w:rsidRPr="009B42F2">
              <w:rPr>
                <w:rFonts w:ascii="Arial Narrow" w:hAnsi="Arial Narrow"/>
                <w:sz w:val="20"/>
              </w:rPr>
              <w:t>T</w:t>
            </w:r>
            <w:r w:rsidR="00A336EC">
              <w:rPr>
                <w:rFonts w:ascii="Arial Narrow" w:hAnsi="Arial Narrow"/>
                <w:sz w:val="20"/>
              </w:rPr>
              <w:t>he</w:t>
            </w:r>
            <w:r w:rsidRPr="009B42F2">
              <w:rPr>
                <w:rFonts w:ascii="Arial Narrow" w:hAnsi="Arial Narrow"/>
                <w:sz w:val="20"/>
              </w:rPr>
              <w:t xml:space="preserve"> ASAP was further developed during 2017–18 through the establishment of short-term technical working groups (TWG</w:t>
            </w:r>
            <w:r w:rsidR="00A336EC">
              <w:rPr>
                <w:rFonts w:ascii="Arial Narrow" w:hAnsi="Arial Narrow"/>
                <w:sz w:val="20"/>
              </w:rPr>
              <w:t>s</w:t>
            </w:r>
            <w:r w:rsidRPr="009B42F2">
              <w:rPr>
                <w:rFonts w:ascii="Arial Narrow" w:hAnsi="Arial Narrow"/>
                <w:sz w:val="20"/>
              </w:rPr>
              <w:t xml:space="preserve">) to support the work of the ASAP. </w:t>
            </w:r>
            <w:r w:rsidR="00082D80">
              <w:rPr>
                <w:rFonts w:ascii="Arial Narrow" w:hAnsi="Arial Narrow"/>
                <w:sz w:val="20"/>
              </w:rPr>
              <w:t>During 2017–18,</w:t>
            </w:r>
            <w:r w:rsidR="00082D80" w:rsidRPr="009B42F2">
              <w:rPr>
                <w:rFonts w:ascii="Arial Narrow" w:hAnsi="Arial Narrow"/>
                <w:sz w:val="20"/>
              </w:rPr>
              <w:t xml:space="preserve"> </w:t>
            </w:r>
            <w:r w:rsidRPr="009B42F2">
              <w:rPr>
                <w:rFonts w:ascii="Arial Narrow" w:hAnsi="Arial Narrow"/>
                <w:sz w:val="20"/>
              </w:rPr>
              <w:t>four TWGs were convened</w:t>
            </w:r>
            <w:r w:rsidR="00082D80">
              <w:rPr>
                <w:rFonts w:ascii="Arial Narrow" w:hAnsi="Arial Narrow"/>
                <w:sz w:val="20"/>
              </w:rPr>
              <w:t>,</w:t>
            </w:r>
            <w:r w:rsidRPr="009B42F2">
              <w:rPr>
                <w:rFonts w:ascii="Arial Narrow" w:hAnsi="Arial Narrow"/>
                <w:sz w:val="20"/>
              </w:rPr>
              <w:t xml:space="preserve"> with an additional 12 planned for the remainder of 2018. Engagement has been constructive between both forums and allowed for discussion and endorsement of policy positions on issues such as CASA’s aviation medicine policy, a review of maintenance engineer licensing, radio frequency use in low-level airspace, the development of flight operations regulations</w:t>
            </w:r>
            <w:r w:rsidR="00082D80">
              <w:rPr>
                <w:rFonts w:ascii="Arial Narrow" w:hAnsi="Arial Narrow"/>
                <w:sz w:val="20"/>
              </w:rPr>
              <w:t>,</w:t>
            </w:r>
            <w:r w:rsidRPr="009B42F2">
              <w:rPr>
                <w:rFonts w:ascii="Arial Narrow" w:hAnsi="Arial Narrow"/>
                <w:sz w:val="20"/>
              </w:rPr>
              <w:t xml:space="preserve"> and fatigue.</w:t>
            </w:r>
          </w:p>
        </w:tc>
      </w:tr>
      <w:tr w:rsidR="000F61DE" w:rsidRPr="006C0823" w14:paraId="627B87EE" w14:textId="77777777" w:rsidTr="00A86663">
        <w:tc>
          <w:tcPr>
            <w:tcW w:w="521" w:type="pct"/>
            <w:shd w:val="clear" w:color="auto" w:fill="D9D9D9"/>
          </w:tcPr>
          <w:p w14:paraId="5A3A80C9"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9D9D9"/>
          </w:tcPr>
          <w:p w14:paraId="116B7531" w14:textId="77777777" w:rsidR="000F61DE" w:rsidRPr="006C0823" w:rsidRDefault="000F61DE" w:rsidP="006E2310">
            <w:pPr>
              <w:pStyle w:val="TableText"/>
            </w:pPr>
            <w:r>
              <w:rPr>
                <w:rFonts w:cs="Arial"/>
              </w:rPr>
              <w:t>D</w:t>
            </w:r>
            <w:r w:rsidRPr="004049C4">
              <w:rPr>
                <w:rFonts w:cs="Arial"/>
              </w:rPr>
              <w:t>evelop a consultation protocol for our stakeholders and clients which sets out the basic principles that we will apply in our consultation activities</w:t>
            </w:r>
          </w:p>
        </w:tc>
      </w:tr>
      <w:tr w:rsidR="000F61DE" w:rsidRPr="006C0823" w14:paraId="10919A6A" w14:textId="77777777" w:rsidTr="00A86663">
        <w:tc>
          <w:tcPr>
            <w:tcW w:w="521" w:type="pct"/>
          </w:tcPr>
          <w:p w14:paraId="381A98F7" w14:textId="77777777" w:rsidR="000F61DE" w:rsidRPr="006C0823" w:rsidRDefault="000F61DE" w:rsidP="006E2310">
            <w:pPr>
              <w:pStyle w:val="TableHeading"/>
              <w:keepNext w:val="0"/>
              <w:rPr>
                <w:rFonts w:eastAsia="Times New Roman"/>
              </w:rPr>
            </w:pPr>
            <w:r w:rsidRPr="006C0823">
              <w:rPr>
                <w:rFonts w:eastAsia="Times New Roman"/>
              </w:rPr>
              <w:t>Result</w:t>
            </w:r>
          </w:p>
          <w:p w14:paraId="6F6B1DF5"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7B694539" w14:textId="77777777" w:rsidR="000F61DE" w:rsidRPr="006C0823" w:rsidRDefault="000F61DE" w:rsidP="006E2310">
            <w:pPr>
              <w:pStyle w:val="TableText"/>
            </w:pPr>
            <w:r>
              <w:t>The c</w:t>
            </w:r>
            <w:r w:rsidRPr="007942B2">
              <w:t xml:space="preserve">onsultation protocol </w:t>
            </w:r>
            <w:r>
              <w:t xml:space="preserve">has been </w:t>
            </w:r>
            <w:r w:rsidRPr="007942B2">
              <w:t>finalised</w:t>
            </w:r>
            <w:r>
              <w:t xml:space="preserve"> and </w:t>
            </w:r>
            <w:r w:rsidRPr="007942B2">
              <w:t>incorporat</w:t>
            </w:r>
            <w:r>
              <w:t>es</w:t>
            </w:r>
            <w:r w:rsidRPr="007942B2">
              <w:t xml:space="preserve"> the latest developments arising from </w:t>
            </w:r>
            <w:r>
              <w:t xml:space="preserve">the </w:t>
            </w:r>
            <w:r w:rsidRPr="007942B2">
              <w:t>establishment of new consultative arrangements. However, full implementation of the protocol has been deferred</w:t>
            </w:r>
            <w:r>
              <w:t xml:space="preserve"> until staffing resources are finalised</w:t>
            </w:r>
            <w:r w:rsidRPr="007942B2">
              <w:t>.</w:t>
            </w:r>
          </w:p>
        </w:tc>
      </w:tr>
      <w:tr w:rsidR="000F61DE" w:rsidRPr="006C0823" w14:paraId="042E74FD" w14:textId="77777777" w:rsidTr="00A86663">
        <w:tc>
          <w:tcPr>
            <w:tcW w:w="521" w:type="pct"/>
            <w:shd w:val="clear" w:color="auto" w:fill="D9D9D9"/>
          </w:tcPr>
          <w:p w14:paraId="3CDD8DFA"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9D9D9"/>
          </w:tcPr>
          <w:p w14:paraId="1A9C95E0" w14:textId="77777777" w:rsidR="000F61DE" w:rsidRPr="006C0823" w:rsidRDefault="000F61DE" w:rsidP="006E2310">
            <w:pPr>
              <w:pStyle w:val="TableText"/>
            </w:pPr>
            <w:r>
              <w:rPr>
                <w:rFonts w:cs="Arial"/>
              </w:rPr>
              <w:t>C</w:t>
            </w:r>
            <w:r w:rsidRPr="004049C4">
              <w:rPr>
                <w:rFonts w:cs="Arial"/>
              </w:rPr>
              <w:t>ommunicate clearly about our role by developing communication products and campaigns, including a focus on the regulatory process</w:t>
            </w:r>
          </w:p>
        </w:tc>
      </w:tr>
      <w:tr w:rsidR="000F61DE" w:rsidRPr="006C0823" w14:paraId="085A1C37" w14:textId="77777777" w:rsidTr="00A86663">
        <w:tc>
          <w:tcPr>
            <w:tcW w:w="521" w:type="pct"/>
          </w:tcPr>
          <w:p w14:paraId="054AD3BF" w14:textId="77777777" w:rsidR="000F61DE" w:rsidRPr="006C0823" w:rsidRDefault="000F61DE" w:rsidP="006E2310">
            <w:pPr>
              <w:pStyle w:val="TableHeading"/>
              <w:keepNext w:val="0"/>
              <w:rPr>
                <w:rFonts w:eastAsia="Times New Roman"/>
              </w:rPr>
            </w:pPr>
            <w:r w:rsidRPr="006C0823">
              <w:rPr>
                <w:rFonts w:eastAsia="Times New Roman"/>
              </w:rPr>
              <w:t>Result</w:t>
            </w:r>
          </w:p>
          <w:p w14:paraId="22AA04F4"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6F8CD1D0" w14:textId="77777777" w:rsidR="000F61DE" w:rsidRPr="006C0823" w:rsidRDefault="000F61DE" w:rsidP="00A57C9B">
            <w:pPr>
              <w:pStyle w:val="TableText"/>
            </w:pPr>
            <w:r>
              <w:rPr>
                <w:rFonts w:cs="Arial"/>
              </w:rPr>
              <w:t xml:space="preserve">Planning is underway to produce plain English guidance material for CASR Part 91, in line with the out-of-print </w:t>
            </w:r>
            <w:r>
              <w:rPr>
                <w:rFonts w:cs="Arial"/>
                <w:i/>
              </w:rPr>
              <w:t>Visual Flight Rules Guide</w:t>
            </w:r>
            <w:r>
              <w:rPr>
                <w:rFonts w:cs="Arial"/>
              </w:rPr>
              <w:t>, as well as companion material for pilots.</w:t>
            </w:r>
          </w:p>
        </w:tc>
      </w:tr>
      <w:tr w:rsidR="000F61DE" w:rsidRPr="006C0823" w14:paraId="02D1AAA6" w14:textId="77777777" w:rsidTr="00A86663">
        <w:tc>
          <w:tcPr>
            <w:tcW w:w="521" w:type="pct"/>
            <w:shd w:val="clear" w:color="auto" w:fill="D9D9D9"/>
          </w:tcPr>
          <w:p w14:paraId="03F92301"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9D9D9"/>
          </w:tcPr>
          <w:p w14:paraId="07C0999C" w14:textId="77777777" w:rsidR="000F61DE" w:rsidRPr="006C0823" w:rsidRDefault="000F61DE" w:rsidP="006E2310">
            <w:pPr>
              <w:pStyle w:val="TableText"/>
              <w:rPr>
                <w:rFonts w:eastAsia="Times New Roman"/>
              </w:rPr>
            </w:pPr>
            <w:r>
              <w:rPr>
                <w:rFonts w:cs="Arial"/>
              </w:rPr>
              <w:t>C</w:t>
            </w:r>
            <w:r w:rsidRPr="00586E31">
              <w:rPr>
                <w:rFonts w:cs="Arial"/>
              </w:rPr>
              <w:t>ontinue to review and improve staff communication to ensure their timely access to relevant information</w:t>
            </w:r>
          </w:p>
        </w:tc>
      </w:tr>
      <w:tr w:rsidR="000F61DE" w:rsidRPr="006C0823" w14:paraId="75EFABBE" w14:textId="77777777" w:rsidTr="00A86663">
        <w:tc>
          <w:tcPr>
            <w:tcW w:w="521" w:type="pct"/>
          </w:tcPr>
          <w:p w14:paraId="408C65E4" w14:textId="77777777" w:rsidR="000F61DE" w:rsidRPr="006C0823" w:rsidRDefault="000F61DE" w:rsidP="006E2310">
            <w:pPr>
              <w:pStyle w:val="TableHeading"/>
              <w:keepNext w:val="0"/>
              <w:rPr>
                <w:rFonts w:eastAsia="Times New Roman"/>
              </w:rPr>
            </w:pPr>
            <w:r w:rsidRPr="006C0823">
              <w:rPr>
                <w:rFonts w:eastAsia="Times New Roman"/>
              </w:rPr>
              <w:t>Result</w:t>
            </w:r>
          </w:p>
          <w:p w14:paraId="652DAF86"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24B39467" w14:textId="77777777" w:rsidR="000F61DE" w:rsidRPr="00CA3119" w:rsidRDefault="000F61DE" w:rsidP="006E2310">
            <w:pPr>
              <w:rPr>
                <w:rFonts w:ascii="Arial Narrow" w:hAnsi="Arial Narrow" w:cs="Arial"/>
                <w:sz w:val="20"/>
              </w:rPr>
            </w:pPr>
            <w:r w:rsidRPr="00CA3119">
              <w:rPr>
                <w:rFonts w:ascii="Arial Narrow" w:hAnsi="Arial Narrow" w:cs="Arial"/>
                <w:sz w:val="20"/>
              </w:rPr>
              <w:t xml:space="preserve">CASA </w:t>
            </w:r>
            <w:r>
              <w:rPr>
                <w:rFonts w:ascii="Arial Narrow" w:hAnsi="Arial Narrow" w:cs="Arial"/>
                <w:sz w:val="20"/>
              </w:rPr>
              <w:t>undertook</w:t>
            </w:r>
            <w:r w:rsidRPr="00CA3119">
              <w:rPr>
                <w:rFonts w:ascii="Arial Narrow" w:hAnsi="Arial Narrow" w:cs="Arial"/>
                <w:sz w:val="20"/>
              </w:rPr>
              <w:t xml:space="preserve"> focus groups with staff and one</w:t>
            </w:r>
            <w:r>
              <w:rPr>
                <w:rFonts w:ascii="Arial Narrow" w:hAnsi="Arial Narrow" w:cs="Arial"/>
                <w:sz w:val="20"/>
              </w:rPr>
              <w:t>-</w:t>
            </w:r>
            <w:r w:rsidRPr="00CA3119">
              <w:rPr>
                <w:rFonts w:ascii="Arial Narrow" w:hAnsi="Arial Narrow" w:cs="Arial"/>
                <w:sz w:val="20"/>
              </w:rPr>
              <w:t>on</w:t>
            </w:r>
            <w:r>
              <w:rPr>
                <w:rFonts w:ascii="Arial Narrow" w:hAnsi="Arial Narrow" w:cs="Arial"/>
                <w:sz w:val="20"/>
              </w:rPr>
              <w:t>-</w:t>
            </w:r>
            <w:r w:rsidRPr="00CA3119">
              <w:rPr>
                <w:rFonts w:ascii="Arial Narrow" w:hAnsi="Arial Narrow" w:cs="Arial"/>
                <w:sz w:val="20"/>
              </w:rPr>
              <w:t xml:space="preserve">one discussions with managers to seek input on their communication preferences and </w:t>
            </w:r>
            <w:r>
              <w:rPr>
                <w:rFonts w:ascii="Arial Narrow" w:hAnsi="Arial Narrow" w:cs="Arial"/>
                <w:sz w:val="20"/>
              </w:rPr>
              <w:t>assist CASA</w:t>
            </w:r>
            <w:r w:rsidRPr="00CA3119">
              <w:rPr>
                <w:rFonts w:ascii="Arial Narrow" w:hAnsi="Arial Narrow" w:cs="Arial"/>
                <w:sz w:val="20"/>
              </w:rPr>
              <w:t xml:space="preserve"> to better focus </w:t>
            </w:r>
            <w:r>
              <w:rPr>
                <w:rFonts w:ascii="Arial Narrow" w:hAnsi="Arial Narrow" w:cs="Arial"/>
                <w:sz w:val="20"/>
              </w:rPr>
              <w:t>internal</w:t>
            </w:r>
            <w:r w:rsidRPr="00CA3119">
              <w:rPr>
                <w:rFonts w:ascii="Arial Narrow" w:hAnsi="Arial Narrow" w:cs="Arial"/>
                <w:sz w:val="20"/>
              </w:rPr>
              <w:t xml:space="preserve"> communication activities. Th</w:t>
            </w:r>
            <w:r>
              <w:rPr>
                <w:rFonts w:ascii="Arial Narrow" w:hAnsi="Arial Narrow" w:cs="Arial"/>
                <w:sz w:val="20"/>
              </w:rPr>
              <w:t>e</w:t>
            </w:r>
            <w:r w:rsidRPr="00CA3119">
              <w:rPr>
                <w:rFonts w:ascii="Arial Narrow" w:hAnsi="Arial Narrow" w:cs="Arial"/>
                <w:sz w:val="20"/>
              </w:rPr>
              <w:t xml:space="preserve"> research was undertaken in May and June 2018</w:t>
            </w:r>
            <w:r>
              <w:rPr>
                <w:rFonts w:ascii="Arial Narrow" w:hAnsi="Arial Narrow" w:cs="Arial"/>
                <w:sz w:val="20"/>
              </w:rPr>
              <w:t>;</w:t>
            </w:r>
            <w:r w:rsidRPr="00CA3119">
              <w:rPr>
                <w:rFonts w:ascii="Arial Narrow" w:hAnsi="Arial Narrow" w:cs="Arial"/>
                <w:sz w:val="20"/>
              </w:rPr>
              <w:t xml:space="preserve"> a summary and recommendations </w:t>
            </w:r>
            <w:r>
              <w:rPr>
                <w:rFonts w:ascii="Arial Narrow" w:hAnsi="Arial Narrow" w:cs="Arial"/>
                <w:sz w:val="20"/>
              </w:rPr>
              <w:t>will</w:t>
            </w:r>
            <w:r w:rsidRPr="00CA3119">
              <w:rPr>
                <w:rFonts w:ascii="Arial Narrow" w:hAnsi="Arial Narrow" w:cs="Arial"/>
                <w:sz w:val="20"/>
              </w:rPr>
              <w:t xml:space="preserve"> be finalised in July 2018.</w:t>
            </w:r>
          </w:p>
          <w:p w14:paraId="1850FC67" w14:textId="77777777" w:rsidR="000F61DE" w:rsidRPr="006C0823" w:rsidRDefault="000F61DE" w:rsidP="004D3E1A">
            <w:pPr>
              <w:pStyle w:val="TableText"/>
            </w:pPr>
            <w:r w:rsidRPr="00CA3119">
              <w:rPr>
                <w:rFonts w:cs="Arial"/>
              </w:rPr>
              <w:t>A new communication channel</w:t>
            </w:r>
            <w:r>
              <w:rPr>
                <w:rFonts w:cs="Arial"/>
              </w:rPr>
              <w:t>,</w:t>
            </w:r>
            <w:r w:rsidRPr="00CA3119">
              <w:rPr>
                <w:rFonts w:cs="Arial"/>
              </w:rPr>
              <w:t xml:space="preserve"> </w:t>
            </w:r>
            <w:r w:rsidRPr="00C03E6A">
              <w:rPr>
                <w:rFonts w:cs="Arial"/>
                <w:i/>
              </w:rPr>
              <w:t>Horace Extra</w:t>
            </w:r>
            <w:r>
              <w:rPr>
                <w:rFonts w:cs="Arial"/>
              </w:rPr>
              <w:t>,</w:t>
            </w:r>
            <w:r w:rsidRPr="00CA3119">
              <w:rPr>
                <w:rFonts w:cs="Arial"/>
              </w:rPr>
              <w:t xml:space="preserve"> was launched to keep CASA staff up to date on what</w:t>
            </w:r>
            <w:r>
              <w:rPr>
                <w:rFonts w:cs="Arial"/>
              </w:rPr>
              <w:t xml:space="preserve"> i</w:t>
            </w:r>
            <w:r w:rsidRPr="00CA3119">
              <w:rPr>
                <w:rFonts w:cs="Arial"/>
              </w:rPr>
              <w:t>s happening around CASA. The newsletter</w:t>
            </w:r>
            <w:r w:rsidR="004D3E1A">
              <w:rPr>
                <w:rFonts w:cs="Arial"/>
              </w:rPr>
              <w:t>-</w:t>
            </w:r>
            <w:r w:rsidRPr="00CA3119">
              <w:rPr>
                <w:rFonts w:cs="Arial"/>
              </w:rPr>
              <w:t xml:space="preserve">style email is circulated fortnightly, alternating with </w:t>
            </w:r>
            <w:r w:rsidRPr="00CA3119">
              <w:rPr>
                <w:rFonts w:cs="Arial"/>
                <w:i/>
              </w:rPr>
              <w:t>CASAflyer</w:t>
            </w:r>
            <w:r w:rsidRPr="00CA3119">
              <w:rPr>
                <w:rFonts w:cs="Arial"/>
              </w:rPr>
              <w:t xml:space="preserve">. It is intended to bring together a summary of news items and information published on </w:t>
            </w:r>
            <w:r>
              <w:rPr>
                <w:rFonts w:cs="Arial"/>
              </w:rPr>
              <w:t xml:space="preserve">CASA’s </w:t>
            </w:r>
            <w:r w:rsidRPr="00CA3119">
              <w:rPr>
                <w:rFonts w:cs="Arial"/>
              </w:rPr>
              <w:t>intranet</w:t>
            </w:r>
            <w:r>
              <w:rPr>
                <w:rFonts w:cs="Arial"/>
              </w:rPr>
              <w:t xml:space="preserve"> (Horace</w:t>
            </w:r>
            <w:r w:rsidRPr="00CA3119">
              <w:rPr>
                <w:rFonts w:cs="Arial"/>
              </w:rPr>
              <w:t>) that staff might have missed.</w:t>
            </w:r>
          </w:p>
        </w:tc>
      </w:tr>
      <w:tr w:rsidR="000F61DE" w:rsidRPr="006C0823" w14:paraId="3CB8658F" w14:textId="77777777" w:rsidTr="00A86663">
        <w:tc>
          <w:tcPr>
            <w:tcW w:w="521" w:type="pct"/>
            <w:shd w:val="clear" w:color="auto" w:fill="D9D9D9"/>
          </w:tcPr>
          <w:p w14:paraId="069C9E4C"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9D9D9"/>
          </w:tcPr>
          <w:p w14:paraId="41719044" w14:textId="77777777" w:rsidR="000F61DE" w:rsidRPr="006C0823" w:rsidRDefault="000F61DE" w:rsidP="006E2310">
            <w:pPr>
              <w:pStyle w:val="TableText"/>
              <w:rPr>
                <w:rFonts w:eastAsia="Times New Roman"/>
              </w:rPr>
            </w:pPr>
            <w:r>
              <w:rPr>
                <w:rFonts w:cs="Arial"/>
              </w:rPr>
              <w:t>C</w:t>
            </w:r>
            <w:r w:rsidRPr="007360EF">
              <w:rPr>
                <w:rFonts w:cs="Arial"/>
              </w:rPr>
              <w:t>ontinue to provide timely, accurate advice to our government and international stakeholders and enhance working relationships with existing stakeholders as well as establish appropriate relationships with new stakeholders</w:t>
            </w:r>
          </w:p>
        </w:tc>
      </w:tr>
      <w:tr w:rsidR="000F61DE" w:rsidRPr="006C0823" w14:paraId="5EB846EF" w14:textId="77777777" w:rsidTr="00A86663">
        <w:tc>
          <w:tcPr>
            <w:tcW w:w="521" w:type="pct"/>
          </w:tcPr>
          <w:p w14:paraId="091CE529" w14:textId="77777777" w:rsidR="000F61DE" w:rsidRPr="006C0823" w:rsidRDefault="000F61DE" w:rsidP="006E2310">
            <w:pPr>
              <w:pStyle w:val="TableHeading"/>
              <w:keepNext w:val="0"/>
              <w:rPr>
                <w:rFonts w:eastAsia="Times New Roman"/>
              </w:rPr>
            </w:pPr>
            <w:r w:rsidRPr="006C0823">
              <w:rPr>
                <w:rFonts w:eastAsia="Times New Roman"/>
              </w:rPr>
              <w:t>Result</w:t>
            </w:r>
          </w:p>
          <w:p w14:paraId="349010F0"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15E6A620" w14:textId="77777777" w:rsidR="000F61DE" w:rsidRPr="00CA3119" w:rsidRDefault="000F61DE" w:rsidP="006E2310">
            <w:pPr>
              <w:rPr>
                <w:rFonts w:ascii="Arial Narrow" w:hAnsi="Arial Narrow" w:cs="Arial"/>
                <w:sz w:val="20"/>
              </w:rPr>
            </w:pPr>
            <w:r w:rsidRPr="00CA3119">
              <w:rPr>
                <w:rFonts w:ascii="Arial Narrow" w:hAnsi="Arial Narrow" w:cs="Arial"/>
                <w:sz w:val="20"/>
              </w:rPr>
              <w:t>CASA provided advice</w:t>
            </w:r>
            <w:r>
              <w:rPr>
                <w:rFonts w:ascii="Arial Narrow" w:hAnsi="Arial Narrow" w:cs="Arial"/>
                <w:sz w:val="20"/>
              </w:rPr>
              <w:t xml:space="preserve"> on </w:t>
            </w:r>
            <w:r w:rsidRPr="00CA3119">
              <w:rPr>
                <w:rFonts w:ascii="Arial Narrow" w:hAnsi="Arial Narrow" w:cs="Arial"/>
                <w:sz w:val="20"/>
              </w:rPr>
              <w:t>Australian regulatory developments and ICAO benchmarking queries</w:t>
            </w:r>
            <w:r>
              <w:rPr>
                <w:rFonts w:ascii="Arial Narrow" w:hAnsi="Arial Narrow" w:cs="Arial"/>
                <w:sz w:val="20"/>
              </w:rPr>
              <w:t>, in person and</w:t>
            </w:r>
            <w:r w:rsidRPr="00CA3119">
              <w:rPr>
                <w:rFonts w:ascii="Arial Narrow" w:hAnsi="Arial Narrow" w:cs="Arial"/>
                <w:sz w:val="20"/>
              </w:rPr>
              <w:t xml:space="preserve"> via correspondence</w:t>
            </w:r>
            <w:r>
              <w:rPr>
                <w:rFonts w:ascii="Arial Narrow" w:hAnsi="Arial Narrow" w:cs="Arial"/>
                <w:sz w:val="20"/>
              </w:rPr>
              <w:t>,</w:t>
            </w:r>
            <w:r w:rsidRPr="00CA3119">
              <w:rPr>
                <w:rFonts w:ascii="Arial Narrow" w:hAnsi="Arial Narrow" w:cs="Arial"/>
                <w:sz w:val="20"/>
              </w:rPr>
              <w:t xml:space="preserve"> to regulatory counterparts in the United States, Canada, Europe, China, Singapore, New Zealand, Brazil</w:t>
            </w:r>
            <w:r>
              <w:rPr>
                <w:rFonts w:ascii="Arial Narrow" w:hAnsi="Arial Narrow" w:cs="Arial"/>
                <w:sz w:val="20"/>
              </w:rPr>
              <w:t>,</w:t>
            </w:r>
            <w:r w:rsidRPr="00CA3119">
              <w:rPr>
                <w:rFonts w:ascii="Arial Narrow" w:hAnsi="Arial Narrow" w:cs="Arial"/>
                <w:sz w:val="20"/>
              </w:rPr>
              <w:t xml:space="preserve"> New Caledonia </w:t>
            </w:r>
            <w:r>
              <w:rPr>
                <w:rFonts w:ascii="Arial Narrow" w:hAnsi="Arial Narrow" w:cs="Arial"/>
                <w:sz w:val="20"/>
              </w:rPr>
              <w:t>and other countries</w:t>
            </w:r>
            <w:r w:rsidRPr="00CA3119">
              <w:rPr>
                <w:rFonts w:ascii="Arial Narrow" w:hAnsi="Arial Narrow" w:cs="Arial"/>
                <w:sz w:val="20"/>
              </w:rPr>
              <w:t xml:space="preserve">. CASA also coordinated </w:t>
            </w:r>
            <w:r w:rsidR="006D761C">
              <w:rPr>
                <w:rFonts w:ascii="Arial Narrow" w:hAnsi="Arial Narrow" w:cs="Arial"/>
                <w:sz w:val="20"/>
              </w:rPr>
              <w:t xml:space="preserve">responses to </w:t>
            </w:r>
            <w:r w:rsidRPr="00CA3119">
              <w:rPr>
                <w:rFonts w:ascii="Arial Narrow" w:hAnsi="Arial Narrow" w:cs="Arial"/>
                <w:sz w:val="20"/>
              </w:rPr>
              <w:t xml:space="preserve">queries </w:t>
            </w:r>
            <w:r w:rsidR="006D761C">
              <w:rPr>
                <w:rFonts w:ascii="Arial Narrow" w:hAnsi="Arial Narrow" w:cs="Arial"/>
                <w:sz w:val="20"/>
              </w:rPr>
              <w:t>from</w:t>
            </w:r>
            <w:r w:rsidRPr="00CA3119">
              <w:rPr>
                <w:rFonts w:ascii="Arial Narrow" w:hAnsi="Arial Narrow" w:cs="Arial"/>
                <w:sz w:val="20"/>
              </w:rPr>
              <w:t xml:space="preserve"> foreign regulators, </w:t>
            </w:r>
            <w:r>
              <w:rPr>
                <w:rFonts w:ascii="Arial Narrow" w:hAnsi="Arial Narrow" w:cs="Arial"/>
                <w:sz w:val="20"/>
              </w:rPr>
              <w:t>and</w:t>
            </w:r>
            <w:r w:rsidRPr="00CA3119">
              <w:rPr>
                <w:rFonts w:ascii="Arial Narrow" w:hAnsi="Arial Narrow" w:cs="Arial"/>
                <w:sz w:val="20"/>
              </w:rPr>
              <w:t xml:space="preserve"> facilitated invitations </w:t>
            </w:r>
            <w:r>
              <w:rPr>
                <w:rFonts w:ascii="Arial Narrow" w:hAnsi="Arial Narrow" w:cs="Arial"/>
                <w:sz w:val="20"/>
              </w:rPr>
              <w:t xml:space="preserve">for observers </w:t>
            </w:r>
            <w:r w:rsidRPr="00CA3119">
              <w:rPr>
                <w:rFonts w:ascii="Arial Narrow" w:hAnsi="Arial Narrow" w:cs="Arial"/>
                <w:sz w:val="20"/>
              </w:rPr>
              <w:t>to attend CASA audit activities in the interests of supporting working relationships and various bilateral arrangements. CASA prepared letters of introduction for Australian aviation businesses seeking to conduct overseas operations.</w:t>
            </w:r>
          </w:p>
          <w:p w14:paraId="4C7FD26C" w14:textId="77777777" w:rsidR="000F61DE" w:rsidRPr="006C0823" w:rsidRDefault="000F61DE" w:rsidP="006E2310">
            <w:r w:rsidRPr="00CA3119">
              <w:rPr>
                <w:rFonts w:ascii="Arial Narrow" w:hAnsi="Arial Narrow" w:cs="Arial"/>
                <w:sz w:val="20"/>
              </w:rPr>
              <w:t>CASA continues to provide timely and accurate advice to government stakeholders, including the Deputy Prime Minister’s Office and parliamentary committees.</w:t>
            </w:r>
          </w:p>
        </w:tc>
      </w:tr>
    </w:tbl>
    <w:p w14:paraId="5E862686" w14:textId="77777777" w:rsidR="00EE52B0" w:rsidRDefault="00EE52B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8077"/>
      </w:tblGrid>
      <w:tr w:rsidR="000F61DE" w:rsidRPr="006C0823" w14:paraId="64367AD3" w14:textId="77777777" w:rsidTr="00EE52B0">
        <w:trPr>
          <w:tblHeader/>
        </w:trPr>
        <w:tc>
          <w:tcPr>
            <w:tcW w:w="521" w:type="pct"/>
            <w:shd w:val="clear" w:color="auto" w:fill="B8CCE4"/>
          </w:tcPr>
          <w:p w14:paraId="5B80CB81" w14:textId="77777777" w:rsidR="000F61DE" w:rsidRPr="006C0823" w:rsidRDefault="000F61DE" w:rsidP="006E2310">
            <w:pPr>
              <w:pStyle w:val="TableHeading"/>
              <w:rPr>
                <w:rFonts w:eastAsia="Times New Roman"/>
              </w:rPr>
            </w:pPr>
            <w:r w:rsidRPr="006C0823">
              <w:rPr>
                <w:rFonts w:eastAsia="Times New Roman"/>
              </w:rPr>
              <w:lastRenderedPageBreak/>
              <w:t>Initiative</w:t>
            </w:r>
          </w:p>
          <w:p w14:paraId="770BF21F" w14:textId="77777777" w:rsidR="000F61DE" w:rsidRPr="006C0823" w:rsidRDefault="000F61DE" w:rsidP="006E2310">
            <w:pPr>
              <w:pStyle w:val="TableHeading"/>
              <w:rPr>
                <w:rFonts w:eastAsia="Times New Roman"/>
              </w:rPr>
            </w:pPr>
            <w:r w:rsidRPr="006C0823">
              <w:rPr>
                <w:rFonts w:eastAsia="Times New Roman"/>
              </w:rPr>
              <w:t>2.4</w:t>
            </w:r>
          </w:p>
        </w:tc>
        <w:tc>
          <w:tcPr>
            <w:tcW w:w="4479" w:type="pct"/>
            <w:shd w:val="clear" w:color="auto" w:fill="B8CCE4"/>
          </w:tcPr>
          <w:p w14:paraId="20547C6F" w14:textId="77777777" w:rsidR="000F61DE" w:rsidRPr="000D0F3D" w:rsidRDefault="000F61DE" w:rsidP="006E2310">
            <w:pPr>
              <w:pStyle w:val="TableText"/>
              <w:rPr>
                <w:rFonts w:eastAsia="Times New Roman"/>
              </w:rPr>
            </w:pPr>
            <w:r w:rsidRPr="000D0F3D">
              <w:rPr>
                <w:b/>
              </w:rPr>
              <w:t>Provide comprehensive safety promotion programs to the aviation industry and stakeholders</w:t>
            </w:r>
          </w:p>
        </w:tc>
      </w:tr>
      <w:tr w:rsidR="000F61DE" w:rsidRPr="006C0823" w14:paraId="4D2CF054" w14:textId="77777777" w:rsidTr="00A86663">
        <w:tc>
          <w:tcPr>
            <w:tcW w:w="521" w:type="pct"/>
            <w:shd w:val="clear" w:color="auto" w:fill="D9D9D9"/>
          </w:tcPr>
          <w:p w14:paraId="1912DBF4"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9D9D9"/>
          </w:tcPr>
          <w:p w14:paraId="038CD751" w14:textId="77777777" w:rsidR="000F61DE" w:rsidRPr="006C0823" w:rsidRDefault="000F61DE" w:rsidP="006E2310">
            <w:pPr>
              <w:pStyle w:val="TableText"/>
              <w:rPr>
                <w:rFonts w:eastAsia="Times New Roman"/>
              </w:rPr>
            </w:pPr>
            <w:r>
              <w:rPr>
                <w:rFonts w:cs="Arial"/>
              </w:rPr>
              <w:t>C</w:t>
            </w:r>
            <w:r w:rsidRPr="00586E31">
              <w:rPr>
                <w:rFonts w:cs="Arial"/>
              </w:rPr>
              <w:t>ontinue to develop and implement safety communication strategies in response to identified priority areas, such as drones, dangerous goods, safety management systems and human factors, and sport aviation</w:t>
            </w:r>
          </w:p>
        </w:tc>
      </w:tr>
      <w:tr w:rsidR="000F61DE" w:rsidRPr="006C0823" w14:paraId="38A27A88" w14:textId="77777777" w:rsidTr="00A86663">
        <w:tc>
          <w:tcPr>
            <w:tcW w:w="521" w:type="pct"/>
          </w:tcPr>
          <w:p w14:paraId="500C9F4E" w14:textId="77777777" w:rsidR="000F61DE" w:rsidRPr="006C0823" w:rsidRDefault="000F61DE" w:rsidP="006E2310">
            <w:pPr>
              <w:pStyle w:val="TableHeading"/>
              <w:keepNext w:val="0"/>
              <w:rPr>
                <w:rFonts w:eastAsia="Times New Roman"/>
              </w:rPr>
            </w:pPr>
            <w:r w:rsidRPr="006C0823">
              <w:rPr>
                <w:rFonts w:eastAsia="Times New Roman"/>
              </w:rPr>
              <w:t>Result</w:t>
            </w:r>
          </w:p>
          <w:p w14:paraId="0F48568B"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652CD8DA" w14:textId="77777777" w:rsidR="00EF73E8" w:rsidRDefault="00EF73E8" w:rsidP="00EF73E8">
            <w:pPr>
              <w:rPr>
                <w:rFonts w:ascii="Arial Narrow" w:hAnsi="Arial Narrow"/>
                <w:sz w:val="20"/>
              </w:rPr>
            </w:pPr>
            <w:r w:rsidRPr="00CA3119">
              <w:rPr>
                <w:rFonts w:ascii="Arial Narrow" w:hAnsi="Arial Narrow"/>
                <w:sz w:val="20"/>
              </w:rPr>
              <w:t xml:space="preserve">A range of communication plans </w:t>
            </w:r>
            <w:r>
              <w:rPr>
                <w:rFonts w:ascii="Arial Narrow" w:hAnsi="Arial Narrow"/>
                <w:sz w:val="20"/>
              </w:rPr>
              <w:t>were</w:t>
            </w:r>
            <w:r w:rsidRPr="00CA3119">
              <w:rPr>
                <w:rFonts w:ascii="Arial Narrow" w:hAnsi="Arial Narrow"/>
                <w:sz w:val="20"/>
              </w:rPr>
              <w:t xml:space="preserve"> developed and implemented in support of specific business initiatives and outcomes. This included safety-focused external communication campaigns </w:t>
            </w:r>
            <w:r>
              <w:rPr>
                <w:rFonts w:ascii="Arial Narrow" w:hAnsi="Arial Narrow"/>
                <w:sz w:val="20"/>
              </w:rPr>
              <w:t xml:space="preserve">on issues </w:t>
            </w:r>
            <w:r w:rsidRPr="00CA3119">
              <w:rPr>
                <w:rFonts w:ascii="Arial Narrow" w:hAnsi="Arial Narrow"/>
                <w:sz w:val="20"/>
              </w:rPr>
              <w:t>such as cabin safety</w:t>
            </w:r>
            <w:r>
              <w:rPr>
                <w:rFonts w:ascii="Arial Narrow" w:hAnsi="Arial Narrow"/>
                <w:sz w:val="20"/>
              </w:rPr>
              <w:t>;</w:t>
            </w:r>
            <w:r w:rsidRPr="00CA3119">
              <w:rPr>
                <w:rFonts w:ascii="Arial Narrow" w:hAnsi="Arial Narrow"/>
                <w:sz w:val="20"/>
              </w:rPr>
              <w:t xml:space="preserve"> drone safety awareness, including airspace restrictions during the Commonwealth Games and </w:t>
            </w:r>
            <w:r w:rsidR="00082D80">
              <w:rPr>
                <w:rFonts w:ascii="Arial Narrow" w:hAnsi="Arial Narrow"/>
                <w:sz w:val="20"/>
              </w:rPr>
              <w:t>the ASEAN–</w:t>
            </w:r>
            <w:r>
              <w:rPr>
                <w:rFonts w:ascii="Arial Narrow" w:hAnsi="Arial Narrow"/>
                <w:sz w:val="20"/>
              </w:rPr>
              <w:t>Australia Special Summit</w:t>
            </w:r>
            <w:r w:rsidRPr="00CA3119">
              <w:rPr>
                <w:rFonts w:ascii="Arial Narrow" w:hAnsi="Arial Narrow"/>
                <w:sz w:val="20"/>
              </w:rPr>
              <w:t xml:space="preserve">; </w:t>
            </w:r>
            <w:r w:rsidRPr="00D0345B">
              <w:rPr>
                <w:rFonts w:ascii="Arial Narrow" w:hAnsi="Arial Narrow"/>
                <w:sz w:val="20"/>
              </w:rPr>
              <w:t xml:space="preserve">and </w:t>
            </w:r>
            <w:r w:rsidRPr="00D0345B">
              <w:rPr>
                <w:rFonts w:ascii="Arial Narrow" w:hAnsi="Arial Narrow"/>
                <w:sz w:val="20"/>
                <w:lang w:val="en-AU"/>
              </w:rPr>
              <w:t>changes to CASA surveillance</w:t>
            </w:r>
            <w:r w:rsidRPr="00D0345B">
              <w:rPr>
                <w:rFonts w:ascii="Arial Narrow" w:hAnsi="Arial Narrow"/>
                <w:sz w:val="20"/>
              </w:rPr>
              <w:t>.</w:t>
            </w:r>
            <w:r w:rsidRPr="00CA3119">
              <w:rPr>
                <w:rFonts w:ascii="Arial Narrow" w:hAnsi="Arial Narrow"/>
                <w:sz w:val="20"/>
              </w:rPr>
              <w:t xml:space="preserve"> </w:t>
            </w:r>
          </w:p>
          <w:p w14:paraId="0488128B" w14:textId="77777777" w:rsidR="00EF73E8" w:rsidRPr="00CA3119" w:rsidRDefault="00EF73E8" w:rsidP="00EF73E8">
            <w:pPr>
              <w:rPr>
                <w:rFonts w:ascii="Arial Narrow" w:hAnsi="Arial Narrow"/>
                <w:sz w:val="20"/>
              </w:rPr>
            </w:pPr>
            <w:r>
              <w:rPr>
                <w:rFonts w:ascii="Arial Narrow" w:hAnsi="Arial Narrow"/>
                <w:sz w:val="20"/>
              </w:rPr>
              <w:t>D</w:t>
            </w:r>
            <w:r w:rsidRPr="00CA3119">
              <w:rPr>
                <w:rFonts w:ascii="Arial Narrow" w:hAnsi="Arial Narrow"/>
                <w:sz w:val="20"/>
              </w:rPr>
              <w:t xml:space="preserve">rone safety awareness activities </w:t>
            </w:r>
            <w:r>
              <w:rPr>
                <w:rFonts w:ascii="Arial Narrow" w:hAnsi="Arial Narrow"/>
                <w:sz w:val="20"/>
              </w:rPr>
              <w:t xml:space="preserve">for the Commonwealth Games </w:t>
            </w:r>
            <w:r w:rsidRPr="00CA3119">
              <w:rPr>
                <w:rFonts w:ascii="Arial Narrow" w:hAnsi="Arial Narrow"/>
                <w:sz w:val="20"/>
              </w:rPr>
              <w:t xml:space="preserve">included tailored maps on the CASA website highlighting the restrictions in place during the </w:t>
            </w:r>
            <w:r>
              <w:rPr>
                <w:rFonts w:ascii="Arial Narrow" w:hAnsi="Arial Narrow"/>
                <w:sz w:val="20"/>
              </w:rPr>
              <w:t>g</w:t>
            </w:r>
            <w:r w:rsidRPr="00CA3119">
              <w:rPr>
                <w:rFonts w:ascii="Arial Narrow" w:hAnsi="Arial Narrow"/>
                <w:sz w:val="20"/>
              </w:rPr>
              <w:t>ames</w:t>
            </w:r>
            <w:r>
              <w:rPr>
                <w:rFonts w:ascii="Arial Narrow" w:hAnsi="Arial Narrow"/>
                <w:sz w:val="20"/>
              </w:rPr>
              <w:t>;</w:t>
            </w:r>
            <w:r w:rsidRPr="00CA3119">
              <w:rPr>
                <w:rFonts w:ascii="Arial Narrow" w:hAnsi="Arial Narrow"/>
                <w:sz w:val="20"/>
              </w:rPr>
              <w:t xml:space="preserve"> social media </w:t>
            </w:r>
            <w:r>
              <w:rPr>
                <w:rFonts w:ascii="Arial Narrow" w:hAnsi="Arial Narrow"/>
                <w:sz w:val="20"/>
              </w:rPr>
              <w:t xml:space="preserve">advertising </w:t>
            </w:r>
            <w:r w:rsidRPr="00CA3119">
              <w:rPr>
                <w:rFonts w:ascii="Arial Narrow" w:hAnsi="Arial Narrow"/>
                <w:sz w:val="20"/>
              </w:rPr>
              <w:t>and targeted advertising at</w:t>
            </w:r>
            <w:r>
              <w:rPr>
                <w:rFonts w:ascii="Arial Narrow" w:hAnsi="Arial Narrow"/>
                <w:sz w:val="20"/>
              </w:rPr>
              <w:t xml:space="preserve"> the</w:t>
            </w:r>
            <w:r w:rsidRPr="00CA3119">
              <w:rPr>
                <w:rFonts w:ascii="Arial Narrow" w:hAnsi="Arial Narrow"/>
                <w:sz w:val="20"/>
              </w:rPr>
              <w:t xml:space="preserve"> Brisbane and Gold Coast airports, hotels, registered clubs, and shopping centres</w:t>
            </w:r>
            <w:r>
              <w:rPr>
                <w:rFonts w:ascii="Arial Narrow" w:hAnsi="Arial Narrow"/>
                <w:sz w:val="20"/>
              </w:rPr>
              <w:t>; and</w:t>
            </w:r>
            <w:r w:rsidRPr="00CA3119">
              <w:rPr>
                <w:rFonts w:ascii="Arial Narrow" w:hAnsi="Arial Narrow"/>
                <w:sz w:val="20"/>
              </w:rPr>
              <w:t xml:space="preserve"> 30,000 postcards </w:t>
            </w:r>
            <w:r>
              <w:rPr>
                <w:rFonts w:ascii="Arial Narrow" w:hAnsi="Arial Narrow"/>
                <w:sz w:val="20"/>
              </w:rPr>
              <w:t>(</w:t>
            </w:r>
            <w:r w:rsidRPr="00CA3119">
              <w:rPr>
                <w:rFonts w:ascii="Arial Narrow" w:hAnsi="Arial Narrow"/>
                <w:sz w:val="20"/>
              </w:rPr>
              <w:t xml:space="preserve">promoting the tagline ‘Play it safe these </w:t>
            </w:r>
            <w:r>
              <w:rPr>
                <w:rFonts w:ascii="Arial Narrow" w:hAnsi="Arial Narrow"/>
                <w:sz w:val="20"/>
              </w:rPr>
              <w:t>g</w:t>
            </w:r>
            <w:r w:rsidRPr="00CA3119">
              <w:rPr>
                <w:rFonts w:ascii="Arial Narrow" w:hAnsi="Arial Narrow"/>
                <w:sz w:val="20"/>
              </w:rPr>
              <w:t>ames, leave your drone at home’</w:t>
            </w:r>
            <w:r>
              <w:rPr>
                <w:rFonts w:ascii="Arial Narrow" w:hAnsi="Arial Narrow"/>
                <w:sz w:val="20"/>
              </w:rPr>
              <w:t>)</w:t>
            </w:r>
            <w:r w:rsidRPr="00CA3119">
              <w:rPr>
                <w:rFonts w:ascii="Arial Narrow" w:hAnsi="Arial Narrow"/>
                <w:sz w:val="20"/>
              </w:rPr>
              <w:t xml:space="preserve"> distributed </w:t>
            </w:r>
            <w:r>
              <w:rPr>
                <w:rFonts w:ascii="Arial Narrow" w:hAnsi="Arial Narrow"/>
                <w:sz w:val="20"/>
              </w:rPr>
              <w:t>via</w:t>
            </w:r>
            <w:r w:rsidRPr="00CA3119">
              <w:rPr>
                <w:rFonts w:ascii="Arial Narrow" w:hAnsi="Arial Narrow"/>
                <w:sz w:val="20"/>
              </w:rPr>
              <w:t xml:space="preserve"> backpacker and hotel accommodation. Targeted drone</w:t>
            </w:r>
            <w:r>
              <w:rPr>
                <w:rFonts w:ascii="Arial Narrow" w:hAnsi="Arial Narrow"/>
                <w:sz w:val="20"/>
              </w:rPr>
              <w:t>-related</w:t>
            </w:r>
            <w:r w:rsidRPr="00CA3119">
              <w:rPr>
                <w:rFonts w:ascii="Arial Narrow" w:hAnsi="Arial Narrow"/>
                <w:sz w:val="20"/>
              </w:rPr>
              <w:t xml:space="preserve"> advertising was also undertaken in cinemas and</w:t>
            </w:r>
            <w:r>
              <w:rPr>
                <w:rFonts w:ascii="Arial Narrow" w:hAnsi="Arial Narrow"/>
                <w:sz w:val="20"/>
              </w:rPr>
              <w:t xml:space="preserve"> on</w:t>
            </w:r>
            <w:r w:rsidRPr="00CA3119">
              <w:rPr>
                <w:rFonts w:ascii="Arial Narrow" w:hAnsi="Arial Narrow"/>
                <w:sz w:val="20"/>
              </w:rPr>
              <w:t xml:space="preserve"> ferries in Sydney</w:t>
            </w:r>
            <w:r>
              <w:rPr>
                <w:rFonts w:ascii="Arial Narrow" w:hAnsi="Arial Narrow"/>
                <w:sz w:val="20"/>
              </w:rPr>
              <w:t xml:space="preserve"> to support the ASEAN–Australia Special Summit drone restrictions</w:t>
            </w:r>
            <w:r w:rsidRPr="00CA3119">
              <w:rPr>
                <w:rFonts w:ascii="Arial Narrow" w:hAnsi="Arial Narrow"/>
                <w:sz w:val="20"/>
              </w:rPr>
              <w:t>.</w:t>
            </w:r>
          </w:p>
          <w:p w14:paraId="733C0ED2" w14:textId="77777777" w:rsidR="00EF73E8" w:rsidRPr="00CA3119" w:rsidRDefault="00EF73E8" w:rsidP="00EF73E8">
            <w:pPr>
              <w:rPr>
                <w:rFonts w:ascii="Arial Narrow" w:hAnsi="Arial Narrow"/>
                <w:sz w:val="20"/>
              </w:rPr>
            </w:pPr>
            <w:r w:rsidRPr="00CA3119">
              <w:rPr>
                <w:rFonts w:ascii="Arial Narrow" w:hAnsi="Arial Narrow"/>
                <w:sz w:val="20"/>
              </w:rPr>
              <w:t>Implementation of the ongoing sport aviation communication strategy included distribution of the</w:t>
            </w:r>
            <w:r>
              <w:rPr>
                <w:rFonts w:ascii="Arial Narrow" w:hAnsi="Arial Narrow"/>
                <w:sz w:val="20"/>
              </w:rPr>
              <w:t xml:space="preserve"> </w:t>
            </w:r>
            <w:r w:rsidRPr="004D13D4">
              <w:rPr>
                <w:rFonts w:ascii="Arial Narrow" w:hAnsi="Arial Narrow"/>
                <w:i/>
                <w:sz w:val="20"/>
              </w:rPr>
              <w:t>Close Calls Sport Aviation Special 2018</w:t>
            </w:r>
            <w:r w:rsidRPr="00CA3119">
              <w:rPr>
                <w:rFonts w:ascii="Arial Narrow" w:hAnsi="Arial Narrow"/>
                <w:sz w:val="20"/>
              </w:rPr>
              <w:t xml:space="preserve"> to the nine self-administering sport organisations.</w:t>
            </w:r>
          </w:p>
          <w:p w14:paraId="6211948F" w14:textId="77777777" w:rsidR="00EF73E8" w:rsidRPr="00CA3119" w:rsidRDefault="00EF73E8" w:rsidP="00EF73E8">
            <w:pPr>
              <w:rPr>
                <w:rFonts w:ascii="Arial Narrow" w:hAnsi="Arial Narrow"/>
                <w:sz w:val="20"/>
              </w:rPr>
            </w:pPr>
            <w:r w:rsidRPr="00CA3119">
              <w:rPr>
                <w:rFonts w:ascii="Arial Narrow" w:hAnsi="Arial Narrow"/>
                <w:sz w:val="20"/>
              </w:rPr>
              <w:t xml:space="preserve">CASA also supported the </w:t>
            </w:r>
            <w:r w:rsidRPr="00044676">
              <w:rPr>
                <w:rFonts w:ascii="Arial Narrow" w:eastAsia="Malgun Gothic" w:hAnsi="Arial Narrow" w:cs="Arial Narrow"/>
                <w:sz w:val="20"/>
                <w:lang w:eastAsia="ko-KR"/>
              </w:rPr>
              <w:t>Australian Transport Safety Bureau</w:t>
            </w:r>
            <w:r w:rsidRPr="00CA3119">
              <w:rPr>
                <w:rFonts w:ascii="Arial Narrow" w:hAnsi="Arial Narrow"/>
                <w:sz w:val="20"/>
              </w:rPr>
              <w:t xml:space="preserve"> and </w:t>
            </w:r>
            <w:r>
              <w:rPr>
                <w:rFonts w:ascii="Arial Narrow" w:hAnsi="Arial Narrow"/>
                <w:sz w:val="20"/>
              </w:rPr>
              <w:t xml:space="preserve">the </w:t>
            </w:r>
            <w:r w:rsidRPr="00CA3119">
              <w:rPr>
                <w:rFonts w:ascii="Arial Narrow" w:hAnsi="Arial Narrow"/>
                <w:sz w:val="20"/>
              </w:rPr>
              <w:t>A</w:t>
            </w:r>
            <w:r>
              <w:rPr>
                <w:rFonts w:ascii="Arial Narrow" w:hAnsi="Arial Narrow"/>
                <w:sz w:val="20"/>
              </w:rPr>
              <w:t xml:space="preserve">ustralian </w:t>
            </w:r>
            <w:r w:rsidRPr="00CA3119">
              <w:rPr>
                <w:rFonts w:ascii="Arial Narrow" w:hAnsi="Arial Narrow"/>
                <w:sz w:val="20"/>
              </w:rPr>
              <w:t>H</w:t>
            </w:r>
            <w:r>
              <w:rPr>
                <w:rFonts w:ascii="Arial Narrow" w:hAnsi="Arial Narrow"/>
                <w:sz w:val="20"/>
              </w:rPr>
              <w:t xml:space="preserve">elicopter </w:t>
            </w:r>
            <w:r w:rsidRPr="00CA3119">
              <w:rPr>
                <w:rFonts w:ascii="Arial Narrow" w:hAnsi="Arial Narrow"/>
                <w:sz w:val="20"/>
              </w:rPr>
              <w:t>I</w:t>
            </w:r>
            <w:r>
              <w:rPr>
                <w:rFonts w:ascii="Arial Narrow" w:hAnsi="Arial Narrow"/>
                <w:sz w:val="20"/>
              </w:rPr>
              <w:t xml:space="preserve">ndustry </w:t>
            </w:r>
            <w:r w:rsidRPr="00CA3119">
              <w:rPr>
                <w:rFonts w:ascii="Arial Narrow" w:hAnsi="Arial Narrow"/>
                <w:sz w:val="20"/>
              </w:rPr>
              <w:t>A</w:t>
            </w:r>
            <w:r>
              <w:rPr>
                <w:rFonts w:ascii="Arial Narrow" w:hAnsi="Arial Narrow"/>
                <w:sz w:val="20"/>
              </w:rPr>
              <w:t>ssociation</w:t>
            </w:r>
            <w:r w:rsidRPr="00CA3119">
              <w:rPr>
                <w:rFonts w:ascii="Arial Narrow" w:hAnsi="Arial Narrow"/>
                <w:sz w:val="20"/>
              </w:rPr>
              <w:t xml:space="preserve"> in </w:t>
            </w:r>
            <w:r>
              <w:rPr>
                <w:rFonts w:ascii="Arial Narrow" w:hAnsi="Arial Narrow"/>
                <w:sz w:val="20"/>
              </w:rPr>
              <w:t>delivering the</w:t>
            </w:r>
            <w:r w:rsidRPr="00CA3119">
              <w:rPr>
                <w:rFonts w:ascii="Arial Narrow" w:hAnsi="Arial Narrow"/>
                <w:sz w:val="20"/>
              </w:rPr>
              <w:t xml:space="preserve"> </w:t>
            </w:r>
            <w:r w:rsidRPr="00CA3119">
              <w:rPr>
                <w:rFonts w:ascii="Arial Narrow" w:hAnsi="Arial Narrow"/>
                <w:i/>
                <w:sz w:val="20"/>
              </w:rPr>
              <w:t>‘</w:t>
            </w:r>
            <w:r w:rsidRPr="00044676">
              <w:rPr>
                <w:rFonts w:ascii="Arial Narrow" w:hAnsi="Arial Narrow"/>
                <w:sz w:val="20"/>
              </w:rPr>
              <w:t xml:space="preserve">Don’t push it, land it’ </w:t>
            </w:r>
            <w:r w:rsidRPr="00CA3119">
              <w:rPr>
                <w:rFonts w:ascii="Arial Narrow" w:hAnsi="Arial Narrow"/>
                <w:sz w:val="20"/>
              </w:rPr>
              <w:t>safety initiative</w:t>
            </w:r>
            <w:r>
              <w:rPr>
                <w:rFonts w:ascii="Arial Narrow" w:hAnsi="Arial Narrow"/>
                <w:sz w:val="20"/>
              </w:rPr>
              <w:t>,</w:t>
            </w:r>
            <w:r w:rsidRPr="00CA3119">
              <w:rPr>
                <w:rFonts w:ascii="Arial Narrow" w:hAnsi="Arial Narrow"/>
                <w:sz w:val="20"/>
              </w:rPr>
              <w:t xml:space="preserve"> encouraging helicopter pilots to conduct a precautionary landing. The initiative was launched at Rotortech in May 2018.</w:t>
            </w:r>
          </w:p>
          <w:p w14:paraId="577D1EF8" w14:textId="77777777" w:rsidR="00EF73E8" w:rsidRPr="00CA3119" w:rsidRDefault="00EF73E8" w:rsidP="00EF73E8">
            <w:pPr>
              <w:rPr>
                <w:rFonts w:ascii="Arial Narrow" w:hAnsi="Arial Narrow"/>
                <w:sz w:val="20"/>
              </w:rPr>
            </w:pPr>
            <w:r w:rsidRPr="00CA3119">
              <w:rPr>
                <w:rFonts w:ascii="Arial Narrow" w:hAnsi="Arial Narrow"/>
                <w:sz w:val="20"/>
              </w:rPr>
              <w:t>Communications to industry and staff were developed and implemented in support of the Service Delivery Transformation program, in readiness for the release of a new aviation reference number application portal and</w:t>
            </w:r>
            <w:r>
              <w:rPr>
                <w:rFonts w:ascii="Arial Narrow" w:hAnsi="Arial Narrow"/>
                <w:sz w:val="20"/>
              </w:rPr>
              <w:t xml:space="preserve"> related</w:t>
            </w:r>
            <w:r w:rsidRPr="00CA3119">
              <w:rPr>
                <w:rFonts w:ascii="Arial Narrow" w:hAnsi="Arial Narrow"/>
                <w:sz w:val="20"/>
              </w:rPr>
              <w:t xml:space="preserve"> forms in July 2018.</w:t>
            </w:r>
          </w:p>
          <w:p w14:paraId="7619F4F2" w14:textId="77777777" w:rsidR="00EF73E8" w:rsidRPr="00CA3119" w:rsidRDefault="00EF73E8" w:rsidP="00EF73E8">
            <w:pPr>
              <w:rPr>
                <w:rFonts w:ascii="Arial Narrow" w:hAnsi="Arial Narrow"/>
                <w:sz w:val="20"/>
              </w:rPr>
            </w:pPr>
            <w:r w:rsidRPr="00CA3119">
              <w:rPr>
                <w:rFonts w:ascii="Arial Narrow" w:hAnsi="Arial Narrow"/>
                <w:sz w:val="20"/>
              </w:rPr>
              <w:t xml:space="preserve">Significant industry and staff communication was also undertaken </w:t>
            </w:r>
            <w:r>
              <w:rPr>
                <w:rFonts w:ascii="Arial Narrow" w:hAnsi="Arial Narrow"/>
                <w:sz w:val="20"/>
              </w:rPr>
              <w:t>in</w:t>
            </w:r>
            <w:r w:rsidRPr="00CA3119">
              <w:rPr>
                <w:rFonts w:ascii="Arial Narrow" w:hAnsi="Arial Narrow"/>
                <w:sz w:val="20"/>
              </w:rPr>
              <w:t xml:space="preserve"> regard to changes to aviation medicine. This included partnering with medical associations </w:t>
            </w:r>
            <w:r>
              <w:rPr>
                <w:rFonts w:ascii="Arial Narrow" w:hAnsi="Arial Narrow"/>
                <w:sz w:val="20"/>
              </w:rPr>
              <w:t>to educate</w:t>
            </w:r>
            <w:r w:rsidRPr="00CA3119">
              <w:rPr>
                <w:rFonts w:ascii="Arial Narrow" w:hAnsi="Arial Narrow"/>
                <w:sz w:val="20"/>
              </w:rPr>
              <w:t xml:space="preserve"> the broader medical professional community about the changes.</w:t>
            </w:r>
          </w:p>
          <w:p w14:paraId="5CD6D47C" w14:textId="77777777" w:rsidR="000F61DE" w:rsidRPr="00CA3119" w:rsidRDefault="00EF73E8" w:rsidP="00082D80">
            <w:pPr>
              <w:rPr>
                <w:rFonts w:ascii="Arial Narrow" w:hAnsi="Arial Narrow" w:cs="Arial"/>
                <w:sz w:val="20"/>
              </w:rPr>
            </w:pPr>
            <w:r w:rsidRPr="00CA3119">
              <w:rPr>
                <w:rFonts w:ascii="Arial Narrow" w:hAnsi="Arial Narrow"/>
                <w:sz w:val="20"/>
              </w:rPr>
              <w:t>Internal communication plans were developed and implemented in support of the Renewing CASA post</w:t>
            </w:r>
            <w:r>
              <w:rPr>
                <w:rFonts w:ascii="Arial Narrow" w:hAnsi="Arial Narrow"/>
                <w:sz w:val="20"/>
              </w:rPr>
              <w:t>-</w:t>
            </w:r>
            <w:r w:rsidRPr="00CA3119">
              <w:rPr>
                <w:rFonts w:ascii="Arial Narrow" w:hAnsi="Arial Narrow"/>
                <w:sz w:val="20"/>
              </w:rPr>
              <w:t>implementation review, the rollout of end</w:t>
            </w:r>
            <w:r>
              <w:rPr>
                <w:rFonts w:ascii="Arial Narrow" w:hAnsi="Arial Narrow"/>
                <w:sz w:val="20"/>
              </w:rPr>
              <w:t>-</w:t>
            </w:r>
            <w:r w:rsidRPr="00CA3119">
              <w:rPr>
                <w:rFonts w:ascii="Arial Narrow" w:hAnsi="Arial Narrow"/>
                <w:sz w:val="20"/>
              </w:rPr>
              <w:t>user computing devices, the launch of an internal online training platform (Lynda.com)</w:t>
            </w:r>
            <w:r>
              <w:rPr>
                <w:rFonts w:ascii="Arial Narrow" w:hAnsi="Arial Narrow"/>
                <w:sz w:val="20"/>
              </w:rPr>
              <w:t>,</w:t>
            </w:r>
            <w:r w:rsidRPr="00CA3119">
              <w:rPr>
                <w:rFonts w:ascii="Arial Narrow" w:hAnsi="Arial Narrow"/>
                <w:sz w:val="20"/>
              </w:rPr>
              <w:t xml:space="preserve"> and ongoing internal initiatives </w:t>
            </w:r>
            <w:r w:rsidR="00082D80">
              <w:rPr>
                <w:rFonts w:ascii="Arial Narrow" w:hAnsi="Arial Narrow"/>
                <w:sz w:val="20"/>
              </w:rPr>
              <w:t xml:space="preserve">in areas </w:t>
            </w:r>
            <w:r w:rsidRPr="00CA3119">
              <w:rPr>
                <w:rFonts w:ascii="Arial Narrow" w:hAnsi="Arial Narrow"/>
                <w:sz w:val="20"/>
              </w:rPr>
              <w:t xml:space="preserve">such as an employee engagement survey, </w:t>
            </w:r>
            <w:r>
              <w:rPr>
                <w:rFonts w:ascii="Arial Narrow" w:hAnsi="Arial Narrow"/>
                <w:sz w:val="20"/>
              </w:rPr>
              <w:t>work health and safety</w:t>
            </w:r>
            <w:r w:rsidRPr="00082D80">
              <w:rPr>
                <w:rFonts w:ascii="Arial Narrow" w:hAnsi="Arial Narrow"/>
                <w:sz w:val="20"/>
              </w:rPr>
              <w:t>, diversity,</w:t>
            </w:r>
            <w:r w:rsidRPr="00CA3119">
              <w:rPr>
                <w:rFonts w:ascii="Arial Narrow" w:hAnsi="Arial Narrow"/>
                <w:sz w:val="20"/>
              </w:rPr>
              <w:t xml:space="preserve"> and</w:t>
            </w:r>
            <w:r>
              <w:rPr>
                <w:rFonts w:ascii="Arial Narrow" w:hAnsi="Arial Narrow"/>
                <w:sz w:val="20"/>
              </w:rPr>
              <w:t xml:space="preserve"> changes to physical workplace environments.</w:t>
            </w:r>
          </w:p>
        </w:tc>
      </w:tr>
      <w:tr w:rsidR="000F61DE" w:rsidRPr="006C0823" w14:paraId="009BC6B8" w14:textId="77777777" w:rsidTr="00A86663">
        <w:tc>
          <w:tcPr>
            <w:tcW w:w="521" w:type="pct"/>
            <w:shd w:val="clear" w:color="auto" w:fill="D9D9D9"/>
          </w:tcPr>
          <w:p w14:paraId="4C4372F2"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9D9D9"/>
          </w:tcPr>
          <w:p w14:paraId="529D88F3" w14:textId="77777777" w:rsidR="000F61DE" w:rsidRPr="006C0823" w:rsidRDefault="000F61DE" w:rsidP="006E2310">
            <w:pPr>
              <w:pStyle w:val="TableText"/>
              <w:rPr>
                <w:rFonts w:eastAsia="Times New Roman"/>
              </w:rPr>
            </w:pPr>
            <w:r>
              <w:rPr>
                <w:rFonts w:cs="Arial"/>
              </w:rPr>
              <w:t>R</w:t>
            </w:r>
            <w:r w:rsidRPr="00586E31">
              <w:rPr>
                <w:rFonts w:cs="Arial"/>
              </w:rPr>
              <w:t xml:space="preserve">eview and refine existing programs/products such as </w:t>
            </w:r>
            <w:r w:rsidRPr="00586E31">
              <w:rPr>
                <w:rFonts w:cs="Arial"/>
                <w:i/>
              </w:rPr>
              <w:t>OnTrack</w:t>
            </w:r>
            <w:r w:rsidRPr="00586E31">
              <w:rPr>
                <w:rFonts w:cs="Arial"/>
              </w:rPr>
              <w:t xml:space="preserve"> and </w:t>
            </w:r>
            <w:r>
              <w:rPr>
                <w:rFonts w:cs="Arial"/>
              </w:rPr>
              <w:t>Human Factors</w:t>
            </w:r>
            <w:r w:rsidRPr="00586E31">
              <w:rPr>
                <w:rFonts w:cs="Arial"/>
              </w:rPr>
              <w:t xml:space="preserve"> for pilots in a process of continuous improvement</w:t>
            </w:r>
          </w:p>
        </w:tc>
      </w:tr>
      <w:tr w:rsidR="000F61DE" w:rsidRPr="006C0823" w14:paraId="166ECFBB" w14:textId="77777777" w:rsidTr="00A86663">
        <w:tc>
          <w:tcPr>
            <w:tcW w:w="521" w:type="pct"/>
          </w:tcPr>
          <w:p w14:paraId="73233EA8" w14:textId="77777777" w:rsidR="000F61DE" w:rsidRPr="006C0823" w:rsidRDefault="000F61DE" w:rsidP="006E2310">
            <w:pPr>
              <w:pStyle w:val="TableHeading"/>
              <w:keepNext w:val="0"/>
              <w:rPr>
                <w:rFonts w:eastAsia="Times New Roman"/>
              </w:rPr>
            </w:pPr>
            <w:r w:rsidRPr="006C0823">
              <w:rPr>
                <w:rFonts w:eastAsia="Times New Roman"/>
              </w:rPr>
              <w:t>Result</w:t>
            </w:r>
          </w:p>
          <w:p w14:paraId="2A27AD9E"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4F3C4BB5" w14:textId="77777777" w:rsidR="000F61DE" w:rsidRPr="00CA3119" w:rsidRDefault="000F61DE" w:rsidP="006E2310">
            <w:pPr>
              <w:rPr>
                <w:rFonts w:ascii="Arial Narrow" w:hAnsi="Arial Narrow" w:cs="Arial"/>
                <w:sz w:val="20"/>
              </w:rPr>
            </w:pPr>
            <w:r w:rsidRPr="00CA3119">
              <w:rPr>
                <w:rFonts w:ascii="Arial Narrow" w:hAnsi="Arial Narrow" w:cs="Arial"/>
                <w:i/>
                <w:sz w:val="20"/>
              </w:rPr>
              <w:t>OnTrack</w:t>
            </w:r>
            <w:r w:rsidRPr="00CA3119">
              <w:rPr>
                <w:rFonts w:ascii="Arial Narrow" w:hAnsi="Arial Narrow" w:cs="Arial"/>
                <w:sz w:val="20"/>
              </w:rPr>
              <w:t xml:space="preserve"> now requires updating due to airspace changes. </w:t>
            </w:r>
            <w:r>
              <w:rPr>
                <w:rFonts w:ascii="Arial Narrow" w:hAnsi="Arial Narrow" w:cs="Arial"/>
                <w:sz w:val="20"/>
              </w:rPr>
              <w:t xml:space="preserve">CASA has commenced research into the use of </w:t>
            </w:r>
            <w:r w:rsidRPr="000F58F6">
              <w:rPr>
                <w:rFonts w:ascii="Arial Narrow" w:hAnsi="Arial Narrow" w:cs="Arial"/>
                <w:i/>
                <w:sz w:val="20"/>
              </w:rPr>
              <w:t>OnTrack</w:t>
            </w:r>
            <w:r>
              <w:rPr>
                <w:rFonts w:ascii="Arial Narrow" w:hAnsi="Arial Narrow" w:cs="Arial"/>
                <w:sz w:val="20"/>
              </w:rPr>
              <w:t xml:space="preserve"> and </w:t>
            </w:r>
            <w:r w:rsidRPr="00CA3119">
              <w:rPr>
                <w:rFonts w:ascii="Arial Narrow" w:hAnsi="Arial Narrow" w:cs="Arial"/>
                <w:sz w:val="20"/>
              </w:rPr>
              <w:t xml:space="preserve">a review of the best platform/format to convey </w:t>
            </w:r>
            <w:r>
              <w:rPr>
                <w:rFonts w:ascii="Arial Narrow" w:hAnsi="Arial Narrow" w:cs="Arial"/>
                <w:sz w:val="20"/>
              </w:rPr>
              <w:t>its</w:t>
            </w:r>
            <w:r w:rsidRPr="00CA3119">
              <w:rPr>
                <w:rFonts w:ascii="Arial Narrow" w:hAnsi="Arial Narrow" w:cs="Arial"/>
                <w:sz w:val="20"/>
              </w:rPr>
              <w:t xml:space="preserve"> information in the future.</w:t>
            </w:r>
          </w:p>
          <w:p w14:paraId="57313944" w14:textId="77777777" w:rsidR="000F61DE" w:rsidRPr="006C0823" w:rsidRDefault="000F61DE" w:rsidP="006E2310">
            <w:pPr>
              <w:pStyle w:val="TableText"/>
              <w:rPr>
                <w:rFonts w:eastAsia="Times New Roman"/>
              </w:rPr>
            </w:pPr>
            <w:r w:rsidRPr="00CA3119">
              <w:rPr>
                <w:rFonts w:cs="Arial"/>
              </w:rPr>
              <w:t>A revision of the</w:t>
            </w:r>
            <w:r w:rsidRPr="00CA3119">
              <w:rPr>
                <w:rFonts w:cs="Arial"/>
                <w:i/>
              </w:rPr>
              <w:t xml:space="preserve"> Safety Behaviours: Human Factors for Pilots </w:t>
            </w:r>
            <w:r w:rsidRPr="00CA3119">
              <w:t>resource kit is underway</w:t>
            </w:r>
            <w:r>
              <w:t>.</w:t>
            </w:r>
            <w:r w:rsidRPr="00CA3119">
              <w:t xml:space="preserve"> </w:t>
            </w:r>
            <w:r>
              <w:t>T</w:t>
            </w:r>
            <w:r w:rsidRPr="00CA3119">
              <w:t xml:space="preserve">he majority of text </w:t>
            </w:r>
            <w:r>
              <w:t xml:space="preserve">was </w:t>
            </w:r>
            <w:r w:rsidRPr="00CA3119">
              <w:t xml:space="preserve">completed in June 2018 and the remaining video and workbook components </w:t>
            </w:r>
            <w:r>
              <w:t xml:space="preserve">are </w:t>
            </w:r>
            <w:r w:rsidRPr="00CA3119">
              <w:t xml:space="preserve">expected to be completed by the second quarter of 2018–19. The kit is being revised to meet likely human factor requirements for Part 135 under the new </w:t>
            </w:r>
            <w:r>
              <w:t xml:space="preserve">regulations for </w:t>
            </w:r>
            <w:r w:rsidRPr="00CA3119">
              <w:t>small aircraft transport</w:t>
            </w:r>
            <w:r w:rsidRPr="00CA3119">
              <w:rPr>
                <w:rFonts w:cs="Arial"/>
                <w:i/>
              </w:rPr>
              <w:t>.</w:t>
            </w:r>
          </w:p>
        </w:tc>
      </w:tr>
      <w:tr w:rsidR="000F61DE" w:rsidRPr="006C0823" w14:paraId="77F03D1C" w14:textId="77777777" w:rsidTr="00A86663">
        <w:tc>
          <w:tcPr>
            <w:tcW w:w="521" w:type="pct"/>
            <w:shd w:val="clear" w:color="auto" w:fill="D9D9D9"/>
          </w:tcPr>
          <w:p w14:paraId="3423ED3C" w14:textId="77777777" w:rsidR="000F61DE" w:rsidRPr="006C0823" w:rsidRDefault="000F61DE" w:rsidP="006E2310">
            <w:pPr>
              <w:pStyle w:val="TableHeading"/>
              <w:rPr>
                <w:rFonts w:eastAsia="Times New Roman"/>
              </w:rPr>
            </w:pPr>
            <w:r w:rsidRPr="006C0823">
              <w:rPr>
                <w:rFonts w:eastAsia="Times New Roman"/>
              </w:rPr>
              <w:t>Measure</w:t>
            </w:r>
          </w:p>
        </w:tc>
        <w:tc>
          <w:tcPr>
            <w:tcW w:w="4479" w:type="pct"/>
            <w:shd w:val="clear" w:color="auto" w:fill="D9D9D9"/>
          </w:tcPr>
          <w:p w14:paraId="6150E864" w14:textId="77777777" w:rsidR="000F61DE" w:rsidRPr="006C0823" w:rsidRDefault="000F61DE" w:rsidP="006E2310">
            <w:pPr>
              <w:pStyle w:val="TableText"/>
              <w:rPr>
                <w:rFonts w:eastAsia="Times New Roman"/>
              </w:rPr>
            </w:pPr>
            <w:r>
              <w:rPr>
                <w:rFonts w:cs="Arial"/>
              </w:rPr>
              <w:t>D</w:t>
            </w:r>
            <w:r w:rsidRPr="007360EF">
              <w:rPr>
                <w:rFonts w:cs="Arial"/>
              </w:rPr>
              <w:t>evelop</w:t>
            </w:r>
            <w:r>
              <w:rPr>
                <w:rFonts w:cs="Arial"/>
              </w:rPr>
              <w:t xml:space="preserve"> a</w:t>
            </w:r>
            <w:r w:rsidRPr="007360EF">
              <w:rPr>
                <w:rFonts w:cs="Arial"/>
              </w:rPr>
              <w:t xml:space="preserve"> social media strategy</w:t>
            </w:r>
          </w:p>
        </w:tc>
      </w:tr>
      <w:tr w:rsidR="000F61DE" w:rsidRPr="006C0823" w14:paraId="2A221A17" w14:textId="77777777" w:rsidTr="00A86663">
        <w:tc>
          <w:tcPr>
            <w:tcW w:w="521" w:type="pct"/>
          </w:tcPr>
          <w:p w14:paraId="566553E1" w14:textId="77777777" w:rsidR="000F61DE" w:rsidRPr="006C0823" w:rsidRDefault="000F61DE" w:rsidP="006E2310">
            <w:pPr>
              <w:pStyle w:val="TableHeading"/>
              <w:keepNext w:val="0"/>
              <w:rPr>
                <w:rFonts w:eastAsia="Times New Roman"/>
              </w:rPr>
            </w:pPr>
            <w:r w:rsidRPr="006C0823">
              <w:rPr>
                <w:rFonts w:eastAsia="Times New Roman"/>
              </w:rPr>
              <w:t>Result</w:t>
            </w:r>
          </w:p>
          <w:p w14:paraId="084FD08F"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7900AE0D" w14:textId="77777777" w:rsidR="000F61DE" w:rsidRPr="006C0823" w:rsidRDefault="000F61DE" w:rsidP="006E2310">
            <w:pPr>
              <w:pStyle w:val="TableText"/>
              <w:rPr>
                <w:rFonts w:eastAsia="Times New Roman"/>
              </w:rPr>
            </w:pPr>
            <w:r>
              <w:rPr>
                <w:rFonts w:cs="Arial"/>
              </w:rPr>
              <w:t xml:space="preserve">A social media strategy has been drafted and is being finalised. </w:t>
            </w:r>
            <w:r w:rsidRPr="002E02F5">
              <w:t>The strategy makes several recommendations which are currently being explored in more detail</w:t>
            </w:r>
            <w:r>
              <w:t xml:space="preserve">, </w:t>
            </w:r>
            <w:r w:rsidRPr="002E02F5">
              <w:t xml:space="preserve">including </w:t>
            </w:r>
            <w:r>
              <w:t xml:space="preserve">a recommendation to </w:t>
            </w:r>
            <w:r w:rsidRPr="002E02F5">
              <w:t xml:space="preserve">trial the use of Facebook Live </w:t>
            </w:r>
            <w:r>
              <w:t xml:space="preserve">video streaming </w:t>
            </w:r>
            <w:r w:rsidRPr="002E02F5">
              <w:t>for outreach activities.</w:t>
            </w:r>
          </w:p>
        </w:tc>
      </w:tr>
    </w:tbl>
    <w:p w14:paraId="794FB773" w14:textId="77777777" w:rsidR="00EE52B0" w:rsidRDefault="00EE52B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8077"/>
      </w:tblGrid>
      <w:tr w:rsidR="000F61DE" w:rsidRPr="006C0823" w14:paraId="7AA9134F" w14:textId="77777777" w:rsidTr="00EE52B0">
        <w:trPr>
          <w:tblHeader/>
        </w:trPr>
        <w:tc>
          <w:tcPr>
            <w:tcW w:w="521" w:type="pct"/>
            <w:shd w:val="clear" w:color="auto" w:fill="B8CCE4"/>
          </w:tcPr>
          <w:p w14:paraId="023DA17B" w14:textId="77777777" w:rsidR="000F61DE" w:rsidRPr="006C0823" w:rsidRDefault="000F61DE" w:rsidP="006E2310">
            <w:pPr>
              <w:pStyle w:val="TableHeading"/>
              <w:keepNext w:val="0"/>
              <w:rPr>
                <w:rFonts w:eastAsia="Times New Roman"/>
              </w:rPr>
            </w:pPr>
            <w:r w:rsidRPr="006C0823">
              <w:rPr>
                <w:rFonts w:eastAsia="Times New Roman"/>
              </w:rPr>
              <w:lastRenderedPageBreak/>
              <w:t>Initiative</w:t>
            </w:r>
          </w:p>
          <w:p w14:paraId="116891FA" w14:textId="77777777" w:rsidR="000F61DE" w:rsidRPr="006C0823" w:rsidRDefault="000F61DE" w:rsidP="006E2310">
            <w:pPr>
              <w:pStyle w:val="TableHeading"/>
              <w:keepNext w:val="0"/>
              <w:rPr>
                <w:rFonts w:eastAsia="Times New Roman"/>
              </w:rPr>
            </w:pPr>
            <w:r w:rsidRPr="006C0823">
              <w:rPr>
                <w:rFonts w:eastAsia="Times New Roman"/>
              </w:rPr>
              <w:t>2.5</w:t>
            </w:r>
          </w:p>
        </w:tc>
        <w:tc>
          <w:tcPr>
            <w:tcW w:w="4479" w:type="pct"/>
            <w:shd w:val="clear" w:color="auto" w:fill="B8CCE4"/>
          </w:tcPr>
          <w:p w14:paraId="73B4D054" w14:textId="77777777" w:rsidR="000F61DE" w:rsidRPr="000D0F3D" w:rsidRDefault="000F61DE" w:rsidP="006E2310">
            <w:pPr>
              <w:pStyle w:val="TableText"/>
              <w:rPr>
                <w:rFonts w:eastAsia="Times New Roman"/>
              </w:rPr>
            </w:pPr>
            <w:r w:rsidRPr="000D0F3D">
              <w:rPr>
                <w:b/>
              </w:rPr>
              <w:t>Strengthening international and Asia Pacific regional aviation safety engagement</w:t>
            </w:r>
          </w:p>
        </w:tc>
      </w:tr>
      <w:tr w:rsidR="000F61DE" w:rsidRPr="006C0823" w14:paraId="30949383" w14:textId="77777777" w:rsidTr="00A86663">
        <w:tc>
          <w:tcPr>
            <w:tcW w:w="521" w:type="pct"/>
            <w:shd w:val="clear" w:color="auto" w:fill="D9D9D9"/>
          </w:tcPr>
          <w:p w14:paraId="4356B403" w14:textId="77777777" w:rsidR="000F61DE" w:rsidRPr="006C0823" w:rsidRDefault="000F61DE" w:rsidP="006E2310">
            <w:pPr>
              <w:pStyle w:val="TableHeading"/>
              <w:keepNext w:val="0"/>
              <w:rPr>
                <w:rFonts w:eastAsia="Times New Roman"/>
              </w:rPr>
            </w:pPr>
            <w:r w:rsidRPr="006C0823">
              <w:rPr>
                <w:rFonts w:eastAsia="Times New Roman"/>
              </w:rPr>
              <w:t>Measure</w:t>
            </w:r>
          </w:p>
        </w:tc>
        <w:tc>
          <w:tcPr>
            <w:tcW w:w="4479" w:type="pct"/>
            <w:shd w:val="clear" w:color="auto" w:fill="D9D9D9"/>
          </w:tcPr>
          <w:p w14:paraId="7044A9BC" w14:textId="77777777" w:rsidR="000F61DE" w:rsidRPr="000D0F3D" w:rsidRDefault="000F61DE" w:rsidP="00283BA5">
            <w:pPr>
              <w:pStyle w:val="TableText"/>
            </w:pPr>
            <w:r w:rsidRPr="000D0F3D">
              <w:t>Finalise, publish and begin to implement CASA’s International Engagement Strategy ensuring appropriate focus on:</w:t>
            </w:r>
          </w:p>
          <w:p w14:paraId="1530788D" w14:textId="77777777" w:rsidR="000F61DE" w:rsidRPr="000D0F3D" w:rsidRDefault="000F61DE" w:rsidP="006E2310">
            <w:pPr>
              <w:pStyle w:val="TableBullet"/>
            </w:pPr>
            <w:r w:rsidRPr="000D0F3D">
              <w:t>mutual recognition arrangements</w:t>
            </w:r>
          </w:p>
          <w:p w14:paraId="7F8D7862" w14:textId="77777777" w:rsidR="000F61DE" w:rsidRPr="000D0F3D" w:rsidRDefault="000F61DE" w:rsidP="006E2310">
            <w:pPr>
              <w:pStyle w:val="TableBullet"/>
            </w:pPr>
            <w:r w:rsidRPr="000D0F3D">
              <w:t>the Government’s safety initiatives in the Asia Pacific region; and</w:t>
            </w:r>
          </w:p>
          <w:p w14:paraId="71504C86" w14:textId="77777777" w:rsidR="000F61DE" w:rsidRPr="006C0823" w:rsidRDefault="000F61DE" w:rsidP="006E2310">
            <w:pPr>
              <w:pStyle w:val="TableBullet"/>
            </w:pPr>
            <w:r w:rsidRPr="000D0F3D">
              <w:t>commitment to the Tripartite MoU between the Department, Airservices Australia and CASA regarding the management of Australia’s International Civil Aviation Organization (ICAO) responsibilities</w:t>
            </w:r>
          </w:p>
        </w:tc>
      </w:tr>
      <w:tr w:rsidR="000F61DE" w:rsidRPr="006C0823" w14:paraId="37262CC3" w14:textId="77777777" w:rsidTr="00A86663">
        <w:tc>
          <w:tcPr>
            <w:tcW w:w="521" w:type="pct"/>
          </w:tcPr>
          <w:p w14:paraId="4EEBD28B" w14:textId="77777777" w:rsidR="000F61DE" w:rsidRPr="006C0823" w:rsidRDefault="000F61DE" w:rsidP="006E2310">
            <w:pPr>
              <w:pStyle w:val="TableHeading"/>
              <w:keepNext w:val="0"/>
              <w:rPr>
                <w:rFonts w:eastAsia="Times New Roman"/>
              </w:rPr>
            </w:pPr>
            <w:r w:rsidRPr="006C0823">
              <w:rPr>
                <w:rFonts w:eastAsia="Times New Roman"/>
              </w:rPr>
              <w:t>Result</w:t>
            </w:r>
          </w:p>
          <w:p w14:paraId="47F9030D"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36F6DA6C" w14:textId="77777777" w:rsidR="000F61DE" w:rsidRPr="006C0823" w:rsidRDefault="000F61DE" w:rsidP="006E2310">
            <w:pPr>
              <w:pStyle w:val="TableText"/>
              <w:rPr>
                <w:rFonts w:cs="Arial Narrow"/>
                <w:lang w:eastAsia="en-AU"/>
              </w:rPr>
            </w:pPr>
            <w:r>
              <w:rPr>
                <w:rFonts w:cs="Arial"/>
              </w:rPr>
              <w:t xml:space="preserve">CASA </w:t>
            </w:r>
            <w:r w:rsidRPr="00762280">
              <w:rPr>
                <w:rFonts w:cs="Arial"/>
              </w:rPr>
              <w:t xml:space="preserve">commenced </w:t>
            </w:r>
            <w:r>
              <w:rPr>
                <w:rFonts w:cs="Arial"/>
              </w:rPr>
              <w:t xml:space="preserve">the </w:t>
            </w:r>
            <w:r w:rsidRPr="00762280">
              <w:rPr>
                <w:rFonts w:cs="Arial"/>
              </w:rPr>
              <w:t xml:space="preserve">implementation of the </w:t>
            </w:r>
            <w:r w:rsidR="00D9171E">
              <w:rPr>
                <w:rFonts w:cs="Arial"/>
              </w:rPr>
              <w:t>I</w:t>
            </w:r>
            <w:r w:rsidRPr="00762280">
              <w:rPr>
                <w:rFonts w:cs="Arial"/>
              </w:rPr>
              <w:t xml:space="preserve">nternational </w:t>
            </w:r>
            <w:r w:rsidR="00D9171E">
              <w:rPr>
                <w:rFonts w:cs="Arial"/>
              </w:rPr>
              <w:t>E</w:t>
            </w:r>
            <w:r w:rsidRPr="00762280">
              <w:rPr>
                <w:rFonts w:cs="Arial"/>
              </w:rPr>
              <w:t xml:space="preserve">ngagement </w:t>
            </w:r>
            <w:r w:rsidR="00D9171E">
              <w:rPr>
                <w:rFonts w:cs="Arial"/>
              </w:rPr>
              <w:t>S</w:t>
            </w:r>
            <w:r w:rsidRPr="00762280">
              <w:rPr>
                <w:rFonts w:cs="Arial"/>
              </w:rPr>
              <w:t xml:space="preserve">trategy and the development of an operational approach and action plan considering CASA policy and Australian </w:t>
            </w:r>
            <w:r>
              <w:rPr>
                <w:rFonts w:cs="Arial"/>
              </w:rPr>
              <w:t>G</w:t>
            </w:r>
            <w:r w:rsidRPr="00762280">
              <w:rPr>
                <w:rFonts w:cs="Arial"/>
              </w:rPr>
              <w:t xml:space="preserve">overnment policy priorities. The implementation approach considers bilateral relationships, regulatory opportunities and risks, </w:t>
            </w:r>
            <w:r>
              <w:rPr>
                <w:rFonts w:cs="Arial"/>
              </w:rPr>
              <w:t>and</w:t>
            </w:r>
            <w:r w:rsidRPr="00762280">
              <w:rPr>
                <w:rFonts w:cs="Arial"/>
              </w:rPr>
              <w:t xml:space="preserve"> industry representation. </w:t>
            </w:r>
            <w:r>
              <w:rPr>
                <w:rFonts w:cs="Arial"/>
              </w:rPr>
              <w:t>W</w:t>
            </w:r>
            <w:r w:rsidRPr="00762280">
              <w:rPr>
                <w:rFonts w:cs="Arial"/>
              </w:rPr>
              <w:t>ork</w:t>
            </w:r>
            <w:r>
              <w:rPr>
                <w:rFonts w:cs="Arial"/>
              </w:rPr>
              <w:t xml:space="preserve"> </w:t>
            </w:r>
            <w:r w:rsidRPr="00762280">
              <w:rPr>
                <w:rFonts w:cs="Arial"/>
              </w:rPr>
              <w:t xml:space="preserve">to collect data to </w:t>
            </w:r>
            <w:r>
              <w:rPr>
                <w:rFonts w:cs="Arial"/>
              </w:rPr>
              <w:t xml:space="preserve">enable CASA to </w:t>
            </w:r>
            <w:r w:rsidRPr="00762280">
              <w:rPr>
                <w:rFonts w:cs="Arial"/>
              </w:rPr>
              <w:t xml:space="preserve">enact and refine </w:t>
            </w:r>
            <w:r>
              <w:rPr>
                <w:rFonts w:cs="Arial"/>
              </w:rPr>
              <w:t>the strategy is ongoing</w:t>
            </w:r>
            <w:r w:rsidRPr="00762280">
              <w:rPr>
                <w:rFonts w:cs="Arial"/>
              </w:rPr>
              <w:t xml:space="preserve">. </w:t>
            </w:r>
            <w:r>
              <w:rPr>
                <w:rFonts w:cs="Arial"/>
              </w:rPr>
              <w:t>CASA’s b</w:t>
            </w:r>
            <w:r w:rsidRPr="00762280">
              <w:rPr>
                <w:rFonts w:cs="Arial"/>
              </w:rPr>
              <w:t>ilateral and trilateral efforts throughout the year accorded with the strategic priorities described in the international engagement strategy.</w:t>
            </w:r>
          </w:p>
        </w:tc>
      </w:tr>
      <w:tr w:rsidR="000F61DE" w:rsidRPr="006C0823" w14:paraId="66CC643E" w14:textId="77777777" w:rsidTr="00A86663">
        <w:tc>
          <w:tcPr>
            <w:tcW w:w="521" w:type="pct"/>
            <w:shd w:val="clear" w:color="auto" w:fill="D9D9D9"/>
          </w:tcPr>
          <w:p w14:paraId="4E901246" w14:textId="77777777" w:rsidR="000F61DE" w:rsidRPr="006C0823" w:rsidRDefault="000F61DE" w:rsidP="006E2310">
            <w:pPr>
              <w:pStyle w:val="TableHeading"/>
              <w:keepNext w:val="0"/>
              <w:rPr>
                <w:rFonts w:eastAsia="Times New Roman"/>
              </w:rPr>
            </w:pPr>
            <w:r w:rsidRPr="006C0823">
              <w:rPr>
                <w:rFonts w:eastAsia="Times New Roman"/>
              </w:rPr>
              <w:t>Measure</w:t>
            </w:r>
          </w:p>
        </w:tc>
        <w:tc>
          <w:tcPr>
            <w:tcW w:w="4479" w:type="pct"/>
            <w:shd w:val="clear" w:color="auto" w:fill="D9D9D9"/>
          </w:tcPr>
          <w:p w14:paraId="0819F4AE" w14:textId="77777777" w:rsidR="000F61DE" w:rsidRPr="006C0823" w:rsidRDefault="000F61DE" w:rsidP="006E2310">
            <w:pPr>
              <w:pStyle w:val="TableText"/>
              <w:rPr>
                <w:rFonts w:eastAsia="Times New Roman"/>
              </w:rPr>
            </w:pPr>
            <w:r>
              <w:t>Develop stronger relationship with the Civil Aviation Authority</w:t>
            </w:r>
            <w:r w:rsidRPr="00D61390">
              <w:t xml:space="preserve"> </w:t>
            </w:r>
            <w:r>
              <w:t>New Zealand and the Defence Aviation Safety Authority to exploit mutually beneficial outcomes</w:t>
            </w:r>
          </w:p>
        </w:tc>
      </w:tr>
      <w:tr w:rsidR="000F61DE" w:rsidRPr="006C0823" w14:paraId="083F3FBC" w14:textId="77777777" w:rsidTr="00A86663">
        <w:tc>
          <w:tcPr>
            <w:tcW w:w="521" w:type="pct"/>
          </w:tcPr>
          <w:p w14:paraId="4A2E7EBB" w14:textId="77777777" w:rsidR="000F61DE" w:rsidRPr="006C0823" w:rsidRDefault="000F61DE" w:rsidP="006E2310">
            <w:pPr>
              <w:pStyle w:val="TableHeading"/>
              <w:keepNext w:val="0"/>
              <w:rPr>
                <w:rFonts w:eastAsia="Times New Roman"/>
              </w:rPr>
            </w:pPr>
            <w:r w:rsidRPr="006C0823">
              <w:rPr>
                <w:rFonts w:eastAsia="Times New Roman"/>
              </w:rPr>
              <w:t>Result</w:t>
            </w:r>
          </w:p>
          <w:p w14:paraId="74C0AE76"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1EF1DF9A" w14:textId="77777777" w:rsidR="000F61DE" w:rsidRPr="00CA3119" w:rsidRDefault="000F61DE" w:rsidP="006E2310">
            <w:pPr>
              <w:rPr>
                <w:rFonts w:ascii="Arial Narrow" w:hAnsi="Arial Narrow" w:cs="Arial"/>
                <w:sz w:val="20"/>
              </w:rPr>
            </w:pPr>
            <w:r w:rsidRPr="00CA3119">
              <w:rPr>
                <w:rFonts w:ascii="Arial Narrow" w:hAnsi="Arial Narrow" w:cs="Arial"/>
                <w:sz w:val="20"/>
              </w:rPr>
              <w:t xml:space="preserve">CASA liaised with aviation medicine personnel in CAA NZ and the Royal Australian Air Force </w:t>
            </w:r>
            <w:r>
              <w:rPr>
                <w:rFonts w:ascii="Arial Narrow" w:hAnsi="Arial Narrow" w:cs="Arial"/>
                <w:sz w:val="20"/>
              </w:rPr>
              <w:t xml:space="preserve">(RAAF) </w:t>
            </w:r>
            <w:r w:rsidRPr="00CA3119">
              <w:rPr>
                <w:rFonts w:ascii="Arial Narrow" w:hAnsi="Arial Narrow" w:cs="Arial"/>
                <w:sz w:val="20"/>
              </w:rPr>
              <w:t xml:space="preserve">at a joint workshop discussing medical standard harmonisation, exchange of knowledge about patient data trends, and medical examination procedures. Following the joint workshop, CASA commenced preliminary work on the development of an exemption policy for RAAF officers who meet Class 2 medical standards under equivalent Australian Defence Force medical checks. </w:t>
            </w:r>
          </w:p>
          <w:p w14:paraId="401BDECD" w14:textId="77777777" w:rsidR="000F61DE" w:rsidRPr="006C0823" w:rsidRDefault="000F61DE" w:rsidP="006E2310">
            <w:pPr>
              <w:pStyle w:val="TableText"/>
              <w:rPr>
                <w:rFonts w:cs="Arial Narrow"/>
                <w:lang w:eastAsia="en-AU"/>
              </w:rPr>
            </w:pPr>
            <w:r w:rsidRPr="00CA3119">
              <w:rPr>
                <w:rFonts w:cs="Arial"/>
              </w:rPr>
              <w:t>CASA is continuing to work with CAA NZ on mutual recognition of private pilot licences</w:t>
            </w:r>
            <w:r>
              <w:rPr>
                <w:rFonts w:cs="Arial"/>
              </w:rPr>
              <w:t xml:space="preserve"> and</w:t>
            </w:r>
            <w:r w:rsidRPr="00CA3119">
              <w:rPr>
                <w:rFonts w:cs="Arial"/>
              </w:rPr>
              <w:t xml:space="preserve"> Class 2 medical certificates and streamlining</w:t>
            </w:r>
            <w:r>
              <w:rPr>
                <w:rFonts w:cs="Arial"/>
              </w:rPr>
              <w:t xml:space="preserve"> of</w:t>
            </w:r>
            <w:r w:rsidRPr="00CA3119">
              <w:rPr>
                <w:rFonts w:cs="Arial"/>
              </w:rPr>
              <w:t xml:space="preserve"> industry application processes. </w:t>
            </w:r>
            <w:r>
              <w:rPr>
                <w:rFonts w:cs="Arial"/>
              </w:rPr>
              <w:t>CASA is also</w:t>
            </w:r>
            <w:r w:rsidRPr="00CA3119">
              <w:rPr>
                <w:rFonts w:cs="Arial"/>
              </w:rPr>
              <w:t xml:space="preserve"> monitor</w:t>
            </w:r>
            <w:r>
              <w:rPr>
                <w:rFonts w:cs="Arial"/>
              </w:rPr>
              <w:t>ing</w:t>
            </w:r>
            <w:r w:rsidRPr="00CA3119">
              <w:rPr>
                <w:rFonts w:cs="Arial"/>
              </w:rPr>
              <w:t xml:space="preserve"> CAA NZ’s colour vision deficiency reforms</w:t>
            </w:r>
            <w:r>
              <w:rPr>
                <w:rFonts w:cs="Arial"/>
              </w:rPr>
              <w:t xml:space="preserve"> and</w:t>
            </w:r>
            <w:r w:rsidRPr="00CA3119">
              <w:rPr>
                <w:rFonts w:cs="Arial"/>
              </w:rPr>
              <w:t xml:space="preserve"> providing updates to CAA NZ on medical certification reforms being undertaken in </w:t>
            </w:r>
            <w:r>
              <w:rPr>
                <w:rFonts w:cs="Arial"/>
              </w:rPr>
              <w:t>Australia</w:t>
            </w:r>
            <w:r w:rsidRPr="00CA3119">
              <w:rPr>
                <w:rFonts w:cs="Arial"/>
              </w:rPr>
              <w:t>.</w:t>
            </w:r>
          </w:p>
        </w:tc>
      </w:tr>
      <w:tr w:rsidR="000F61DE" w:rsidRPr="006C0823" w14:paraId="53DAD93C" w14:textId="77777777" w:rsidTr="00A86663">
        <w:tc>
          <w:tcPr>
            <w:tcW w:w="521" w:type="pct"/>
            <w:shd w:val="clear" w:color="auto" w:fill="D9D9D9"/>
          </w:tcPr>
          <w:p w14:paraId="7D7CB9ED" w14:textId="77777777" w:rsidR="000F61DE" w:rsidRPr="006C0823" w:rsidRDefault="000F61DE" w:rsidP="006E2310">
            <w:pPr>
              <w:pStyle w:val="TableHeading"/>
              <w:keepNext w:val="0"/>
              <w:rPr>
                <w:rFonts w:eastAsia="Times New Roman"/>
              </w:rPr>
            </w:pPr>
            <w:r w:rsidRPr="006C0823">
              <w:rPr>
                <w:rFonts w:eastAsia="Times New Roman"/>
              </w:rPr>
              <w:t>Measure</w:t>
            </w:r>
          </w:p>
        </w:tc>
        <w:tc>
          <w:tcPr>
            <w:tcW w:w="4479" w:type="pct"/>
            <w:shd w:val="clear" w:color="auto" w:fill="D9D9D9"/>
          </w:tcPr>
          <w:p w14:paraId="34F5C6DD" w14:textId="77777777" w:rsidR="000F61DE" w:rsidRPr="006C0823" w:rsidRDefault="000F61DE" w:rsidP="006E2310">
            <w:pPr>
              <w:pStyle w:val="TableText"/>
              <w:rPr>
                <w:rFonts w:cs="Arial Narrow"/>
                <w:lang w:eastAsia="en-AU"/>
              </w:rPr>
            </w:pPr>
            <w:r>
              <w:rPr>
                <w:rFonts w:cs="ArialMT"/>
                <w:color w:val="000000"/>
              </w:rPr>
              <w:t>D</w:t>
            </w:r>
            <w:r w:rsidRPr="00643D2D">
              <w:rPr>
                <w:rFonts w:cs="ArialMT"/>
                <w:color w:val="000000"/>
              </w:rPr>
              <w:t>evelop principles and practices to support the effective implementation of CASA’s International Engagement Strategy</w:t>
            </w:r>
          </w:p>
        </w:tc>
      </w:tr>
      <w:tr w:rsidR="000F61DE" w:rsidRPr="006C0823" w14:paraId="08905B5D" w14:textId="77777777" w:rsidTr="00A86663">
        <w:tc>
          <w:tcPr>
            <w:tcW w:w="521" w:type="pct"/>
          </w:tcPr>
          <w:p w14:paraId="0DCCC18B" w14:textId="77777777" w:rsidR="000F61DE" w:rsidRPr="006C0823" w:rsidRDefault="000F61DE" w:rsidP="006E2310">
            <w:pPr>
              <w:pStyle w:val="TableHeading"/>
              <w:keepNext w:val="0"/>
              <w:rPr>
                <w:rFonts w:eastAsia="Times New Roman"/>
              </w:rPr>
            </w:pPr>
            <w:r w:rsidRPr="006C0823">
              <w:rPr>
                <w:rFonts w:eastAsia="Times New Roman"/>
              </w:rPr>
              <w:t>Result</w:t>
            </w:r>
          </w:p>
          <w:p w14:paraId="0329B6CF"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7256D759" w14:textId="77777777" w:rsidR="000F61DE" w:rsidRPr="004F3FC0" w:rsidRDefault="000F61DE" w:rsidP="006E2310">
            <w:pPr>
              <w:rPr>
                <w:rFonts w:ascii="Arial Narrow" w:hAnsi="Arial Narrow" w:cs="Arial"/>
              </w:rPr>
            </w:pPr>
            <w:r>
              <w:rPr>
                <w:rFonts w:ascii="Arial Narrow" w:hAnsi="Arial Narrow" w:cs="Arial"/>
                <w:sz w:val="20"/>
              </w:rPr>
              <w:t>See the report on Initiative 2.5.</w:t>
            </w:r>
          </w:p>
        </w:tc>
      </w:tr>
      <w:tr w:rsidR="000F61DE" w:rsidRPr="006C0823" w14:paraId="0F3896D1" w14:textId="77777777" w:rsidTr="00A86663">
        <w:tc>
          <w:tcPr>
            <w:tcW w:w="521" w:type="pct"/>
            <w:shd w:val="clear" w:color="auto" w:fill="D9D9D9"/>
          </w:tcPr>
          <w:p w14:paraId="250DA3BA" w14:textId="77777777" w:rsidR="000F61DE" w:rsidRPr="006C0823" w:rsidRDefault="000F61DE" w:rsidP="006E2310">
            <w:pPr>
              <w:pStyle w:val="TableHeading"/>
              <w:keepNext w:val="0"/>
              <w:rPr>
                <w:rFonts w:eastAsia="Times New Roman"/>
              </w:rPr>
            </w:pPr>
            <w:r w:rsidRPr="006C0823">
              <w:rPr>
                <w:rFonts w:eastAsia="Times New Roman"/>
              </w:rPr>
              <w:t>Measure</w:t>
            </w:r>
          </w:p>
        </w:tc>
        <w:tc>
          <w:tcPr>
            <w:tcW w:w="4479" w:type="pct"/>
            <w:shd w:val="clear" w:color="auto" w:fill="D9D9D9"/>
          </w:tcPr>
          <w:p w14:paraId="174EDF1B" w14:textId="77777777" w:rsidR="000F61DE" w:rsidRPr="00F81A60" w:rsidRDefault="000F61DE" w:rsidP="00F81A60">
            <w:pPr>
              <w:pStyle w:val="TableText"/>
              <w:rPr>
                <w:rStyle w:val="TableTextChar"/>
              </w:rPr>
            </w:pPr>
            <w:r w:rsidRPr="00C72B35">
              <w:rPr>
                <w:rFonts w:cs="Arial"/>
              </w:rPr>
              <w:t>Work</w:t>
            </w:r>
            <w:r>
              <w:t xml:space="preserve"> </w:t>
            </w:r>
            <w:r w:rsidRPr="00E80461">
              <w:t>with the Department and Airservices Australia to finalise a strategic review into Australia’s participation in I</w:t>
            </w:r>
            <w:r w:rsidRPr="00F81A60">
              <w:rPr>
                <w:rStyle w:val="TableTextChar"/>
              </w:rPr>
              <w:t>CAO:</w:t>
            </w:r>
          </w:p>
          <w:p w14:paraId="47D1BBB1" w14:textId="77777777" w:rsidR="000F61DE" w:rsidRPr="00E80461" w:rsidRDefault="000F61DE" w:rsidP="006E2310">
            <w:pPr>
              <w:pStyle w:val="TableBullet"/>
            </w:pPr>
            <w:r w:rsidRPr="00E80461">
              <w:t>within the Tripartite, work with other Government stakeholders to the Convention on International Civil Aviation 1944 (the Chicago Convention) including the Australian Transport Safety Bureau, Australian Maritime Safety Authority and Bureau of Meteorology</w:t>
            </w:r>
          </w:p>
          <w:p w14:paraId="541A4792" w14:textId="77777777" w:rsidR="000F61DE" w:rsidRPr="006C0823" w:rsidRDefault="000F61DE" w:rsidP="006E2310">
            <w:pPr>
              <w:pStyle w:val="TableBullet"/>
              <w:rPr>
                <w:rFonts w:cs="Arial Narrow"/>
                <w:lang w:eastAsia="en-AU"/>
              </w:rPr>
            </w:pPr>
            <w:r w:rsidRPr="00E80461">
              <w:t>prepare for the ICAO Coordinated Validation Mission (ICVM) reviewing Australia’s effective implementation of ICAO Standards and Recommended Practices</w:t>
            </w:r>
          </w:p>
        </w:tc>
      </w:tr>
      <w:tr w:rsidR="000F61DE" w:rsidRPr="006C0823" w14:paraId="0136332A" w14:textId="77777777" w:rsidTr="00A86663">
        <w:tc>
          <w:tcPr>
            <w:tcW w:w="521" w:type="pct"/>
          </w:tcPr>
          <w:p w14:paraId="08FE7D30" w14:textId="77777777" w:rsidR="000F61DE" w:rsidRPr="006C0823" w:rsidRDefault="000F61DE" w:rsidP="006E2310">
            <w:pPr>
              <w:pStyle w:val="TableHeading"/>
              <w:keepNext w:val="0"/>
              <w:rPr>
                <w:rFonts w:eastAsia="Times New Roman"/>
              </w:rPr>
            </w:pPr>
            <w:r w:rsidRPr="006C0823">
              <w:rPr>
                <w:rFonts w:eastAsia="Times New Roman"/>
              </w:rPr>
              <w:t>Result</w:t>
            </w:r>
          </w:p>
          <w:p w14:paraId="261542D3" w14:textId="77777777" w:rsidR="000F61DE" w:rsidRPr="006C0823" w:rsidRDefault="000F61DE" w:rsidP="006E2310">
            <w:pPr>
              <w:pStyle w:val="TableHeading"/>
              <w:keepNext w:val="0"/>
              <w:rPr>
                <w:rFonts w:eastAsia="Times New Roman"/>
              </w:rPr>
            </w:pPr>
            <w:r w:rsidRPr="006C0823">
              <w:rPr>
                <w:rFonts w:eastAsia="Times New Roman"/>
              </w:rPr>
              <w:sym w:font="Wingdings" w:char="F0FC"/>
            </w:r>
            <w:r w:rsidRPr="006C0823">
              <w:rPr>
                <w:rFonts w:eastAsia="Times New Roman"/>
              </w:rPr>
              <w:sym w:font="Wingdings" w:char="F0FC"/>
            </w:r>
            <w:r w:rsidRPr="006C0823">
              <w:rPr>
                <w:rFonts w:eastAsia="Times New Roman"/>
              </w:rPr>
              <w:sym w:font="Wingdings" w:char="F0FC"/>
            </w:r>
          </w:p>
        </w:tc>
        <w:tc>
          <w:tcPr>
            <w:tcW w:w="4479" w:type="pct"/>
          </w:tcPr>
          <w:p w14:paraId="18B16ED3" w14:textId="77777777" w:rsidR="000F61DE" w:rsidRPr="00E8075C" w:rsidRDefault="000F61DE" w:rsidP="006E2310">
            <w:pPr>
              <w:rPr>
                <w:rFonts w:ascii="Arial Narrow" w:hAnsi="Arial Narrow" w:cs="Arial"/>
                <w:sz w:val="20"/>
              </w:rPr>
            </w:pPr>
            <w:r w:rsidRPr="00E8075C">
              <w:rPr>
                <w:rFonts w:ascii="Arial Narrow" w:hAnsi="Arial Narrow" w:cs="Arial"/>
                <w:sz w:val="20"/>
              </w:rPr>
              <w:t xml:space="preserve">CASA finalised input to Australia’s </w:t>
            </w:r>
            <w:r>
              <w:rPr>
                <w:rFonts w:ascii="Arial Narrow" w:hAnsi="Arial Narrow" w:cs="Arial"/>
                <w:sz w:val="20"/>
              </w:rPr>
              <w:t>s</w:t>
            </w:r>
            <w:r w:rsidRPr="00E8075C">
              <w:rPr>
                <w:rFonts w:ascii="Arial Narrow" w:hAnsi="Arial Narrow" w:cs="Arial"/>
                <w:sz w:val="20"/>
              </w:rPr>
              <w:t xml:space="preserve">trategic </w:t>
            </w:r>
            <w:r>
              <w:rPr>
                <w:rFonts w:ascii="Arial Narrow" w:hAnsi="Arial Narrow" w:cs="Arial"/>
                <w:sz w:val="20"/>
              </w:rPr>
              <w:t>r</w:t>
            </w:r>
            <w:r w:rsidRPr="00E8075C">
              <w:rPr>
                <w:rFonts w:ascii="Arial Narrow" w:hAnsi="Arial Narrow" w:cs="Arial"/>
                <w:sz w:val="20"/>
              </w:rPr>
              <w:t xml:space="preserve">eview </w:t>
            </w:r>
            <w:r>
              <w:rPr>
                <w:rFonts w:ascii="Arial Narrow" w:hAnsi="Arial Narrow" w:cs="Arial"/>
                <w:sz w:val="20"/>
              </w:rPr>
              <w:t>of</w:t>
            </w:r>
            <w:r w:rsidRPr="00E8075C">
              <w:rPr>
                <w:rFonts w:ascii="Arial Narrow" w:hAnsi="Arial Narrow" w:cs="Arial"/>
                <w:sz w:val="20"/>
              </w:rPr>
              <w:t xml:space="preserve"> participation on ICAO panels and groups</w:t>
            </w:r>
            <w:r>
              <w:rPr>
                <w:rFonts w:ascii="Arial Narrow" w:hAnsi="Arial Narrow" w:cs="Arial"/>
                <w:sz w:val="20"/>
              </w:rPr>
              <w:t>,</w:t>
            </w:r>
            <w:r w:rsidRPr="00E8075C">
              <w:rPr>
                <w:rFonts w:ascii="Arial Narrow" w:hAnsi="Arial Narrow" w:cs="Arial"/>
                <w:sz w:val="20"/>
              </w:rPr>
              <w:t xml:space="preserve"> which included several changes in representation.</w:t>
            </w:r>
          </w:p>
          <w:p w14:paraId="69F543C8" w14:textId="77777777" w:rsidR="000F61DE" w:rsidRPr="006C0823" w:rsidRDefault="000F61DE" w:rsidP="006E2310">
            <w:pPr>
              <w:pStyle w:val="TableText"/>
              <w:rPr>
                <w:rFonts w:cs="Arial Narrow"/>
                <w:lang w:eastAsia="en-AU"/>
              </w:rPr>
            </w:pPr>
            <w:r w:rsidRPr="00E8075C">
              <w:rPr>
                <w:rFonts w:cs="Arial"/>
              </w:rPr>
              <w:t>In April 2018, all Australian representatives on ICAO committees undertook training facilitated by the Department of Infrastructure, Regional Development and Cities to ensure coordinated Australian policy position</w:t>
            </w:r>
            <w:r w:rsidR="000249E1">
              <w:rPr>
                <w:rFonts w:cs="Arial"/>
              </w:rPr>
              <w:t>s</w:t>
            </w:r>
            <w:r w:rsidRPr="00E8075C">
              <w:rPr>
                <w:rFonts w:cs="Arial"/>
              </w:rPr>
              <w:t xml:space="preserve">, advice and messaging in an international environment. </w:t>
            </w:r>
            <w:r>
              <w:rPr>
                <w:rFonts w:cs="Arial"/>
              </w:rPr>
              <w:t>M</w:t>
            </w:r>
            <w:r w:rsidR="00D137C5">
              <w:rPr>
                <w:rFonts w:cs="Arial"/>
              </w:rPr>
              <w:t>o</w:t>
            </w:r>
            <w:r>
              <w:rPr>
                <w:rFonts w:cs="Arial"/>
              </w:rPr>
              <w:t>Us</w:t>
            </w:r>
            <w:r w:rsidRPr="00E8075C">
              <w:rPr>
                <w:rFonts w:cs="Arial"/>
              </w:rPr>
              <w:t xml:space="preserve"> between the various government agencies with aviation policy responsibility and input </w:t>
            </w:r>
            <w:r>
              <w:rPr>
                <w:rFonts w:cs="Arial"/>
              </w:rPr>
              <w:t>were</w:t>
            </w:r>
            <w:r w:rsidRPr="00E8075C">
              <w:rPr>
                <w:rFonts w:cs="Arial"/>
              </w:rPr>
              <w:t xml:space="preserve"> developed </w:t>
            </w:r>
            <w:r>
              <w:rPr>
                <w:rFonts w:cs="Arial"/>
              </w:rPr>
              <w:t xml:space="preserve">and are expected </w:t>
            </w:r>
            <w:r w:rsidRPr="00E8075C">
              <w:rPr>
                <w:rFonts w:cs="Arial"/>
              </w:rPr>
              <w:t>to be finalised in early 2018–19.</w:t>
            </w:r>
          </w:p>
        </w:tc>
      </w:tr>
    </w:tbl>
    <w:p w14:paraId="17558E21" w14:textId="77777777" w:rsidR="008A5F46" w:rsidRPr="0016175C" w:rsidRDefault="005F6B8C" w:rsidP="008A5F46">
      <w:pPr>
        <w:pStyle w:val="Heading3"/>
        <w:rPr>
          <w:rFonts w:cs="Calibri"/>
          <w:szCs w:val="24"/>
          <w:lang w:val="en-GB"/>
        </w:rPr>
      </w:pPr>
      <w:r>
        <w:rPr>
          <w:rFonts w:cs="Calibri"/>
          <w:szCs w:val="24"/>
          <w:lang w:val="en-GB"/>
        </w:rPr>
        <w:t>K</w:t>
      </w:r>
      <w:r w:rsidR="008A5F46" w:rsidRPr="0016175C">
        <w:rPr>
          <w:rFonts w:cs="Calibri"/>
          <w:szCs w:val="24"/>
          <w:lang w:val="en-GB"/>
        </w:rPr>
        <w:t>ey performance indicators</w:t>
      </w:r>
    </w:p>
    <w:p w14:paraId="483A407C" w14:textId="77777777" w:rsidR="00876069" w:rsidRDefault="00876069" w:rsidP="008A5F46">
      <w:pPr>
        <w:rPr>
          <w:szCs w:val="24"/>
        </w:rPr>
      </w:pPr>
      <w:r w:rsidRPr="0023665C">
        <w:rPr>
          <w:szCs w:val="24"/>
        </w:rPr>
        <w:t>CASA reports against 10 KPIs which are supported by performance measures and quantitative metrics</w:t>
      </w:r>
      <w:r>
        <w:rPr>
          <w:szCs w:val="24"/>
        </w:rPr>
        <w:t xml:space="preserve"> set out in the </w:t>
      </w:r>
      <w:r w:rsidR="00A63645">
        <w:rPr>
          <w:szCs w:val="24"/>
        </w:rPr>
        <w:t xml:space="preserve">CASA </w:t>
      </w:r>
      <w:r w:rsidRPr="00A63645">
        <w:rPr>
          <w:i/>
          <w:szCs w:val="24"/>
        </w:rPr>
        <w:t>Corporate Plan 2017–18</w:t>
      </w:r>
      <w:r w:rsidRPr="0023665C">
        <w:rPr>
          <w:szCs w:val="24"/>
        </w:rPr>
        <w:t>.</w:t>
      </w:r>
    </w:p>
    <w:p w14:paraId="7DC8B8BC" w14:textId="77777777" w:rsidR="00876069" w:rsidRPr="0023665C" w:rsidRDefault="00876069" w:rsidP="008A5F46">
      <w:pPr>
        <w:rPr>
          <w:szCs w:val="24"/>
        </w:rPr>
      </w:pPr>
      <w:r>
        <w:rPr>
          <w:szCs w:val="24"/>
        </w:rPr>
        <w:t xml:space="preserve">CASA’s performance in relation to Goal 2 is measured against KPIs 6 to 8, as shown in Table </w:t>
      </w:r>
      <w:r w:rsidR="0050220E">
        <w:rPr>
          <w:szCs w:val="24"/>
        </w:rPr>
        <w:t>3</w:t>
      </w:r>
      <w:r>
        <w:rPr>
          <w:szCs w:val="24"/>
        </w:rPr>
        <w:t>.</w:t>
      </w:r>
    </w:p>
    <w:p w14:paraId="7BCD78E4" w14:textId="77777777" w:rsidR="00C11ACA" w:rsidRPr="0023665C" w:rsidRDefault="00C11ACA" w:rsidP="00C11ACA">
      <w:pPr>
        <w:rPr>
          <w:rFonts w:ascii="Arial Narrow" w:hAnsi="Arial Narrow"/>
          <w:sz w:val="20"/>
        </w:rPr>
      </w:pPr>
      <w:r w:rsidRPr="00E35B2E">
        <w:rPr>
          <w:rFonts w:ascii="Arial Narrow" w:hAnsi="Arial Narrow"/>
          <w:b/>
          <w:color w:val="4472C4" w:themeColor="accent1"/>
          <w:sz w:val="22"/>
          <w:szCs w:val="22"/>
          <w:u w:color="0099CC"/>
        </w:rPr>
        <w:lastRenderedPageBreak/>
        <w:t>Table 3</w:t>
      </w:r>
      <w:r w:rsidRPr="00E35B2E">
        <w:rPr>
          <w:rFonts w:ascii="Arial Narrow" w:hAnsi="Arial Narrow"/>
          <w:b/>
          <w:color w:val="4472C4" w:themeColor="accent1"/>
          <w:sz w:val="22"/>
          <w:szCs w:val="22"/>
          <w:u w:color="0099CC"/>
        </w:rPr>
        <w:tab/>
        <w:t>Performance summary against key performance indicators 6 to 8, 2017–18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491"/>
        <w:gridCol w:w="4464"/>
      </w:tblGrid>
      <w:tr w:rsidR="00C11ACA" w:rsidRPr="0016175C" w14:paraId="2A53B310" w14:textId="77777777" w:rsidTr="00F73F4D">
        <w:tc>
          <w:tcPr>
            <w:tcW w:w="2346" w:type="dxa"/>
            <w:shd w:val="clear" w:color="auto" w:fill="auto"/>
          </w:tcPr>
          <w:p w14:paraId="14A3CE46" w14:textId="77777777" w:rsidR="00C11ACA" w:rsidRPr="0016175C" w:rsidRDefault="00C11ACA" w:rsidP="00F73F4D">
            <w:pPr>
              <w:rPr>
                <w:rFonts w:ascii="Arial Narrow" w:hAnsi="Arial Narrow"/>
                <w:b/>
                <w:sz w:val="20"/>
              </w:rPr>
            </w:pPr>
            <w:r>
              <w:rPr>
                <w:rFonts w:ascii="Arial Narrow" w:hAnsi="Arial Narrow"/>
                <w:b/>
                <w:sz w:val="20"/>
              </w:rPr>
              <w:t>Key performance indicator</w:t>
            </w:r>
          </w:p>
        </w:tc>
        <w:tc>
          <w:tcPr>
            <w:tcW w:w="2843" w:type="dxa"/>
            <w:shd w:val="clear" w:color="auto" w:fill="auto"/>
          </w:tcPr>
          <w:p w14:paraId="6B2D0840" w14:textId="77777777" w:rsidR="00C11ACA" w:rsidRPr="0016175C" w:rsidRDefault="00C11ACA" w:rsidP="00F73F4D">
            <w:pPr>
              <w:rPr>
                <w:rFonts w:ascii="Arial Narrow" w:hAnsi="Arial Narrow"/>
                <w:b/>
                <w:sz w:val="20"/>
              </w:rPr>
            </w:pPr>
            <w:r w:rsidRPr="0016175C">
              <w:rPr>
                <w:rFonts w:ascii="Arial Narrow" w:hAnsi="Arial Narrow"/>
                <w:b/>
                <w:sz w:val="20"/>
              </w:rPr>
              <w:t>Performance measures</w:t>
            </w:r>
          </w:p>
        </w:tc>
        <w:tc>
          <w:tcPr>
            <w:tcW w:w="5125" w:type="dxa"/>
            <w:shd w:val="clear" w:color="auto" w:fill="auto"/>
          </w:tcPr>
          <w:p w14:paraId="39A281A0" w14:textId="77777777" w:rsidR="00C11ACA" w:rsidRPr="0016175C" w:rsidRDefault="00C11ACA" w:rsidP="00F73F4D">
            <w:pPr>
              <w:rPr>
                <w:rFonts w:ascii="Arial Narrow" w:hAnsi="Arial Narrow"/>
                <w:b/>
                <w:sz w:val="20"/>
              </w:rPr>
            </w:pPr>
            <w:r w:rsidRPr="0016175C">
              <w:rPr>
                <w:rFonts w:ascii="Arial Narrow" w:hAnsi="Arial Narrow"/>
                <w:b/>
                <w:sz w:val="20"/>
              </w:rPr>
              <w:t xml:space="preserve">Performance summary </w:t>
            </w:r>
          </w:p>
        </w:tc>
      </w:tr>
      <w:tr w:rsidR="00C11ACA" w:rsidRPr="0016175C" w14:paraId="02E85BC7" w14:textId="77777777" w:rsidTr="00F73F4D">
        <w:tc>
          <w:tcPr>
            <w:tcW w:w="2346" w:type="dxa"/>
            <w:shd w:val="clear" w:color="auto" w:fill="auto"/>
          </w:tcPr>
          <w:p w14:paraId="680941C7" w14:textId="77777777" w:rsidR="00C11ACA" w:rsidRPr="0016175C" w:rsidRDefault="00C11ACA" w:rsidP="00F73F4D">
            <w:pPr>
              <w:pStyle w:val="ListParagraph"/>
              <w:spacing w:after="0"/>
              <w:ind w:hanging="720"/>
              <w:rPr>
                <w:rFonts w:ascii="Arial Narrow" w:hAnsi="Arial Narrow"/>
                <w:color w:val="000000"/>
                <w:sz w:val="20"/>
                <w:szCs w:val="20"/>
                <w:lang w:eastAsia="en-AU"/>
              </w:rPr>
            </w:pPr>
            <w:r w:rsidRPr="00082D80">
              <w:rPr>
                <w:rFonts w:ascii="Arial Narrow" w:hAnsi="Arial Narrow"/>
                <w:sz w:val="20"/>
              </w:rPr>
              <w:t>6</w:t>
            </w:r>
            <w:r>
              <w:rPr>
                <w:rFonts w:ascii="Arial Narrow" w:hAnsi="Arial Narrow"/>
                <w:sz w:val="20"/>
              </w:rPr>
              <w:t>.</w:t>
            </w:r>
            <w:r>
              <w:rPr>
                <w:rFonts w:ascii="Arial Narrow" w:hAnsi="Arial Narrow"/>
                <w:sz w:val="20"/>
              </w:rPr>
              <w:tab/>
            </w:r>
            <w:r w:rsidRPr="0016175C">
              <w:rPr>
                <w:rFonts w:ascii="Arial Narrow" w:hAnsi="Arial Narrow"/>
                <w:sz w:val="20"/>
              </w:rPr>
              <w:t>CASA is open and transparent in its dealings with regulated entities and all of its stakeholders</w:t>
            </w:r>
            <w:r w:rsidRPr="0016175C">
              <w:rPr>
                <w:rFonts w:ascii="Arial Narrow" w:hAnsi="Arial Narrow"/>
                <w:sz w:val="20"/>
                <w:vertAlign w:val="superscript"/>
              </w:rPr>
              <w:t>a</w:t>
            </w:r>
            <w:r w:rsidRPr="0016175C" w:rsidDel="008A5F46">
              <w:rPr>
                <w:rFonts w:ascii="Arial Narrow" w:hAnsi="Arial Narrow"/>
                <w:color w:val="000000"/>
                <w:sz w:val="20"/>
                <w:szCs w:val="20"/>
                <w:lang w:eastAsia="en-AU"/>
              </w:rPr>
              <w:t xml:space="preserve"> </w:t>
            </w:r>
          </w:p>
        </w:tc>
        <w:tc>
          <w:tcPr>
            <w:tcW w:w="2843" w:type="dxa"/>
            <w:shd w:val="clear" w:color="auto" w:fill="auto"/>
          </w:tcPr>
          <w:p w14:paraId="462D6EBF" w14:textId="77777777" w:rsidR="00C11ACA" w:rsidRPr="0016175C" w:rsidRDefault="00C11ACA" w:rsidP="00F73F4D">
            <w:pPr>
              <w:rPr>
                <w:rFonts w:ascii="Arial Narrow" w:eastAsia="Times New Roman" w:hAnsi="Arial Narrow"/>
                <w:color w:val="000000"/>
                <w:sz w:val="20"/>
                <w:lang w:eastAsia="en-AU"/>
              </w:rPr>
            </w:pPr>
            <w:r w:rsidRPr="0016175C">
              <w:rPr>
                <w:rFonts w:ascii="Arial Narrow" w:eastAsia="Times New Roman" w:hAnsi="Arial Narrow"/>
                <w:color w:val="000000"/>
                <w:sz w:val="20"/>
                <w:lang w:eastAsia="en-AU"/>
              </w:rPr>
              <w:t xml:space="preserve">6a. Processes, guidance and applicable policy manuals (standards, enforcement and surveillance) are available on the website </w:t>
            </w:r>
          </w:p>
          <w:p w14:paraId="57FE6E1A" w14:textId="77777777" w:rsidR="00C11ACA" w:rsidRPr="0016175C" w:rsidRDefault="00C11ACA" w:rsidP="00F73F4D">
            <w:pPr>
              <w:rPr>
                <w:rFonts w:ascii="Arial Narrow" w:eastAsia="Times New Roman" w:hAnsi="Arial Narrow"/>
                <w:color w:val="000000"/>
                <w:sz w:val="20"/>
                <w:lang w:eastAsia="en-AU"/>
              </w:rPr>
            </w:pPr>
            <w:r w:rsidRPr="0016175C">
              <w:rPr>
                <w:rFonts w:ascii="Arial Narrow" w:eastAsia="Times New Roman" w:hAnsi="Arial Narrow"/>
                <w:color w:val="000000"/>
                <w:sz w:val="20"/>
                <w:lang w:eastAsia="en-AU"/>
              </w:rPr>
              <w:t>6b. Unfavourable decisions are accompanied by a statement of reasons where required under legislation or other authority and are published on the CASA website</w:t>
            </w:r>
          </w:p>
          <w:p w14:paraId="56D2B7AE" w14:textId="77777777" w:rsidR="00C11ACA" w:rsidRPr="0016175C" w:rsidRDefault="00C11ACA" w:rsidP="00F73F4D">
            <w:pPr>
              <w:rPr>
                <w:rFonts w:ascii="Arial Narrow" w:eastAsia="Times New Roman" w:hAnsi="Arial Narrow"/>
                <w:color w:val="000000"/>
                <w:sz w:val="20"/>
                <w:lang w:eastAsia="en-AU"/>
              </w:rPr>
            </w:pPr>
            <w:r w:rsidRPr="0016175C">
              <w:rPr>
                <w:rFonts w:ascii="Arial Narrow" w:eastAsia="Times New Roman" w:hAnsi="Arial Narrow"/>
                <w:color w:val="000000"/>
                <w:sz w:val="20"/>
                <w:lang w:eastAsia="en-AU"/>
              </w:rPr>
              <w:t>6c. Industry forums are conducted in an open and transparent manner</w:t>
            </w:r>
          </w:p>
          <w:p w14:paraId="6CDD7F0D" w14:textId="77777777" w:rsidR="00C11ACA" w:rsidRPr="0016175C" w:rsidRDefault="00C11ACA" w:rsidP="00F73F4D">
            <w:pPr>
              <w:rPr>
                <w:rFonts w:ascii="Arial Narrow" w:eastAsia="Times New Roman" w:hAnsi="Arial Narrow"/>
                <w:color w:val="000000"/>
                <w:sz w:val="20"/>
                <w:lang w:eastAsia="en-AU"/>
              </w:rPr>
            </w:pPr>
            <w:r w:rsidRPr="0016175C">
              <w:rPr>
                <w:rFonts w:ascii="Arial Narrow" w:eastAsia="Times New Roman" w:hAnsi="Arial Narrow"/>
                <w:color w:val="000000"/>
                <w:sz w:val="20"/>
                <w:lang w:eastAsia="en-AU"/>
              </w:rPr>
              <w:t>6d. Regulations are subject to public consultation</w:t>
            </w:r>
          </w:p>
          <w:p w14:paraId="086004B2" w14:textId="77777777" w:rsidR="00C11ACA" w:rsidRPr="0016175C" w:rsidRDefault="00C11ACA" w:rsidP="00F73F4D">
            <w:pPr>
              <w:rPr>
                <w:rFonts w:ascii="Arial Narrow" w:eastAsia="Times New Roman" w:hAnsi="Arial Narrow"/>
                <w:color w:val="000000"/>
                <w:sz w:val="20"/>
                <w:lang w:eastAsia="en-AU"/>
              </w:rPr>
            </w:pPr>
            <w:r w:rsidRPr="0016175C">
              <w:rPr>
                <w:rFonts w:ascii="Arial Narrow" w:eastAsia="Times New Roman" w:hAnsi="Arial Narrow"/>
                <w:color w:val="000000"/>
                <w:sz w:val="20"/>
                <w:lang w:eastAsia="en-AU"/>
              </w:rPr>
              <w:t>6e. Number of complaints about CASA not being open and transparent</w:t>
            </w:r>
          </w:p>
          <w:p w14:paraId="66A0D496" w14:textId="77777777" w:rsidR="00C11ACA" w:rsidRPr="0016175C" w:rsidRDefault="00C11ACA" w:rsidP="00F73F4D">
            <w:pPr>
              <w:rPr>
                <w:rFonts w:ascii="Arial Narrow" w:hAnsi="Arial Narrow" w:cs="Arial"/>
                <w:sz w:val="20"/>
              </w:rPr>
            </w:pPr>
            <w:r w:rsidRPr="0016175C">
              <w:rPr>
                <w:rFonts w:ascii="Arial Narrow" w:eastAsia="Times New Roman" w:hAnsi="Arial Narrow"/>
                <w:color w:val="000000"/>
                <w:sz w:val="20"/>
                <w:lang w:eastAsia="en-AU"/>
              </w:rPr>
              <w:t>6f. Authorisations are only refused, amended, suspended or cancelled by the Client Services Centre when there is a regulatory or safety imperative</w:t>
            </w:r>
          </w:p>
        </w:tc>
        <w:tc>
          <w:tcPr>
            <w:tcW w:w="5125" w:type="dxa"/>
            <w:shd w:val="clear" w:color="auto" w:fill="auto"/>
          </w:tcPr>
          <w:p w14:paraId="430879F9" w14:textId="77777777" w:rsidR="00C11ACA" w:rsidRPr="0016175C" w:rsidRDefault="00C11ACA" w:rsidP="00F73F4D">
            <w:pPr>
              <w:rPr>
                <w:rFonts w:ascii="Arial Narrow" w:hAnsi="Arial Narrow"/>
                <w:sz w:val="20"/>
                <w:lang w:eastAsia="en-AU"/>
              </w:rPr>
            </w:pPr>
            <w:r w:rsidRPr="0016175C">
              <w:rPr>
                <w:rFonts w:ascii="Arial Narrow" w:hAnsi="Arial Narrow"/>
                <w:sz w:val="20"/>
              </w:rPr>
              <w:t xml:space="preserve">Processes, guidance and applicable policy manuals are available on the CASA website. CASA is undertaking a website content review to archive dated and inaccurate content, as well as content that is infrequently accessed. Another large number of pages have been reviewed as a result of the Service Delivery Transformation program and changes to aviation medicine. Processes have been put in place to ensure that all new documents meet accessibility guidelines. </w:t>
            </w:r>
          </w:p>
          <w:p w14:paraId="373C2C7C" w14:textId="77777777" w:rsidR="00C11ACA" w:rsidRPr="0016175C" w:rsidRDefault="00C11ACA" w:rsidP="00F73F4D">
            <w:pPr>
              <w:rPr>
                <w:rFonts w:ascii="Arial Narrow" w:eastAsia="Times New Roman" w:hAnsi="Arial Narrow"/>
                <w:sz w:val="20"/>
              </w:rPr>
            </w:pPr>
            <w:r w:rsidRPr="0016175C">
              <w:rPr>
                <w:rFonts w:ascii="Arial Narrow" w:hAnsi="Arial Narrow"/>
                <w:sz w:val="20"/>
              </w:rPr>
              <w:t xml:space="preserve">The Industry Complaints Commissioner advised that, of the 80 complaints received during 2017–18, two related to CASA’s failure to act openly or transparently. </w:t>
            </w:r>
            <w:r w:rsidRPr="0016175C">
              <w:rPr>
                <w:rFonts w:ascii="Arial Narrow" w:eastAsia="Times New Roman" w:hAnsi="Arial Narrow"/>
                <w:sz w:val="20"/>
              </w:rPr>
              <w:t>The subjects of those complaints</w:t>
            </w:r>
            <w:r w:rsidRPr="0016175C">
              <w:rPr>
                <w:rFonts w:ascii="Arial Narrow" w:hAnsi="Arial Narrow"/>
                <w:sz w:val="20"/>
              </w:rPr>
              <w:t xml:space="preserve"> </w:t>
            </w:r>
            <w:r w:rsidRPr="0016175C">
              <w:rPr>
                <w:rFonts w:ascii="Arial Narrow" w:eastAsia="Times New Roman" w:hAnsi="Arial Narrow"/>
                <w:sz w:val="20"/>
              </w:rPr>
              <w:t>were a failure to apply the regulatory philosophy when assessing the date of expiry of a medical certificate; and a statement from CASA that a site visit was required to assess a certificate of approval variation</w:t>
            </w:r>
            <w:r>
              <w:rPr>
                <w:rFonts w:ascii="Arial Narrow" w:eastAsia="Times New Roman" w:hAnsi="Arial Narrow"/>
                <w:sz w:val="20"/>
              </w:rPr>
              <w:t>,</w:t>
            </w:r>
            <w:r w:rsidRPr="0016175C">
              <w:rPr>
                <w:rFonts w:ascii="Arial Narrow" w:eastAsia="Times New Roman" w:hAnsi="Arial Narrow"/>
                <w:sz w:val="20"/>
              </w:rPr>
              <w:t xml:space="preserve"> when a desktop assessment would have sufficed. </w:t>
            </w:r>
          </w:p>
          <w:p w14:paraId="1A836186" w14:textId="77777777" w:rsidR="00C11ACA" w:rsidRPr="0016175C" w:rsidRDefault="00C11ACA" w:rsidP="00F73F4D">
            <w:pPr>
              <w:rPr>
                <w:rFonts w:ascii="Arial Narrow" w:hAnsi="Arial Narrow"/>
                <w:sz w:val="20"/>
                <w:lang w:eastAsia="en-AU"/>
              </w:rPr>
            </w:pPr>
            <w:r w:rsidRPr="0016175C">
              <w:rPr>
                <w:rFonts w:ascii="Arial Narrow" w:hAnsi="Arial Narrow"/>
                <w:sz w:val="20"/>
                <w:lang w:eastAsia="en-AU"/>
              </w:rPr>
              <w:t>Public consultation was conducted on all regulation changes that required it.</w:t>
            </w:r>
          </w:p>
          <w:p w14:paraId="3D41084E" w14:textId="77777777" w:rsidR="00C11ACA" w:rsidRPr="0016175C" w:rsidRDefault="00C11ACA" w:rsidP="00F73F4D">
            <w:pPr>
              <w:rPr>
                <w:rFonts w:ascii="Arial Narrow" w:hAnsi="Arial Narrow" w:cs="Arial"/>
                <w:sz w:val="20"/>
              </w:rPr>
            </w:pPr>
            <w:r w:rsidRPr="0016175C">
              <w:rPr>
                <w:rFonts w:ascii="Arial Narrow" w:hAnsi="Arial Narrow"/>
                <w:sz w:val="20"/>
              </w:rPr>
              <w:t>CASA accepted the majority of applications</w:t>
            </w:r>
            <w:r>
              <w:rPr>
                <w:rFonts w:ascii="Arial Narrow" w:hAnsi="Arial Narrow"/>
                <w:sz w:val="20"/>
              </w:rPr>
              <w:t xml:space="preserve"> for authorisations</w:t>
            </w:r>
            <w:r w:rsidRPr="0016175C">
              <w:rPr>
                <w:rFonts w:ascii="Arial Narrow" w:hAnsi="Arial Narrow"/>
                <w:sz w:val="20"/>
              </w:rPr>
              <w:t>; 1.7</w:t>
            </w:r>
            <w:r>
              <w:rPr>
                <w:rFonts w:ascii="Arial Narrow" w:hAnsi="Arial Narrow"/>
                <w:sz w:val="20"/>
              </w:rPr>
              <w:t>%</w:t>
            </w:r>
            <w:r w:rsidRPr="0016175C">
              <w:rPr>
                <w:rFonts w:ascii="Arial Narrow" w:hAnsi="Arial Narrow"/>
                <w:sz w:val="20"/>
              </w:rPr>
              <w:t xml:space="preserve"> were refused due to safety and regulatory imperatives.</w:t>
            </w:r>
          </w:p>
        </w:tc>
      </w:tr>
      <w:tr w:rsidR="00C11ACA" w:rsidRPr="0016175C" w14:paraId="5288D3CF" w14:textId="77777777" w:rsidTr="00F73F4D">
        <w:tc>
          <w:tcPr>
            <w:tcW w:w="2346" w:type="dxa"/>
            <w:shd w:val="clear" w:color="auto" w:fill="auto"/>
          </w:tcPr>
          <w:p w14:paraId="271580B1" w14:textId="77777777" w:rsidR="00C11ACA" w:rsidRPr="0016175C" w:rsidRDefault="00C11ACA" w:rsidP="00F73F4D">
            <w:pPr>
              <w:pStyle w:val="ListParagraph"/>
              <w:spacing w:after="0"/>
              <w:ind w:left="0"/>
              <w:rPr>
                <w:rFonts w:ascii="Arial Narrow" w:hAnsi="Arial Narrow"/>
                <w:b/>
                <w:sz w:val="20"/>
              </w:rPr>
            </w:pPr>
            <w:r w:rsidRPr="00426FA6">
              <w:rPr>
                <w:rFonts w:ascii="Arial Narrow" w:hAnsi="Arial Narrow"/>
                <w:sz w:val="20"/>
              </w:rPr>
              <w:t>7</w:t>
            </w:r>
            <w:r>
              <w:rPr>
                <w:rFonts w:ascii="Arial Narrow" w:hAnsi="Arial Narrow"/>
                <w:b/>
                <w:sz w:val="20"/>
              </w:rPr>
              <w:t>.</w:t>
            </w:r>
            <w:r w:rsidRPr="0016175C">
              <w:rPr>
                <w:rFonts w:ascii="Arial Narrow" w:hAnsi="Arial Narrow"/>
                <w:b/>
                <w:sz w:val="20"/>
              </w:rPr>
              <w:t xml:space="preserve"> </w:t>
            </w:r>
            <w:r w:rsidRPr="0016175C">
              <w:rPr>
                <w:rFonts w:ascii="Arial Narrow" w:hAnsi="Arial Narrow"/>
                <w:sz w:val="20"/>
              </w:rPr>
              <w:t>Communications with regulated entities and all of CASA’s stakeholders is clear, targeted and effective</w:t>
            </w:r>
            <w:r w:rsidRPr="0016175C">
              <w:rPr>
                <w:rFonts w:ascii="Arial Narrow" w:hAnsi="Arial Narrow"/>
                <w:sz w:val="20"/>
                <w:vertAlign w:val="superscript"/>
              </w:rPr>
              <w:t>a</w:t>
            </w:r>
          </w:p>
        </w:tc>
        <w:tc>
          <w:tcPr>
            <w:tcW w:w="2843" w:type="dxa"/>
            <w:shd w:val="clear" w:color="auto" w:fill="auto"/>
          </w:tcPr>
          <w:p w14:paraId="7EF6BDE5" w14:textId="77777777" w:rsidR="00C11ACA" w:rsidRPr="0016175C" w:rsidRDefault="00C11ACA" w:rsidP="00F73F4D">
            <w:pPr>
              <w:rPr>
                <w:rFonts w:ascii="Arial Narrow" w:hAnsi="Arial Narrow" w:cs="Arial"/>
                <w:sz w:val="20"/>
              </w:rPr>
            </w:pPr>
            <w:r w:rsidRPr="0016175C">
              <w:rPr>
                <w:rFonts w:ascii="Arial Narrow" w:eastAsia="Times New Roman" w:hAnsi="Arial Narrow"/>
                <w:color w:val="000000"/>
                <w:sz w:val="20"/>
                <w:lang w:eastAsia="en-AU"/>
              </w:rPr>
              <w:t>7a. Stakeholder feedback mechanisms maintained through the use of SCC</w:t>
            </w:r>
            <w:r w:rsidRPr="008C7EC7">
              <w:rPr>
                <w:rFonts w:ascii="Arial Narrow" w:eastAsia="Times New Roman" w:hAnsi="Arial Narrow"/>
                <w:color w:val="000000"/>
                <w:sz w:val="20"/>
                <w:vertAlign w:val="superscript"/>
                <w:lang w:eastAsia="en-AU"/>
              </w:rPr>
              <w:t>b</w:t>
            </w:r>
            <w:r w:rsidRPr="0016175C">
              <w:rPr>
                <w:rFonts w:ascii="Arial Narrow" w:eastAsia="Times New Roman" w:hAnsi="Arial Narrow"/>
                <w:color w:val="000000"/>
                <w:sz w:val="20"/>
                <w:lang w:eastAsia="en-AU"/>
              </w:rPr>
              <w:t xml:space="preserve"> forums, formal public consultation processes and clear complaints processes</w:t>
            </w:r>
          </w:p>
        </w:tc>
        <w:tc>
          <w:tcPr>
            <w:tcW w:w="5125" w:type="dxa"/>
            <w:shd w:val="clear" w:color="auto" w:fill="auto"/>
          </w:tcPr>
          <w:p w14:paraId="5AE008DB" w14:textId="77777777" w:rsidR="00C11ACA" w:rsidRPr="0016175C" w:rsidRDefault="00C11ACA" w:rsidP="00F73F4D">
            <w:pPr>
              <w:spacing w:before="120"/>
              <w:rPr>
                <w:rFonts w:ascii="Arial Narrow" w:hAnsi="Arial Narrow"/>
                <w:sz w:val="20"/>
              </w:rPr>
            </w:pPr>
            <w:r w:rsidRPr="0016175C">
              <w:rPr>
                <w:rFonts w:ascii="Arial Narrow" w:hAnsi="Arial Narrow"/>
                <w:sz w:val="20"/>
              </w:rPr>
              <w:t>CASA’s feedback mechanisms include forums, public consultations, complaint processes, and social media.</w:t>
            </w:r>
          </w:p>
          <w:p w14:paraId="5FC08D67" w14:textId="77777777" w:rsidR="00C11ACA" w:rsidRPr="0016175C" w:rsidRDefault="00C11ACA" w:rsidP="00F73F4D">
            <w:pPr>
              <w:spacing w:before="120"/>
              <w:rPr>
                <w:rFonts w:ascii="Arial Narrow" w:hAnsi="Arial Narrow"/>
                <w:sz w:val="20"/>
              </w:rPr>
            </w:pPr>
            <w:r w:rsidRPr="0016175C">
              <w:rPr>
                <w:rFonts w:ascii="Arial Narrow" w:hAnsi="Arial Narrow"/>
                <w:sz w:val="20"/>
              </w:rPr>
              <w:t xml:space="preserve">A range of communication plans have been developed and implemented in support of specific business initiatives and outcomes. </w:t>
            </w:r>
          </w:p>
          <w:p w14:paraId="78FD8C12" w14:textId="77777777" w:rsidR="00C11ACA" w:rsidRPr="0016175C" w:rsidRDefault="00C11ACA" w:rsidP="00F73F4D">
            <w:pPr>
              <w:spacing w:before="120"/>
              <w:rPr>
                <w:rFonts w:ascii="Arial Narrow" w:hAnsi="Arial Narrow"/>
                <w:sz w:val="20"/>
              </w:rPr>
            </w:pPr>
            <w:r w:rsidRPr="0016175C">
              <w:rPr>
                <w:rFonts w:ascii="Arial Narrow" w:hAnsi="Arial Narrow"/>
                <w:sz w:val="20"/>
              </w:rPr>
              <w:t xml:space="preserve">Usage statistics are reviewed regularly for </w:t>
            </w:r>
            <w:r w:rsidRPr="0016175C">
              <w:rPr>
                <w:rFonts w:ascii="Arial Narrow" w:hAnsi="Arial Narrow"/>
                <w:i/>
                <w:sz w:val="20"/>
              </w:rPr>
              <w:t>CASAflyer</w:t>
            </w:r>
            <w:r w:rsidRPr="007901BD">
              <w:t>,</w:t>
            </w:r>
            <w:r w:rsidRPr="0016175C">
              <w:rPr>
                <w:rFonts w:ascii="Arial Narrow" w:hAnsi="Arial Narrow"/>
                <w:sz w:val="20"/>
              </w:rPr>
              <w:t xml:space="preserve"> CASA’s internal electronic magazine; </w:t>
            </w:r>
            <w:r w:rsidRPr="0016175C">
              <w:rPr>
                <w:rFonts w:ascii="Arial Narrow" w:hAnsi="Arial Narrow"/>
                <w:i/>
                <w:sz w:val="20"/>
              </w:rPr>
              <w:t>Horace Extra</w:t>
            </w:r>
            <w:r>
              <w:t>,</w:t>
            </w:r>
            <w:r w:rsidRPr="00151FF2">
              <w:t xml:space="preserve"> </w:t>
            </w:r>
            <w:r w:rsidRPr="0016175C">
              <w:rPr>
                <w:rFonts w:ascii="Arial Narrow" w:hAnsi="Arial Narrow"/>
                <w:sz w:val="20"/>
              </w:rPr>
              <w:t xml:space="preserve">CASA’s internal email newsletter; and </w:t>
            </w:r>
            <w:r w:rsidRPr="0016175C">
              <w:rPr>
                <w:rFonts w:ascii="Arial Narrow" w:hAnsi="Arial Narrow"/>
                <w:i/>
                <w:sz w:val="20"/>
              </w:rPr>
              <w:t>casa.gov</w:t>
            </w:r>
            <w:r>
              <w:rPr>
                <w:rFonts w:ascii="Arial Narrow" w:hAnsi="Arial Narrow"/>
                <w:i/>
                <w:sz w:val="20"/>
              </w:rPr>
              <w:t>.au</w:t>
            </w:r>
            <w:r w:rsidRPr="0016175C">
              <w:rPr>
                <w:rFonts w:ascii="Arial Narrow" w:hAnsi="Arial Narrow"/>
                <w:sz w:val="20"/>
              </w:rPr>
              <w:t xml:space="preserve"> </w:t>
            </w:r>
          </w:p>
          <w:p w14:paraId="31F37EB5" w14:textId="77777777" w:rsidR="00C11ACA" w:rsidRPr="0016175C" w:rsidRDefault="00C11ACA" w:rsidP="00F73F4D">
            <w:pPr>
              <w:spacing w:before="120"/>
              <w:rPr>
                <w:rFonts w:ascii="Arial Narrow" w:hAnsi="Arial Narrow"/>
                <w:sz w:val="20"/>
              </w:rPr>
            </w:pPr>
            <w:r w:rsidRPr="0016175C">
              <w:rPr>
                <w:rFonts w:ascii="Arial Narrow" w:hAnsi="Arial Narrow"/>
                <w:sz w:val="20"/>
              </w:rPr>
              <w:t>Social media statistics are also reviewed regularly. A total of 3,537 stories were monitored during the reporting period. Of th</w:t>
            </w:r>
            <w:r>
              <w:rPr>
                <w:rFonts w:ascii="Arial Narrow" w:hAnsi="Arial Narrow"/>
                <w:sz w:val="20"/>
              </w:rPr>
              <w:t>o</w:t>
            </w:r>
            <w:r w:rsidRPr="0016175C">
              <w:rPr>
                <w:rFonts w:ascii="Arial Narrow" w:hAnsi="Arial Narrow"/>
                <w:sz w:val="20"/>
              </w:rPr>
              <w:t>se, 81</w:t>
            </w:r>
            <w:r>
              <w:rPr>
                <w:rFonts w:ascii="Arial Narrow" w:hAnsi="Arial Narrow"/>
                <w:sz w:val="20"/>
              </w:rPr>
              <w:t>%</w:t>
            </w:r>
            <w:r w:rsidRPr="0016175C">
              <w:rPr>
                <w:rFonts w:ascii="Arial Narrow" w:hAnsi="Arial Narrow"/>
                <w:sz w:val="20"/>
              </w:rPr>
              <w:t xml:space="preserve"> were neutral in tone towards CASA, 2</w:t>
            </w:r>
            <w:r>
              <w:rPr>
                <w:rFonts w:ascii="Arial Narrow" w:hAnsi="Arial Narrow"/>
                <w:sz w:val="20"/>
              </w:rPr>
              <w:t>%</w:t>
            </w:r>
            <w:r w:rsidRPr="0016175C">
              <w:rPr>
                <w:rFonts w:ascii="Arial Narrow" w:hAnsi="Arial Narrow"/>
                <w:sz w:val="20"/>
              </w:rPr>
              <w:t xml:space="preserve"> were positive, 12 </w:t>
            </w:r>
            <w:r>
              <w:rPr>
                <w:rFonts w:ascii="Arial Narrow" w:hAnsi="Arial Narrow"/>
                <w:sz w:val="20"/>
              </w:rPr>
              <w:t>%</w:t>
            </w:r>
            <w:r w:rsidRPr="0016175C">
              <w:rPr>
                <w:rFonts w:ascii="Arial Narrow" w:hAnsi="Arial Narrow"/>
                <w:sz w:val="20"/>
              </w:rPr>
              <w:t xml:space="preserve"> were mixed and </w:t>
            </w:r>
            <w:r>
              <w:rPr>
                <w:rFonts w:ascii="Arial Narrow" w:hAnsi="Arial Narrow"/>
                <w:sz w:val="20"/>
              </w:rPr>
              <w:t>%</w:t>
            </w:r>
            <w:r w:rsidRPr="0016175C">
              <w:rPr>
                <w:rFonts w:ascii="Arial Narrow" w:hAnsi="Arial Narrow"/>
                <w:sz w:val="20"/>
              </w:rPr>
              <w:t xml:space="preserve"> were negative. Negative stories are trending below the long-term average of 6%.</w:t>
            </w:r>
          </w:p>
          <w:p w14:paraId="6550BC72" w14:textId="77777777" w:rsidR="00C11ACA" w:rsidRPr="0016175C" w:rsidRDefault="00C11ACA" w:rsidP="00F73F4D">
            <w:pPr>
              <w:spacing w:before="120"/>
              <w:rPr>
                <w:rFonts w:ascii="Arial Narrow" w:hAnsi="Arial Narrow"/>
                <w:sz w:val="20"/>
              </w:rPr>
            </w:pPr>
            <w:r w:rsidRPr="0016175C">
              <w:rPr>
                <w:rFonts w:ascii="Arial Narrow" w:hAnsi="Arial Narrow"/>
                <w:sz w:val="20"/>
              </w:rPr>
              <w:t>Feedback from external forums was positive. Survey results indicated that 95</w:t>
            </w:r>
            <w:r>
              <w:rPr>
                <w:rFonts w:ascii="Arial Narrow" w:hAnsi="Arial Narrow"/>
                <w:sz w:val="20"/>
              </w:rPr>
              <w:t>%</w:t>
            </w:r>
            <w:r w:rsidRPr="0016175C">
              <w:rPr>
                <w:rFonts w:ascii="Arial Narrow" w:hAnsi="Arial Narrow"/>
                <w:sz w:val="20"/>
              </w:rPr>
              <w:t xml:space="preserve"> of AvSafety seminar attendees understood the role of CASA’s aviation safety advisors and their positive impact on safety.</w:t>
            </w:r>
          </w:p>
          <w:p w14:paraId="655A4152" w14:textId="77777777" w:rsidR="00C11ACA" w:rsidRPr="0016175C" w:rsidRDefault="00C11ACA" w:rsidP="00F73F4D">
            <w:pPr>
              <w:rPr>
                <w:rFonts w:ascii="Arial Narrow" w:hAnsi="Arial Narrow"/>
                <w:sz w:val="20"/>
              </w:rPr>
            </w:pPr>
            <w:r w:rsidRPr="0016175C">
              <w:rPr>
                <w:rFonts w:ascii="Arial Narrow" w:hAnsi="Arial Narrow"/>
                <w:sz w:val="20"/>
              </w:rPr>
              <w:t>CASA maintains constructive relationships with media representatives.</w:t>
            </w:r>
          </w:p>
        </w:tc>
      </w:tr>
      <w:tr w:rsidR="00C11ACA" w:rsidRPr="0016175C" w14:paraId="0C728DED" w14:textId="77777777" w:rsidTr="00F73F4D">
        <w:tc>
          <w:tcPr>
            <w:tcW w:w="2346" w:type="dxa"/>
            <w:shd w:val="clear" w:color="auto" w:fill="auto"/>
          </w:tcPr>
          <w:p w14:paraId="6632910D" w14:textId="77777777" w:rsidR="00C11ACA" w:rsidRPr="0016175C" w:rsidRDefault="00C11ACA" w:rsidP="00F73F4D">
            <w:pPr>
              <w:pStyle w:val="ListParagraph"/>
              <w:spacing w:after="0"/>
              <w:ind w:left="0"/>
              <w:rPr>
                <w:rFonts w:ascii="Arial Narrow" w:hAnsi="Arial Narrow"/>
                <w:b/>
                <w:sz w:val="20"/>
              </w:rPr>
            </w:pPr>
            <w:r w:rsidRPr="00426FA6">
              <w:rPr>
                <w:rFonts w:ascii="Arial Narrow" w:hAnsi="Arial Narrow"/>
                <w:sz w:val="20"/>
              </w:rPr>
              <w:t>8</w:t>
            </w:r>
            <w:r>
              <w:rPr>
                <w:rFonts w:ascii="Arial Narrow" w:hAnsi="Arial Narrow"/>
                <w:sz w:val="20"/>
              </w:rPr>
              <w:t>.</w:t>
            </w:r>
            <w:r w:rsidRPr="0016175C">
              <w:rPr>
                <w:rFonts w:ascii="Arial Narrow" w:hAnsi="Arial Narrow"/>
                <w:sz w:val="20"/>
              </w:rPr>
              <w:t xml:space="preserve"> Education and promotion deliverables are relevant, timely, </w:t>
            </w:r>
            <w:r w:rsidRPr="0016175C">
              <w:rPr>
                <w:rFonts w:ascii="Arial Narrow" w:hAnsi="Arial Narrow"/>
                <w:sz w:val="20"/>
              </w:rPr>
              <w:lastRenderedPageBreak/>
              <w:t>effective and appropriately targeted</w:t>
            </w:r>
          </w:p>
        </w:tc>
        <w:tc>
          <w:tcPr>
            <w:tcW w:w="2843" w:type="dxa"/>
            <w:shd w:val="clear" w:color="auto" w:fill="auto"/>
          </w:tcPr>
          <w:p w14:paraId="3CF38C4B" w14:textId="77777777" w:rsidR="00C11ACA" w:rsidRPr="0016175C" w:rsidRDefault="00C11ACA" w:rsidP="00F73F4D">
            <w:pPr>
              <w:rPr>
                <w:rFonts w:ascii="Arial Narrow" w:hAnsi="Arial Narrow" w:cs="Arial"/>
                <w:sz w:val="20"/>
              </w:rPr>
            </w:pPr>
            <w:r w:rsidRPr="0016175C">
              <w:rPr>
                <w:rFonts w:ascii="Arial Narrow" w:eastAsia="Times New Roman" w:hAnsi="Arial Narrow"/>
                <w:color w:val="000000"/>
                <w:sz w:val="20"/>
                <w:lang w:eastAsia="en-AU"/>
              </w:rPr>
              <w:lastRenderedPageBreak/>
              <w:t xml:space="preserve">8a. Education and promotion activities meet the needs of </w:t>
            </w:r>
            <w:r w:rsidRPr="0016175C">
              <w:rPr>
                <w:rFonts w:ascii="Arial Narrow" w:eastAsia="Times New Roman" w:hAnsi="Arial Narrow"/>
                <w:color w:val="000000"/>
                <w:sz w:val="20"/>
                <w:lang w:eastAsia="en-AU"/>
              </w:rPr>
              <w:lastRenderedPageBreak/>
              <w:t>regulated entities and CASA staff</w:t>
            </w:r>
          </w:p>
        </w:tc>
        <w:tc>
          <w:tcPr>
            <w:tcW w:w="5125" w:type="dxa"/>
            <w:shd w:val="clear" w:color="auto" w:fill="auto"/>
          </w:tcPr>
          <w:p w14:paraId="6659FAA7" w14:textId="77777777" w:rsidR="00C11ACA" w:rsidRPr="0016175C" w:rsidRDefault="00C11ACA" w:rsidP="00F73F4D">
            <w:pPr>
              <w:spacing w:before="120"/>
              <w:rPr>
                <w:rFonts w:ascii="Arial Narrow" w:hAnsi="Arial Narrow"/>
                <w:sz w:val="20"/>
              </w:rPr>
            </w:pPr>
            <w:r w:rsidRPr="0016175C">
              <w:rPr>
                <w:rFonts w:ascii="Arial Narrow" w:hAnsi="Arial Narrow"/>
                <w:sz w:val="20"/>
              </w:rPr>
              <w:lastRenderedPageBreak/>
              <w:t>CASA continuously engages with internal and external stakeholders to ensure that activities meet safety needs and priorities.</w:t>
            </w:r>
          </w:p>
          <w:p w14:paraId="24F1B79B" w14:textId="77777777" w:rsidR="00C11ACA" w:rsidRPr="0016175C" w:rsidRDefault="00C11ACA" w:rsidP="00F73F4D">
            <w:pPr>
              <w:rPr>
                <w:rFonts w:ascii="Arial Narrow" w:hAnsi="Arial Narrow"/>
                <w:sz w:val="20"/>
              </w:rPr>
            </w:pPr>
            <w:r w:rsidRPr="0016175C">
              <w:rPr>
                <w:rFonts w:ascii="Arial Narrow" w:hAnsi="Arial Narrow"/>
                <w:sz w:val="20"/>
              </w:rPr>
              <w:lastRenderedPageBreak/>
              <w:t>Social media channels are being used effectively. CASA has 38,858 followers on Facebook, 9,748 on Twitter and 8,974 on LinkedIn. CASA’s combined social media audience grew by 46</w:t>
            </w:r>
            <w:r>
              <w:rPr>
                <w:rFonts w:ascii="Arial Narrow" w:hAnsi="Arial Narrow"/>
                <w:sz w:val="20"/>
              </w:rPr>
              <w:t>%</w:t>
            </w:r>
            <w:r w:rsidRPr="0016175C">
              <w:rPr>
                <w:rFonts w:ascii="Arial Narrow" w:hAnsi="Arial Narrow"/>
                <w:sz w:val="20"/>
              </w:rPr>
              <w:t xml:space="preserve"> in 2017–18.</w:t>
            </w:r>
          </w:p>
          <w:p w14:paraId="681D6E1A" w14:textId="77777777" w:rsidR="00C11ACA" w:rsidRPr="0016175C" w:rsidRDefault="00C11ACA" w:rsidP="00F73F4D">
            <w:pPr>
              <w:spacing w:before="120"/>
              <w:rPr>
                <w:rFonts w:ascii="Arial Narrow" w:hAnsi="Arial Narrow"/>
                <w:sz w:val="20"/>
              </w:rPr>
            </w:pPr>
            <w:r w:rsidRPr="0016175C">
              <w:rPr>
                <w:rFonts w:ascii="Arial Narrow" w:hAnsi="Arial Narrow"/>
                <w:sz w:val="20"/>
              </w:rPr>
              <w:t>Plans have been developed to address the six outstanding protocol questions identified by the ICAO coordinated validation mission in October 2017, and will be implemented over the next 18 months.</w:t>
            </w:r>
            <w:r w:rsidRPr="0016175C" w:rsidDel="006A05D3">
              <w:rPr>
                <w:rFonts w:ascii="Arial Narrow" w:hAnsi="Arial Narrow"/>
                <w:sz w:val="20"/>
              </w:rPr>
              <w:t xml:space="preserve"> </w:t>
            </w:r>
          </w:p>
          <w:p w14:paraId="4C15CF82" w14:textId="77777777" w:rsidR="00C11ACA" w:rsidRPr="0016175C" w:rsidRDefault="00C11ACA" w:rsidP="00F73F4D">
            <w:pPr>
              <w:rPr>
                <w:rFonts w:ascii="Arial Narrow" w:hAnsi="Arial Narrow"/>
                <w:sz w:val="20"/>
              </w:rPr>
            </w:pPr>
            <w:r w:rsidRPr="0016175C">
              <w:rPr>
                <w:rFonts w:ascii="Arial Narrow" w:hAnsi="Arial Narrow"/>
                <w:sz w:val="20"/>
              </w:rPr>
              <w:t>Work continues on finalising the development and implementation of courses for regulatory staff as outlined within the training programs and requirements for their roles.</w:t>
            </w:r>
          </w:p>
          <w:p w14:paraId="7BC695ED" w14:textId="77777777" w:rsidR="00C11ACA" w:rsidRPr="0016175C" w:rsidRDefault="00C11ACA" w:rsidP="00F73F4D">
            <w:pPr>
              <w:rPr>
                <w:rFonts w:ascii="Arial Narrow" w:hAnsi="Arial Narrow"/>
                <w:sz w:val="20"/>
              </w:rPr>
            </w:pPr>
            <w:r w:rsidRPr="0016175C">
              <w:rPr>
                <w:rFonts w:ascii="Arial Narrow" w:hAnsi="Arial Narrow"/>
                <w:sz w:val="20"/>
              </w:rPr>
              <w:t xml:space="preserve">Thirty-seven courses were delivered to 760 participants in 2017–18 through the Regulatory and Technical Training </w:t>
            </w:r>
            <w:r>
              <w:rPr>
                <w:rFonts w:ascii="Arial Narrow" w:hAnsi="Arial Narrow"/>
                <w:sz w:val="20"/>
              </w:rPr>
              <w:t>F</w:t>
            </w:r>
            <w:r w:rsidRPr="0016175C">
              <w:rPr>
                <w:rFonts w:ascii="Arial Narrow" w:hAnsi="Arial Narrow"/>
                <w:sz w:val="20"/>
              </w:rPr>
              <w:t>ramework. These courses received an average training approval rating of 89</w:t>
            </w:r>
            <w:r>
              <w:rPr>
                <w:rFonts w:ascii="Arial Narrow" w:hAnsi="Arial Narrow"/>
                <w:sz w:val="20"/>
              </w:rPr>
              <w:t>%</w:t>
            </w:r>
            <w:r w:rsidRPr="0016175C">
              <w:rPr>
                <w:rFonts w:ascii="Arial Narrow" w:hAnsi="Arial Narrow"/>
                <w:sz w:val="20"/>
              </w:rPr>
              <w:t>, which is consistent with the average rating over the 2016–17 period.</w:t>
            </w:r>
          </w:p>
        </w:tc>
      </w:tr>
    </w:tbl>
    <w:p w14:paraId="21BB7512" w14:textId="77777777" w:rsidR="00C11ACA" w:rsidRDefault="00C11ACA" w:rsidP="00C11ACA">
      <w:pPr>
        <w:pStyle w:val="TableNotesLast"/>
      </w:pPr>
      <w:r>
        <w:lastRenderedPageBreak/>
        <w:t>a</w:t>
      </w:r>
      <w:r>
        <w:tab/>
        <w:t>Key performance indicator required under the Regulator Performance Framework.</w:t>
      </w:r>
      <w:r>
        <w:br/>
        <w:t>b</w:t>
      </w:r>
      <w:r>
        <w:tab/>
        <w:t>Refers to the Standards Consultative Committee, which has been replaced by the Aviation Safety Advisory Panel.</w:t>
      </w:r>
    </w:p>
    <w:p w14:paraId="0E4921F9" w14:textId="77777777" w:rsidR="00D22330" w:rsidRPr="00687E4A" w:rsidRDefault="00D22330" w:rsidP="00D22330">
      <w:pPr>
        <w:pStyle w:val="Heading3"/>
        <w:rPr>
          <w:lang w:val="en-GB"/>
        </w:rPr>
      </w:pPr>
      <w:r w:rsidRPr="00687E4A">
        <w:rPr>
          <w:lang w:val="en-GB"/>
        </w:rPr>
        <w:t>Looking ahead</w:t>
      </w:r>
    </w:p>
    <w:p w14:paraId="26A90475" w14:textId="77777777" w:rsidR="00D22330" w:rsidRPr="00687E4A" w:rsidRDefault="00D22330" w:rsidP="00D22330">
      <w:pPr>
        <w:pStyle w:val="Bullet"/>
        <w:rPr>
          <w:szCs w:val="24"/>
        </w:rPr>
      </w:pPr>
      <w:r w:rsidRPr="00687E4A">
        <w:rPr>
          <w:rFonts w:cs="Arial"/>
          <w:szCs w:val="24"/>
        </w:rPr>
        <w:t>CASA’s approach to the regulation of aviation medicine will continue to evolve</w:t>
      </w:r>
      <w:r>
        <w:rPr>
          <w:rFonts w:cs="Arial"/>
          <w:szCs w:val="24"/>
        </w:rPr>
        <w:t>.</w:t>
      </w:r>
      <w:r w:rsidRPr="00687E4A">
        <w:rPr>
          <w:rFonts w:cs="Arial"/>
          <w:szCs w:val="24"/>
        </w:rPr>
        <w:t xml:space="preserve"> </w:t>
      </w:r>
      <w:r>
        <w:rPr>
          <w:rFonts w:cs="Arial"/>
          <w:szCs w:val="24"/>
        </w:rPr>
        <w:t>F</w:t>
      </w:r>
      <w:r w:rsidRPr="00687E4A">
        <w:rPr>
          <w:rFonts w:cs="Arial"/>
          <w:szCs w:val="24"/>
        </w:rPr>
        <w:t>urther enhancements to CASA’s evidence-based approach to aviation medicine policy and regulation</w:t>
      </w:r>
      <w:r>
        <w:rPr>
          <w:rFonts w:cs="Arial"/>
          <w:szCs w:val="24"/>
        </w:rPr>
        <w:t xml:space="preserve"> are expected</w:t>
      </w:r>
      <w:r w:rsidRPr="00687E4A">
        <w:rPr>
          <w:rFonts w:cs="Arial"/>
          <w:szCs w:val="24"/>
        </w:rPr>
        <w:t xml:space="preserve">. Part of this work will involve working with </w:t>
      </w:r>
      <w:r>
        <w:rPr>
          <w:rFonts w:cs="Arial"/>
          <w:szCs w:val="24"/>
        </w:rPr>
        <w:t>r</w:t>
      </w:r>
      <w:r w:rsidRPr="00687E4A">
        <w:rPr>
          <w:rFonts w:cs="Arial"/>
          <w:szCs w:val="24"/>
        </w:rPr>
        <w:t>egistrar</w:t>
      </w:r>
      <w:r>
        <w:rPr>
          <w:rFonts w:cs="Arial"/>
          <w:szCs w:val="24"/>
        </w:rPr>
        <w:t>s</w:t>
      </w:r>
      <w:r w:rsidRPr="00687E4A">
        <w:rPr>
          <w:rFonts w:cs="Arial"/>
          <w:szCs w:val="24"/>
        </w:rPr>
        <w:t xml:space="preserve"> of </w:t>
      </w:r>
      <w:r>
        <w:rPr>
          <w:rFonts w:cs="Arial"/>
          <w:szCs w:val="24"/>
        </w:rPr>
        <w:t>b</w:t>
      </w:r>
      <w:r w:rsidRPr="00687E4A">
        <w:rPr>
          <w:rFonts w:cs="Arial"/>
          <w:szCs w:val="24"/>
        </w:rPr>
        <w:t xml:space="preserve">irths, </w:t>
      </w:r>
      <w:r>
        <w:rPr>
          <w:rFonts w:cs="Arial"/>
          <w:szCs w:val="24"/>
        </w:rPr>
        <w:t>d</w:t>
      </w:r>
      <w:r w:rsidRPr="00687E4A">
        <w:rPr>
          <w:rFonts w:cs="Arial"/>
          <w:szCs w:val="24"/>
        </w:rPr>
        <w:t xml:space="preserve">eaths and </w:t>
      </w:r>
      <w:r>
        <w:rPr>
          <w:rFonts w:cs="Arial"/>
          <w:szCs w:val="24"/>
        </w:rPr>
        <w:t>m</w:t>
      </w:r>
      <w:r w:rsidRPr="00687E4A">
        <w:rPr>
          <w:rFonts w:cs="Arial"/>
          <w:szCs w:val="24"/>
        </w:rPr>
        <w:t>arriages</w:t>
      </w:r>
      <w:r>
        <w:rPr>
          <w:rFonts w:cs="Arial"/>
          <w:szCs w:val="24"/>
        </w:rPr>
        <w:t xml:space="preserve"> and</w:t>
      </w:r>
      <w:r w:rsidRPr="00687E4A">
        <w:rPr>
          <w:rFonts w:cs="Arial"/>
          <w:szCs w:val="24"/>
        </w:rPr>
        <w:t xml:space="preserve"> the Australian Institute of Health and Welfare to build a picture of pilot</w:t>
      </w:r>
      <w:r>
        <w:rPr>
          <w:rFonts w:cs="Arial"/>
          <w:szCs w:val="24"/>
        </w:rPr>
        <w:t>s’</w:t>
      </w:r>
      <w:r w:rsidRPr="00687E4A">
        <w:rPr>
          <w:rFonts w:cs="Arial"/>
          <w:szCs w:val="24"/>
        </w:rPr>
        <w:t xml:space="preserve"> health outcomes during and after their flying careers (private and commercial).</w:t>
      </w:r>
    </w:p>
    <w:p w14:paraId="3D1CBC6B" w14:textId="77777777" w:rsidR="00D22330" w:rsidRPr="0090376A" w:rsidRDefault="00D22330" w:rsidP="00D22330">
      <w:pPr>
        <w:pStyle w:val="Bullet"/>
        <w:rPr>
          <w:szCs w:val="24"/>
        </w:rPr>
      </w:pPr>
      <w:r w:rsidRPr="00687E4A">
        <w:rPr>
          <w:rFonts w:cs="Arial"/>
          <w:szCs w:val="24"/>
        </w:rPr>
        <w:t xml:space="preserve">In 2018–19, CASA will actively support Australia’s campaign to seek re-election </w:t>
      </w:r>
      <w:r>
        <w:rPr>
          <w:rFonts w:cs="Arial"/>
          <w:szCs w:val="24"/>
        </w:rPr>
        <w:t>to</w:t>
      </w:r>
      <w:r w:rsidRPr="00687E4A">
        <w:rPr>
          <w:rFonts w:cs="Arial"/>
          <w:szCs w:val="24"/>
        </w:rPr>
        <w:t xml:space="preserve"> the ICAO Council as a </w:t>
      </w:r>
      <w:r>
        <w:rPr>
          <w:rFonts w:cs="Arial"/>
          <w:szCs w:val="24"/>
        </w:rPr>
        <w:t>S</w:t>
      </w:r>
      <w:r w:rsidRPr="00687E4A">
        <w:rPr>
          <w:rFonts w:cs="Arial"/>
          <w:szCs w:val="24"/>
        </w:rPr>
        <w:t>tate of chief importance in air transport. CASA will continue to participate in ICAO aviation safety and technical panels, working groups and other forums as appropriate</w:t>
      </w:r>
      <w:r>
        <w:rPr>
          <w:rFonts w:cs="Arial"/>
          <w:szCs w:val="24"/>
        </w:rPr>
        <w:t>,</w:t>
      </w:r>
      <w:r w:rsidRPr="00687E4A">
        <w:rPr>
          <w:rFonts w:cs="Arial"/>
          <w:szCs w:val="24"/>
        </w:rPr>
        <w:t xml:space="preserve"> to shape the direction of global aviation standards and contribute to Australia’s standing in the ICAO community</w:t>
      </w:r>
      <w:r>
        <w:rPr>
          <w:rFonts w:cs="Arial"/>
          <w:szCs w:val="24"/>
        </w:rPr>
        <w:t>,</w:t>
      </w:r>
      <w:r w:rsidRPr="00687E4A">
        <w:rPr>
          <w:rFonts w:cs="Arial"/>
          <w:szCs w:val="24"/>
        </w:rPr>
        <w:t xml:space="preserve"> and </w:t>
      </w:r>
      <w:r>
        <w:rPr>
          <w:rFonts w:cs="Arial"/>
          <w:szCs w:val="24"/>
        </w:rPr>
        <w:t xml:space="preserve">to </w:t>
      </w:r>
      <w:r w:rsidRPr="00687E4A">
        <w:rPr>
          <w:rFonts w:cs="Arial"/>
          <w:szCs w:val="24"/>
        </w:rPr>
        <w:t xml:space="preserve">advocate </w:t>
      </w:r>
      <w:r>
        <w:rPr>
          <w:rFonts w:cs="Arial"/>
          <w:szCs w:val="24"/>
        </w:rPr>
        <w:t>on</w:t>
      </w:r>
      <w:r w:rsidRPr="00687E4A">
        <w:rPr>
          <w:rFonts w:cs="Arial"/>
          <w:szCs w:val="24"/>
        </w:rPr>
        <w:t xml:space="preserve"> matters of importance </w:t>
      </w:r>
      <w:r>
        <w:rPr>
          <w:rFonts w:cs="Arial"/>
          <w:szCs w:val="24"/>
        </w:rPr>
        <w:t>to</w:t>
      </w:r>
      <w:r w:rsidRPr="00687E4A">
        <w:rPr>
          <w:rFonts w:cs="Arial"/>
          <w:szCs w:val="24"/>
        </w:rPr>
        <w:t xml:space="preserve"> Australian agencies and industry. </w:t>
      </w:r>
    </w:p>
    <w:p w14:paraId="12752C64" w14:textId="77777777" w:rsidR="00D22330" w:rsidRPr="00687E4A" w:rsidRDefault="00D22330" w:rsidP="00D22330">
      <w:pPr>
        <w:pStyle w:val="Bullet"/>
        <w:rPr>
          <w:szCs w:val="24"/>
        </w:rPr>
      </w:pPr>
      <w:r>
        <w:rPr>
          <w:rFonts w:cs="Arial"/>
          <w:szCs w:val="24"/>
        </w:rPr>
        <w:t>CASA will maintain s</w:t>
      </w:r>
      <w:r w:rsidRPr="00687E4A">
        <w:rPr>
          <w:rFonts w:cs="Arial"/>
          <w:szCs w:val="24"/>
        </w:rPr>
        <w:t>trong working relationships with like-minded regulators such as the F</w:t>
      </w:r>
      <w:r>
        <w:rPr>
          <w:rFonts w:cs="Arial"/>
          <w:szCs w:val="24"/>
        </w:rPr>
        <w:t>AA</w:t>
      </w:r>
      <w:r w:rsidRPr="00687E4A">
        <w:rPr>
          <w:rFonts w:cs="Arial"/>
          <w:szCs w:val="24"/>
        </w:rPr>
        <w:t>, Transport Canada and the Civil Aviation Authority of New Zealand</w:t>
      </w:r>
      <w:r>
        <w:rPr>
          <w:rFonts w:cs="Arial"/>
          <w:szCs w:val="24"/>
        </w:rPr>
        <w:t>,</w:t>
      </w:r>
      <w:r w:rsidRPr="00687E4A">
        <w:rPr>
          <w:rFonts w:cs="Arial"/>
          <w:szCs w:val="24"/>
        </w:rPr>
        <w:t xml:space="preserve"> via regular dialogues and bilateral/multilateral arrangements, with a focus on enhancing or establishing reciprocal arrangements with Asia-Pacific counterparts. </w:t>
      </w:r>
      <w:r>
        <w:rPr>
          <w:rFonts w:cs="Arial"/>
          <w:szCs w:val="24"/>
        </w:rPr>
        <w:t>The provision of t</w:t>
      </w:r>
      <w:r w:rsidRPr="00687E4A">
        <w:rPr>
          <w:rFonts w:cs="Arial"/>
          <w:szCs w:val="24"/>
        </w:rPr>
        <w:t>echnical assistance and Australian expertise will continue to be administered in Papua New Guinea and Indonesia</w:t>
      </w:r>
      <w:r>
        <w:rPr>
          <w:rFonts w:cs="Arial"/>
          <w:szCs w:val="24"/>
        </w:rPr>
        <w:t xml:space="preserve"> through the Australian Aid program</w:t>
      </w:r>
      <w:r w:rsidRPr="00687E4A">
        <w:rPr>
          <w:rFonts w:cs="Arial"/>
          <w:szCs w:val="24"/>
        </w:rPr>
        <w:t>, a</w:t>
      </w:r>
      <w:r>
        <w:rPr>
          <w:rFonts w:cs="Arial"/>
          <w:szCs w:val="24"/>
        </w:rPr>
        <w:t>nd</w:t>
      </w:r>
      <w:r w:rsidRPr="00687E4A">
        <w:rPr>
          <w:rFonts w:cs="Arial"/>
          <w:szCs w:val="24"/>
        </w:rPr>
        <w:t xml:space="preserve"> across Pacific </w:t>
      </w:r>
      <w:r>
        <w:rPr>
          <w:rFonts w:cs="Arial"/>
          <w:szCs w:val="24"/>
        </w:rPr>
        <w:t>i</w:t>
      </w:r>
      <w:r w:rsidRPr="00687E4A">
        <w:rPr>
          <w:rFonts w:cs="Arial"/>
          <w:szCs w:val="24"/>
        </w:rPr>
        <w:t>sland countries through the Pacific Aviation Safety Office</w:t>
      </w:r>
      <w:r w:rsidRPr="00687E4A">
        <w:rPr>
          <w:szCs w:val="24"/>
        </w:rPr>
        <w:t xml:space="preserve">. </w:t>
      </w:r>
    </w:p>
    <w:p w14:paraId="3434B1CD" w14:textId="77777777" w:rsidR="00D22330" w:rsidRPr="00687E4A" w:rsidRDefault="00D22330" w:rsidP="00D22330">
      <w:pPr>
        <w:pStyle w:val="Bullet"/>
        <w:rPr>
          <w:szCs w:val="24"/>
        </w:rPr>
      </w:pPr>
      <w:r w:rsidRPr="00687E4A">
        <w:rPr>
          <w:rFonts w:cs="Arial"/>
          <w:szCs w:val="24"/>
        </w:rPr>
        <w:t xml:space="preserve">CASA will continue to work with ICAO and other </w:t>
      </w:r>
      <w:r>
        <w:rPr>
          <w:rFonts w:cs="Arial"/>
          <w:szCs w:val="24"/>
        </w:rPr>
        <w:t>M</w:t>
      </w:r>
      <w:r w:rsidRPr="00687E4A">
        <w:rPr>
          <w:rFonts w:cs="Arial"/>
          <w:szCs w:val="24"/>
        </w:rPr>
        <w:t>ember States to refine international approaches to electronic personnel licen</w:t>
      </w:r>
      <w:r>
        <w:rPr>
          <w:rFonts w:cs="Arial"/>
          <w:szCs w:val="24"/>
        </w:rPr>
        <w:t>s</w:t>
      </w:r>
      <w:r w:rsidRPr="00687E4A">
        <w:rPr>
          <w:rFonts w:cs="Arial"/>
          <w:szCs w:val="24"/>
        </w:rPr>
        <w:t>ing. It is expected that</w:t>
      </w:r>
      <w:r>
        <w:rPr>
          <w:rFonts w:cs="Arial"/>
          <w:szCs w:val="24"/>
        </w:rPr>
        <w:t>,</w:t>
      </w:r>
      <w:r w:rsidRPr="00687E4A">
        <w:rPr>
          <w:rFonts w:cs="Arial"/>
          <w:szCs w:val="24"/>
        </w:rPr>
        <w:t xml:space="preserve"> between 2019 and 2020, the international regulatory context will enable the utilisation of electronic personnel licences, which would </w:t>
      </w:r>
      <w:r>
        <w:rPr>
          <w:rFonts w:cs="Arial"/>
          <w:szCs w:val="24"/>
        </w:rPr>
        <w:t>subsequently</w:t>
      </w:r>
      <w:r w:rsidRPr="00687E4A">
        <w:rPr>
          <w:rFonts w:cs="Arial"/>
          <w:szCs w:val="24"/>
        </w:rPr>
        <w:t xml:space="preserve"> be considered within an Australian context. </w:t>
      </w:r>
    </w:p>
    <w:p w14:paraId="6495C529" w14:textId="77777777" w:rsidR="00D22330" w:rsidRPr="00687E4A" w:rsidRDefault="00D22330" w:rsidP="00D22330">
      <w:pPr>
        <w:pStyle w:val="Bullet"/>
        <w:rPr>
          <w:szCs w:val="24"/>
        </w:rPr>
      </w:pPr>
      <w:r w:rsidRPr="00687E4A">
        <w:rPr>
          <w:rFonts w:cs="Arial"/>
          <w:szCs w:val="24"/>
        </w:rPr>
        <w:t xml:space="preserve">A significant amount of effort will be put into the achievement of the deliverables under CASA’s </w:t>
      </w:r>
      <w:r>
        <w:rPr>
          <w:rFonts w:cs="Arial"/>
          <w:szCs w:val="24"/>
        </w:rPr>
        <w:t>S</w:t>
      </w:r>
      <w:r w:rsidRPr="00687E4A">
        <w:rPr>
          <w:rFonts w:cs="Arial"/>
          <w:szCs w:val="24"/>
        </w:rPr>
        <w:t xml:space="preserve">ervice </w:t>
      </w:r>
      <w:r>
        <w:rPr>
          <w:rFonts w:cs="Arial"/>
          <w:szCs w:val="24"/>
        </w:rPr>
        <w:t>D</w:t>
      </w:r>
      <w:r w:rsidRPr="00687E4A">
        <w:rPr>
          <w:rFonts w:cs="Arial"/>
          <w:szCs w:val="24"/>
        </w:rPr>
        <w:t xml:space="preserve">elivery </w:t>
      </w:r>
      <w:r>
        <w:rPr>
          <w:rFonts w:cs="Arial"/>
          <w:szCs w:val="24"/>
        </w:rPr>
        <w:t>T</w:t>
      </w:r>
      <w:r w:rsidRPr="00687E4A">
        <w:rPr>
          <w:rFonts w:cs="Arial"/>
          <w:szCs w:val="24"/>
        </w:rPr>
        <w:t>ransformation pro</w:t>
      </w:r>
      <w:r>
        <w:rPr>
          <w:rFonts w:cs="Arial"/>
          <w:szCs w:val="24"/>
        </w:rPr>
        <w:t>gram,</w:t>
      </w:r>
      <w:r w:rsidRPr="00687E4A">
        <w:rPr>
          <w:rFonts w:cs="Arial"/>
          <w:szCs w:val="24"/>
        </w:rPr>
        <w:t xml:space="preserve"> which is expected to </w:t>
      </w:r>
      <w:r w:rsidRPr="00687E4A">
        <w:rPr>
          <w:rFonts w:cs="Arial"/>
          <w:szCs w:val="24"/>
        </w:rPr>
        <w:lastRenderedPageBreak/>
        <w:t xml:space="preserve">considerably streamline the experience of clients interacting with CASA and </w:t>
      </w:r>
      <w:r>
        <w:rPr>
          <w:rFonts w:cs="Arial"/>
          <w:szCs w:val="24"/>
        </w:rPr>
        <w:t xml:space="preserve">promote a culture </w:t>
      </w:r>
      <w:r w:rsidRPr="00687E4A">
        <w:rPr>
          <w:rFonts w:cs="Arial"/>
          <w:szCs w:val="24"/>
        </w:rPr>
        <w:t xml:space="preserve">characterised by high </w:t>
      </w:r>
      <w:r>
        <w:rPr>
          <w:rFonts w:cs="Arial"/>
          <w:szCs w:val="24"/>
        </w:rPr>
        <w:t xml:space="preserve">levels of </w:t>
      </w:r>
      <w:r w:rsidRPr="00687E4A">
        <w:rPr>
          <w:rFonts w:cs="Arial"/>
          <w:szCs w:val="24"/>
        </w:rPr>
        <w:t>client</w:t>
      </w:r>
      <w:r>
        <w:rPr>
          <w:rFonts w:cs="Arial"/>
          <w:szCs w:val="24"/>
        </w:rPr>
        <w:t xml:space="preserve"> </w:t>
      </w:r>
      <w:r w:rsidRPr="00687E4A">
        <w:rPr>
          <w:rFonts w:cs="Arial"/>
          <w:szCs w:val="24"/>
        </w:rPr>
        <w:t xml:space="preserve">care </w:t>
      </w:r>
      <w:r>
        <w:rPr>
          <w:rFonts w:cs="Arial"/>
          <w:szCs w:val="24"/>
        </w:rPr>
        <w:t xml:space="preserve">in </w:t>
      </w:r>
      <w:r w:rsidRPr="00687E4A">
        <w:rPr>
          <w:rFonts w:cs="Arial"/>
          <w:szCs w:val="24"/>
        </w:rPr>
        <w:t>service delivery.</w:t>
      </w:r>
    </w:p>
    <w:p w14:paraId="60B99EDE" w14:textId="28BFAFA7" w:rsidR="000F61DE" w:rsidRPr="006C0823" w:rsidRDefault="000F61DE" w:rsidP="000F61DE">
      <w:pPr>
        <w:pStyle w:val="Heading2"/>
        <w:rPr>
          <w:lang w:val="en-GB"/>
        </w:rPr>
      </w:pPr>
      <w:bookmarkStart w:id="52" w:name="_Hlk521921373"/>
      <w:r w:rsidRPr="006C0823">
        <w:rPr>
          <w:lang w:val="en-GB"/>
        </w:rPr>
        <w:t>Goal 3: Continuous improvement of organisational performance</w:t>
      </w:r>
    </w:p>
    <w:p w14:paraId="4C1096D8" w14:textId="77777777" w:rsidR="000F61DE" w:rsidRPr="006C0823" w:rsidRDefault="000F61DE" w:rsidP="000F61DE">
      <w:r w:rsidRPr="006C0823">
        <w:t>CASA closely monitors its organisational performance and seeks to continually improve its operational activities, regulatory services and other support functions. CASA is adopting a comprehensive quality management systems approach to drive continuous improvement across all facets of the organisation.</w:t>
      </w:r>
    </w:p>
    <w:p w14:paraId="3377C166" w14:textId="77777777" w:rsidR="000F61DE" w:rsidRPr="004E3ACF" w:rsidRDefault="000F61DE" w:rsidP="000F61DE">
      <w:pPr>
        <w:pStyle w:val="Heading3"/>
        <w:rPr>
          <w:color w:val="auto"/>
          <w:lang w:val="en-GB"/>
        </w:rPr>
      </w:pPr>
      <w:r w:rsidRPr="004E3ACF">
        <w:rPr>
          <w:color w:val="auto"/>
          <w:lang w:val="en-GB"/>
        </w:rPr>
        <w:t>Overall result</w:t>
      </w:r>
    </w:p>
    <w:p w14:paraId="1443333C" w14:textId="77777777" w:rsidR="000F61DE" w:rsidRPr="004E3ACF" w:rsidRDefault="000F61DE" w:rsidP="009A6C3B">
      <w:pPr>
        <w:pStyle w:val="ListParagraph"/>
        <w:numPr>
          <w:ilvl w:val="0"/>
          <w:numId w:val="36"/>
        </w:numPr>
      </w:pPr>
      <w:r>
        <w:t>95</w:t>
      </w:r>
      <w:r w:rsidRPr="004E3ACF">
        <w:t>% of targets met</w:t>
      </w:r>
    </w:p>
    <w:p w14:paraId="71113BB7" w14:textId="77777777" w:rsidR="000F61DE" w:rsidRPr="004E3ACF" w:rsidRDefault="000F61DE" w:rsidP="009A6C3B">
      <w:pPr>
        <w:pStyle w:val="ListParagraph"/>
        <w:numPr>
          <w:ilvl w:val="0"/>
          <w:numId w:val="36"/>
        </w:numPr>
      </w:pPr>
      <w:r>
        <w:t>5</w:t>
      </w:r>
      <w:r w:rsidRPr="004E3ACF">
        <w:t>% substantially completed</w:t>
      </w:r>
    </w:p>
    <w:p w14:paraId="3D2CE127" w14:textId="77777777" w:rsidR="000F61DE" w:rsidRPr="004E3ACF" w:rsidRDefault="000F61DE" w:rsidP="000F61DE">
      <w:r w:rsidRPr="004E3ACF">
        <w:t xml:space="preserve">Of the 19 measures in place against this goal, </w:t>
      </w:r>
      <w:r>
        <w:t>95</w:t>
      </w:r>
      <w:r w:rsidRPr="004E3ACF">
        <w:t xml:space="preserve"> per cent were assessed as on track or completed and </w:t>
      </w:r>
      <w:r>
        <w:t>5</w:t>
      </w:r>
      <w:r w:rsidRPr="004E3ACF">
        <w:t xml:space="preserve"> per cent were substantially completed.</w:t>
      </w:r>
    </w:p>
    <w:p w14:paraId="7DC670CD" w14:textId="77777777" w:rsidR="000F61DE" w:rsidRPr="004E3ACF" w:rsidRDefault="000F61DE" w:rsidP="000F61DE">
      <w:r w:rsidRPr="004E3ACF">
        <w:rPr>
          <w:iCs/>
        </w:rPr>
        <w:t xml:space="preserve">CASA’s success against this goal can be measured through the delivery of leadership development courses to support CASA’s people, implementation of governance review recommendations as part of work done to further strengthen CASA’s governance, and improvements to the IT environment. </w:t>
      </w:r>
    </w:p>
    <w:p w14:paraId="49AE1CF8" w14:textId="77777777" w:rsidR="000F61DE" w:rsidRPr="004E3ACF" w:rsidRDefault="000F61DE" w:rsidP="000F61DE">
      <w:pPr>
        <w:pStyle w:val="Heading3"/>
        <w:rPr>
          <w:color w:val="auto"/>
          <w:lang w:val="en-GB"/>
        </w:rPr>
      </w:pPr>
      <w:r w:rsidRPr="004E3ACF">
        <w:rPr>
          <w:color w:val="auto"/>
          <w:lang w:val="en-GB"/>
        </w:rPr>
        <w:t>Key achievements</w:t>
      </w:r>
    </w:p>
    <w:p w14:paraId="379A3B3F" w14:textId="77777777" w:rsidR="000F61DE" w:rsidRPr="004E3ACF" w:rsidRDefault="000F61DE" w:rsidP="000F61DE">
      <w:pPr>
        <w:pStyle w:val="Bullet"/>
      </w:pPr>
      <w:r>
        <w:t>L</w:t>
      </w:r>
      <w:r w:rsidRPr="004E3ACF">
        <w:t xml:space="preserve">eadership development courses were delivered </w:t>
      </w:r>
      <w:r>
        <w:t>in</w:t>
      </w:r>
      <w:r w:rsidRPr="004E3ACF">
        <w:t xml:space="preserve"> all CASA regions and a new performance and communication scheme was released to assist with staff development.</w:t>
      </w:r>
    </w:p>
    <w:p w14:paraId="32DFC1F8" w14:textId="77777777" w:rsidR="000F61DE" w:rsidRPr="004E3ACF" w:rsidRDefault="000F61DE" w:rsidP="000F61DE">
      <w:pPr>
        <w:pStyle w:val="Bullet"/>
      </w:pPr>
      <w:r w:rsidRPr="004E3ACF">
        <w:t>A staff exchange program was successfully implemented</w:t>
      </w:r>
      <w:r>
        <w:t>:</w:t>
      </w:r>
      <w:r w:rsidRPr="004E3ACF">
        <w:t xml:space="preserve"> a CASA staff member </w:t>
      </w:r>
      <w:r>
        <w:t xml:space="preserve">was </w:t>
      </w:r>
      <w:r w:rsidRPr="004E3ACF">
        <w:t>placed in the Australian Association for Unmanned Systems for an agreed period.</w:t>
      </w:r>
    </w:p>
    <w:p w14:paraId="4D211804" w14:textId="77777777" w:rsidR="000F61DE" w:rsidRPr="004E3ACF" w:rsidRDefault="000F61DE" w:rsidP="000F61DE">
      <w:pPr>
        <w:pStyle w:val="Bullet"/>
      </w:pPr>
      <w:r>
        <w:t>The</w:t>
      </w:r>
      <w:r w:rsidRPr="004E3ACF">
        <w:t xml:space="preserve"> Training Branch </w:t>
      </w:r>
      <w:r>
        <w:t>was established,</w:t>
      </w:r>
      <w:r w:rsidRPr="004E3ACF">
        <w:t xml:space="preserve"> to centralise and improve training and professional development activities for staff.</w:t>
      </w:r>
    </w:p>
    <w:p w14:paraId="09A331E4" w14:textId="77777777" w:rsidR="000F61DE" w:rsidRDefault="000F61DE" w:rsidP="000F61DE">
      <w:pPr>
        <w:pStyle w:val="Bullet"/>
      </w:pPr>
      <w:r>
        <w:t xml:space="preserve">CASA’s </w:t>
      </w:r>
      <w:r w:rsidRPr="004E3ACF">
        <w:t xml:space="preserve">data centre </w:t>
      </w:r>
      <w:r>
        <w:t xml:space="preserve">was </w:t>
      </w:r>
      <w:r w:rsidRPr="004E3ACF">
        <w:t>refresh</w:t>
      </w:r>
      <w:r>
        <w:t>ed</w:t>
      </w:r>
      <w:r w:rsidRPr="004E3ACF">
        <w:t xml:space="preserve"> to modernise </w:t>
      </w:r>
      <w:r>
        <w:t>the</w:t>
      </w:r>
      <w:r w:rsidRPr="004E3ACF">
        <w:t xml:space="preserve"> IT infrastructure </w:t>
      </w:r>
      <w:r>
        <w:t xml:space="preserve">that supports the delivery </w:t>
      </w:r>
      <w:r w:rsidRPr="004E3ACF">
        <w:t xml:space="preserve">of core ICT services to CASA staff and customers. The upgrade provided additional capability to support activities such as the desktop replacement project and </w:t>
      </w:r>
      <w:r>
        <w:t>the S</w:t>
      </w:r>
      <w:r w:rsidRPr="004E3ACF">
        <w:t xml:space="preserve">ervice </w:t>
      </w:r>
      <w:r>
        <w:t>D</w:t>
      </w:r>
      <w:r w:rsidRPr="004E3ACF">
        <w:t xml:space="preserve">elivery </w:t>
      </w:r>
      <w:r>
        <w:t>T</w:t>
      </w:r>
      <w:r w:rsidRPr="004E3ACF">
        <w:t>ransformation program.</w:t>
      </w:r>
      <w:r w:rsidRPr="006C7184">
        <w:t xml:space="preserve"> </w:t>
      </w:r>
    </w:p>
    <w:p w14:paraId="54BDA289" w14:textId="77777777" w:rsidR="000F61DE" w:rsidRPr="00493B76" w:rsidRDefault="00493B76" w:rsidP="000F61DE">
      <w:pPr>
        <w:pStyle w:val="Bullet"/>
      </w:pPr>
      <w:r w:rsidRPr="00493B76">
        <w:t>Aboriginal and Torres Strait Islander members of CASA’s Indigenous Engagement Network received mentoring from Indigenous entrepreneur Dion Devow, 2018 ACT Australian of the Year</w:t>
      </w:r>
      <w:r w:rsidR="00F30BC8">
        <w:t>,</w:t>
      </w:r>
      <w:r w:rsidRPr="00493B76">
        <w:t xml:space="preserve"> to support their development and their role as contributors to the delivery of initiatives within the Reconciliation Action Plan.</w:t>
      </w:r>
    </w:p>
    <w:p w14:paraId="0A115024" w14:textId="77777777" w:rsidR="000F61DE" w:rsidRDefault="000F61DE" w:rsidP="000F61DE">
      <w:pPr>
        <w:pStyle w:val="Bullet"/>
      </w:pPr>
      <w:r>
        <w:t>The implementation of a vision for quality across CASA was commenced and well progressed. It includes a significant investment in the implementation of a continuous improvement framework.</w:t>
      </w:r>
    </w:p>
    <w:p w14:paraId="553C3DE8" w14:textId="77777777" w:rsidR="000F61DE" w:rsidRPr="006C0823" w:rsidRDefault="000F61DE" w:rsidP="000F61DE">
      <w:pPr>
        <w:pStyle w:val="Heading3"/>
        <w:rPr>
          <w:lang w:val="en-GB"/>
        </w:rPr>
      </w:pPr>
      <w:r w:rsidRPr="006C0823">
        <w:rPr>
          <w:lang w:val="en-GB"/>
        </w:rPr>
        <w:t>Challenges</w:t>
      </w:r>
    </w:p>
    <w:p w14:paraId="031FDC67" w14:textId="4EE5DD7F" w:rsidR="000F61DE" w:rsidRDefault="000F61DE" w:rsidP="000F61DE">
      <w:r>
        <w:t>Following the 2015–16 Renewing CASA process, a post-implementation review was undertaken during 2017–18. CASA’s organisational structure was reviewed and a range of recommendations were implemented. The work resulted in increased role clarity and the development of a revised internal planning and reporting framework, including branch-level performance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8085"/>
      </w:tblGrid>
      <w:tr w:rsidR="00C11ACA" w:rsidRPr="006C0823" w14:paraId="3CE68664" w14:textId="77777777" w:rsidTr="00FE5FDE">
        <w:tc>
          <w:tcPr>
            <w:tcW w:w="5000" w:type="pct"/>
            <w:gridSpan w:val="2"/>
            <w:tcBorders>
              <w:top w:val="nil"/>
              <w:left w:val="nil"/>
              <w:right w:val="nil"/>
            </w:tcBorders>
            <w:shd w:val="clear" w:color="auto" w:fill="auto"/>
          </w:tcPr>
          <w:p w14:paraId="7A522872" w14:textId="00C08161" w:rsidR="00C11ACA" w:rsidRPr="00FE5FDE" w:rsidRDefault="00FE5FDE" w:rsidP="00FE5FDE">
            <w:pPr>
              <w:pStyle w:val="Heading3"/>
              <w:rPr>
                <w:lang w:val="en-GB"/>
              </w:rPr>
            </w:pPr>
            <w:r w:rsidRPr="006C0823">
              <w:rPr>
                <w:lang w:val="en-GB"/>
              </w:rPr>
              <w:lastRenderedPageBreak/>
              <w:t xml:space="preserve">Key performance area </w:t>
            </w:r>
            <w:r>
              <w:rPr>
                <w:lang w:val="en-GB"/>
              </w:rPr>
              <w:t>–</w:t>
            </w:r>
            <w:r w:rsidRPr="006C0823">
              <w:rPr>
                <w:lang w:val="en-GB"/>
              </w:rPr>
              <w:t xml:space="preserve"> Governance and organisational effectiveness</w:t>
            </w:r>
          </w:p>
        </w:tc>
      </w:tr>
      <w:tr w:rsidR="00C11ACA" w:rsidRPr="006C0823" w14:paraId="12411772" w14:textId="77777777" w:rsidTr="00C11ACA">
        <w:tc>
          <w:tcPr>
            <w:tcW w:w="521" w:type="pct"/>
            <w:shd w:val="clear" w:color="auto" w:fill="B8CCE4"/>
          </w:tcPr>
          <w:p w14:paraId="2C66CFF6" w14:textId="3CA51C38" w:rsidR="00C11ACA" w:rsidRPr="006C0823" w:rsidRDefault="00C11ACA" w:rsidP="00F73F4D">
            <w:pPr>
              <w:pStyle w:val="TableHeading"/>
            </w:pPr>
            <w:r>
              <w:t xml:space="preserve">Key </w:t>
            </w:r>
            <w:r w:rsidRPr="006C0823">
              <w:t>Initiative</w:t>
            </w:r>
          </w:p>
          <w:p w14:paraId="7F44D719" w14:textId="77777777" w:rsidR="00C11ACA" w:rsidRPr="006C0823" w:rsidRDefault="00C11ACA" w:rsidP="00F73F4D">
            <w:pPr>
              <w:pStyle w:val="TableHeading"/>
            </w:pPr>
            <w:r w:rsidRPr="006C0823">
              <w:t>3.1</w:t>
            </w:r>
          </w:p>
        </w:tc>
        <w:tc>
          <w:tcPr>
            <w:tcW w:w="4479" w:type="pct"/>
            <w:shd w:val="clear" w:color="auto" w:fill="B8CCE4"/>
          </w:tcPr>
          <w:p w14:paraId="0EFCC5E8" w14:textId="77777777" w:rsidR="00C11ACA" w:rsidRPr="00616CE9" w:rsidRDefault="00C11ACA" w:rsidP="00F73F4D">
            <w:pPr>
              <w:pStyle w:val="TableText"/>
              <w:rPr>
                <w:rFonts w:eastAsia="Times New Roman"/>
              </w:rPr>
            </w:pPr>
            <w:r w:rsidRPr="00616CE9">
              <w:rPr>
                <w:b/>
              </w:rPr>
              <w:t>Identify and align our workforce capabilities to meet future challenges</w:t>
            </w:r>
          </w:p>
        </w:tc>
      </w:tr>
      <w:tr w:rsidR="00C11ACA" w:rsidRPr="006C0823" w14:paraId="569D5F21" w14:textId="77777777" w:rsidTr="00C11ACA">
        <w:tc>
          <w:tcPr>
            <w:tcW w:w="521" w:type="pct"/>
            <w:shd w:val="clear" w:color="auto" w:fill="D9D9D9"/>
          </w:tcPr>
          <w:p w14:paraId="662D32CC" w14:textId="77777777" w:rsidR="00C11ACA" w:rsidRPr="006C0823" w:rsidRDefault="00C11ACA" w:rsidP="00F73F4D">
            <w:pPr>
              <w:pStyle w:val="TableHeading"/>
            </w:pPr>
            <w:r w:rsidRPr="006C0823">
              <w:t>Measure</w:t>
            </w:r>
          </w:p>
        </w:tc>
        <w:tc>
          <w:tcPr>
            <w:tcW w:w="4479" w:type="pct"/>
            <w:shd w:val="clear" w:color="auto" w:fill="D9D9D9"/>
          </w:tcPr>
          <w:p w14:paraId="6F02B9C3" w14:textId="77777777" w:rsidR="00C11ACA" w:rsidRPr="006C0823" w:rsidRDefault="00C11ACA" w:rsidP="00F73F4D">
            <w:pPr>
              <w:pStyle w:val="TableText"/>
              <w:rPr>
                <w:rFonts w:eastAsia="Times New Roman"/>
              </w:rPr>
            </w:pPr>
            <w:r>
              <w:rPr>
                <w:rFonts w:cs="Arial"/>
              </w:rPr>
              <w:t>A</w:t>
            </w:r>
            <w:r w:rsidRPr="00B124AF">
              <w:rPr>
                <w:rFonts w:cs="Arial"/>
              </w:rPr>
              <w:t>dopt an active stance on succession planning and leadership development that is founded on the outcomes of the leadership capability assessment initiative</w:t>
            </w:r>
          </w:p>
        </w:tc>
      </w:tr>
      <w:tr w:rsidR="00C11ACA" w:rsidRPr="006C0823" w14:paraId="5573BA96" w14:textId="77777777" w:rsidTr="00C11ACA">
        <w:tc>
          <w:tcPr>
            <w:tcW w:w="521" w:type="pct"/>
            <w:shd w:val="clear" w:color="auto" w:fill="FFFFFF"/>
          </w:tcPr>
          <w:p w14:paraId="6E576767" w14:textId="77777777" w:rsidR="00C11ACA" w:rsidRPr="006C0823" w:rsidRDefault="00C11ACA" w:rsidP="00F73F4D">
            <w:pPr>
              <w:pStyle w:val="TableHeading"/>
            </w:pPr>
            <w:r w:rsidRPr="006C0823">
              <w:t>Result</w:t>
            </w:r>
          </w:p>
          <w:p w14:paraId="2A26C245"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shd w:val="clear" w:color="auto" w:fill="FFFFFF"/>
          </w:tcPr>
          <w:p w14:paraId="2BF7A19E" w14:textId="77777777" w:rsidR="00C11ACA" w:rsidRPr="00311CA1" w:rsidRDefault="00C11ACA" w:rsidP="00F73F4D">
            <w:pPr>
              <w:rPr>
                <w:rFonts w:ascii="Arial Narrow" w:hAnsi="Arial Narrow" w:cs="Arial"/>
                <w:sz w:val="20"/>
              </w:rPr>
            </w:pPr>
            <w:r w:rsidRPr="00311CA1">
              <w:rPr>
                <w:rFonts w:ascii="Arial Narrow" w:hAnsi="Arial Narrow" w:cs="Arial"/>
                <w:sz w:val="20"/>
              </w:rPr>
              <w:t xml:space="preserve">Leadership development courses were delivered across all CASA regions. They included the Leadership Sampler and Leadership Circles courses, </w:t>
            </w:r>
            <w:r w:rsidRPr="00311CA1">
              <w:rPr>
                <w:rFonts w:ascii="Arial Narrow" w:hAnsi="Arial Narrow"/>
                <w:sz w:val="20"/>
                <w:lang w:val="en-AU"/>
              </w:rPr>
              <w:t>Australian Public Service courses for Senior Executive Service and Executive Level</w:t>
            </w:r>
            <w:r w:rsidRPr="00311CA1">
              <w:rPr>
                <w:rFonts w:ascii="Arial Narrow" w:hAnsi="Arial Narrow" w:cs="Arial"/>
                <w:sz w:val="20"/>
              </w:rPr>
              <w:t xml:space="preserve"> leadership training</w:t>
            </w:r>
            <w:r>
              <w:rPr>
                <w:rFonts w:ascii="Arial Narrow" w:hAnsi="Arial Narrow" w:cs="Arial"/>
                <w:sz w:val="20"/>
              </w:rPr>
              <w:t>,</w:t>
            </w:r>
            <w:r w:rsidRPr="00311CA1">
              <w:rPr>
                <w:rFonts w:ascii="Arial Narrow" w:hAnsi="Arial Narrow" w:cs="Arial"/>
                <w:sz w:val="20"/>
              </w:rPr>
              <w:t xml:space="preserve"> and </w:t>
            </w:r>
            <w:r>
              <w:rPr>
                <w:rFonts w:ascii="Arial Narrow" w:hAnsi="Arial Narrow" w:cs="Arial"/>
                <w:sz w:val="20"/>
              </w:rPr>
              <w:t>Australian Institute of Company Directors</w:t>
            </w:r>
            <w:r w:rsidRPr="00311CA1">
              <w:rPr>
                <w:rFonts w:ascii="Arial Narrow" w:hAnsi="Arial Narrow" w:cs="Arial"/>
                <w:sz w:val="20"/>
              </w:rPr>
              <w:t xml:space="preserve"> courses. Tailored leadership development plans are being implemented by the executive team based on </w:t>
            </w:r>
            <w:r>
              <w:rPr>
                <w:rFonts w:ascii="Arial Narrow" w:hAnsi="Arial Narrow" w:cs="Arial"/>
                <w:sz w:val="20"/>
              </w:rPr>
              <w:t xml:space="preserve">completed </w:t>
            </w:r>
            <w:r w:rsidRPr="00311CA1">
              <w:rPr>
                <w:rFonts w:ascii="Arial Narrow" w:hAnsi="Arial Narrow" w:cs="Arial"/>
                <w:sz w:val="20"/>
              </w:rPr>
              <w:t>360</w:t>
            </w:r>
            <w:r w:rsidRPr="00311CA1">
              <w:rPr>
                <w:rFonts w:ascii="Arial Narrow" w:hAnsi="Arial Narrow" w:cs="Courier New"/>
                <w:sz w:val="20"/>
              </w:rPr>
              <w:t>°</w:t>
            </w:r>
            <w:r w:rsidRPr="00311CA1">
              <w:rPr>
                <w:rFonts w:ascii="Arial Narrow" w:hAnsi="Arial Narrow" w:cs="Arial"/>
                <w:sz w:val="20"/>
              </w:rPr>
              <w:t xml:space="preserve"> leadership assessment</w:t>
            </w:r>
            <w:r>
              <w:rPr>
                <w:rFonts w:ascii="Arial Narrow" w:hAnsi="Arial Narrow" w:cs="Arial"/>
                <w:sz w:val="20"/>
              </w:rPr>
              <w:t>s</w:t>
            </w:r>
            <w:r w:rsidRPr="00311CA1">
              <w:rPr>
                <w:rFonts w:ascii="Arial Narrow" w:hAnsi="Arial Narrow" w:cs="Arial"/>
                <w:sz w:val="20"/>
              </w:rPr>
              <w:t>.</w:t>
            </w:r>
          </w:p>
          <w:p w14:paraId="55FFE7FD" w14:textId="77777777" w:rsidR="00C11ACA" w:rsidRPr="006C0823" w:rsidRDefault="00C11ACA" w:rsidP="00F73F4D">
            <w:pPr>
              <w:pStyle w:val="TableText"/>
              <w:rPr>
                <w:rFonts w:eastAsia="Times New Roman"/>
              </w:rPr>
            </w:pPr>
            <w:r w:rsidRPr="00311CA1">
              <w:rPr>
                <w:rFonts w:cs="Arial"/>
              </w:rPr>
              <w:t>A capability development framework with management and leadership pathways is under development.</w:t>
            </w:r>
          </w:p>
        </w:tc>
      </w:tr>
      <w:tr w:rsidR="00C11ACA" w:rsidRPr="006C0823" w14:paraId="734F2562" w14:textId="77777777" w:rsidTr="00C11ACA">
        <w:tc>
          <w:tcPr>
            <w:tcW w:w="521" w:type="pct"/>
            <w:shd w:val="clear" w:color="auto" w:fill="D9D9D9"/>
          </w:tcPr>
          <w:p w14:paraId="53C9F8FD" w14:textId="77777777" w:rsidR="00C11ACA" w:rsidRPr="006C0823" w:rsidRDefault="00C11ACA" w:rsidP="00F73F4D">
            <w:pPr>
              <w:pStyle w:val="TableHeading"/>
            </w:pPr>
            <w:r w:rsidRPr="006C0823">
              <w:t>Measure</w:t>
            </w:r>
          </w:p>
        </w:tc>
        <w:tc>
          <w:tcPr>
            <w:tcW w:w="4479" w:type="pct"/>
            <w:shd w:val="clear" w:color="auto" w:fill="D9D9D9"/>
          </w:tcPr>
          <w:p w14:paraId="0661DC5A" w14:textId="77777777" w:rsidR="00C11ACA" w:rsidRPr="006C0823" w:rsidRDefault="00C11ACA" w:rsidP="00F73F4D">
            <w:pPr>
              <w:pStyle w:val="TableText"/>
              <w:rPr>
                <w:rFonts w:eastAsia="Times New Roman"/>
              </w:rPr>
            </w:pPr>
            <w:r>
              <w:rPr>
                <w:rFonts w:cs="Arial"/>
              </w:rPr>
              <w:t>R</w:t>
            </w:r>
            <w:r w:rsidRPr="0082204F">
              <w:rPr>
                <w:rFonts w:cs="Arial"/>
              </w:rPr>
              <w:t>edefine the performance framework and guidance material to assist managers to hold people to account for their performance through consistent feedback and stronger people management practices</w:t>
            </w:r>
          </w:p>
        </w:tc>
      </w:tr>
      <w:tr w:rsidR="00C11ACA" w:rsidRPr="006C0823" w14:paraId="11E5B310" w14:textId="77777777" w:rsidTr="00C11ACA">
        <w:tc>
          <w:tcPr>
            <w:tcW w:w="521" w:type="pct"/>
            <w:shd w:val="clear" w:color="auto" w:fill="FFFFFF"/>
          </w:tcPr>
          <w:p w14:paraId="3E5A25C0" w14:textId="77777777" w:rsidR="00C11ACA" w:rsidRPr="006C0823" w:rsidRDefault="00C11ACA" w:rsidP="00F73F4D">
            <w:pPr>
              <w:pStyle w:val="TableHeading"/>
            </w:pPr>
            <w:r w:rsidRPr="006C0823">
              <w:t>Result</w:t>
            </w:r>
          </w:p>
          <w:p w14:paraId="2367080D"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shd w:val="clear" w:color="auto" w:fill="FFFFFF"/>
          </w:tcPr>
          <w:p w14:paraId="42AC9145" w14:textId="77777777" w:rsidR="00C11ACA" w:rsidRPr="000F1881" w:rsidRDefault="00C11ACA" w:rsidP="00F73F4D">
            <w:pPr>
              <w:rPr>
                <w:rFonts w:ascii="Arial Narrow" w:hAnsi="Arial Narrow"/>
                <w:sz w:val="20"/>
              </w:rPr>
            </w:pPr>
            <w:r>
              <w:rPr>
                <w:rFonts w:ascii="Arial Narrow" w:hAnsi="Arial Narrow"/>
                <w:sz w:val="20"/>
              </w:rPr>
              <w:t>CASA’s revised</w:t>
            </w:r>
            <w:r w:rsidRPr="000F1881">
              <w:rPr>
                <w:rFonts w:ascii="Arial Narrow" w:hAnsi="Arial Narrow"/>
                <w:sz w:val="20"/>
              </w:rPr>
              <w:t xml:space="preserve"> Performance and Communication Scheme was released on 7 September 2017, supported by an online form, guidance material and training. </w:t>
            </w:r>
          </w:p>
          <w:p w14:paraId="714DE6E5" w14:textId="77777777" w:rsidR="00C11ACA" w:rsidRPr="000F1881" w:rsidRDefault="00C11ACA" w:rsidP="00F73F4D">
            <w:pPr>
              <w:rPr>
                <w:rFonts w:ascii="Arial Narrow" w:hAnsi="Arial Narrow"/>
                <w:sz w:val="20"/>
              </w:rPr>
            </w:pPr>
            <w:r w:rsidRPr="000F1881">
              <w:rPr>
                <w:rFonts w:ascii="Arial Narrow" w:hAnsi="Arial Narrow"/>
                <w:sz w:val="20"/>
              </w:rPr>
              <w:t>Training is available for team leaders and supervisors on how to hold productive performance conversations.</w:t>
            </w:r>
          </w:p>
          <w:p w14:paraId="549FCF6F" w14:textId="77777777" w:rsidR="00C11ACA" w:rsidRPr="006C0823" w:rsidRDefault="00C11ACA" w:rsidP="00F73F4D">
            <w:pPr>
              <w:pStyle w:val="TableText"/>
              <w:rPr>
                <w:rFonts w:eastAsia="Times New Roman"/>
              </w:rPr>
            </w:pPr>
            <w:r w:rsidRPr="000F1881">
              <w:t xml:space="preserve">Progress through the performance process is regularly monitored and reported to CASA’s executive team. Performance </w:t>
            </w:r>
            <w:r>
              <w:t>i</w:t>
            </w:r>
            <w:r w:rsidRPr="000F1881">
              <w:t xml:space="preserve">mprovement and </w:t>
            </w:r>
            <w:r>
              <w:t>e</w:t>
            </w:r>
            <w:r w:rsidRPr="000F1881">
              <w:t>valuation procedures are used effectively to manage areas of underperformance</w:t>
            </w:r>
            <w:r>
              <w:t>.</w:t>
            </w:r>
            <w:r>
              <w:rPr>
                <w:lang w:val="en-AU"/>
              </w:rPr>
              <w:t xml:space="preserve"> CASA’s managers are provided with guidance material and coaching to assist them to provide consistent feedback and manage performance.</w:t>
            </w:r>
          </w:p>
        </w:tc>
      </w:tr>
      <w:tr w:rsidR="00C11ACA" w:rsidRPr="006C0823" w14:paraId="23A0C1F7" w14:textId="77777777" w:rsidTr="00C11ACA">
        <w:tc>
          <w:tcPr>
            <w:tcW w:w="521" w:type="pct"/>
            <w:shd w:val="clear" w:color="auto" w:fill="D9D9D9"/>
          </w:tcPr>
          <w:p w14:paraId="34132935" w14:textId="77777777" w:rsidR="00C11ACA" w:rsidRPr="006C0823" w:rsidRDefault="00C11ACA" w:rsidP="00F73F4D">
            <w:pPr>
              <w:pStyle w:val="TableHeading"/>
            </w:pPr>
            <w:r w:rsidRPr="006C0823">
              <w:t>Measure</w:t>
            </w:r>
          </w:p>
        </w:tc>
        <w:tc>
          <w:tcPr>
            <w:tcW w:w="4479" w:type="pct"/>
            <w:shd w:val="clear" w:color="auto" w:fill="D9D9D9"/>
          </w:tcPr>
          <w:p w14:paraId="5E20992A" w14:textId="77777777" w:rsidR="00C11ACA" w:rsidRPr="006C0823" w:rsidRDefault="00C11ACA" w:rsidP="00F73F4D">
            <w:pPr>
              <w:pStyle w:val="TableText"/>
              <w:rPr>
                <w:rFonts w:eastAsia="Times New Roman"/>
              </w:rPr>
            </w:pPr>
            <w:r>
              <w:rPr>
                <w:rFonts w:cs="Arial"/>
              </w:rPr>
              <w:t>Review and i</w:t>
            </w:r>
            <w:r w:rsidRPr="00B124AF">
              <w:rPr>
                <w:rFonts w:cs="Arial"/>
              </w:rPr>
              <w:t xml:space="preserve">mplement the recommendations from the 2017 </w:t>
            </w:r>
            <w:r>
              <w:rPr>
                <w:rFonts w:cs="Arial"/>
              </w:rPr>
              <w:t>s</w:t>
            </w:r>
            <w:r w:rsidRPr="00B124AF">
              <w:rPr>
                <w:rFonts w:cs="Arial"/>
              </w:rPr>
              <w:t xml:space="preserve">taff </w:t>
            </w:r>
            <w:r>
              <w:rPr>
                <w:rFonts w:cs="Arial"/>
              </w:rPr>
              <w:t>e</w:t>
            </w:r>
            <w:r w:rsidRPr="00B124AF">
              <w:rPr>
                <w:rFonts w:cs="Arial"/>
              </w:rPr>
              <w:t xml:space="preserve">ngagement </w:t>
            </w:r>
            <w:r>
              <w:rPr>
                <w:rFonts w:cs="Arial"/>
              </w:rPr>
              <w:t>s</w:t>
            </w:r>
            <w:r w:rsidRPr="00B124AF">
              <w:rPr>
                <w:rFonts w:cs="Arial"/>
              </w:rPr>
              <w:t>urvey</w:t>
            </w:r>
            <w:r>
              <w:rPr>
                <w:rFonts w:cs="Arial"/>
              </w:rPr>
              <w:t xml:space="preserve"> </w:t>
            </w:r>
            <w:r w:rsidRPr="007360EF">
              <w:rPr>
                <w:rFonts w:cs="Arial"/>
              </w:rPr>
              <w:t>and regularly measure the level of engagement of CASA staff, including effectively responding to impediments to engagement</w:t>
            </w:r>
          </w:p>
        </w:tc>
      </w:tr>
      <w:tr w:rsidR="00C11ACA" w:rsidRPr="006C0823" w14:paraId="69C20B53" w14:textId="77777777" w:rsidTr="00C11ACA">
        <w:tc>
          <w:tcPr>
            <w:tcW w:w="521" w:type="pct"/>
          </w:tcPr>
          <w:p w14:paraId="693DF52C" w14:textId="77777777" w:rsidR="00C11ACA" w:rsidRPr="006C0823" w:rsidRDefault="00C11ACA" w:rsidP="00F73F4D">
            <w:pPr>
              <w:pStyle w:val="TableHeading"/>
            </w:pPr>
            <w:r w:rsidRPr="006C0823">
              <w:t>Result</w:t>
            </w:r>
          </w:p>
          <w:p w14:paraId="08F38E07"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tcPr>
          <w:p w14:paraId="029C4B62" w14:textId="77777777" w:rsidR="00C11ACA" w:rsidRDefault="00C11ACA" w:rsidP="00F73F4D">
            <w:pPr>
              <w:pStyle w:val="TableText"/>
              <w:rPr>
                <w:rFonts w:cs="Arial"/>
              </w:rPr>
            </w:pPr>
            <w:r>
              <w:rPr>
                <w:rFonts w:cs="Arial"/>
              </w:rPr>
              <w:t xml:space="preserve">Four key focus areas across the organisation were identified for attention: recognition, development opportunities, leadership and change. A working group was established for each focus area as a consultation forum. </w:t>
            </w:r>
          </w:p>
          <w:p w14:paraId="4104A1DA" w14:textId="77777777" w:rsidR="00C11ACA" w:rsidRPr="006C0823" w:rsidRDefault="00C11ACA" w:rsidP="00F73F4D">
            <w:pPr>
              <w:pStyle w:val="TableText"/>
              <w:rPr>
                <w:rFonts w:eastAsia="Times New Roman"/>
              </w:rPr>
            </w:pPr>
            <w:r>
              <w:rPr>
                <w:rFonts w:cs="Arial"/>
              </w:rPr>
              <w:t>As a result of a recommendation from the recognition working group, a new CASA award scheme was launched in May 2018. Recommendations from the other working groups were discussed with the relevant business areas and an implementation and communications plan was developed. The plan will be presented to the People Committee in July 2018.</w:t>
            </w:r>
          </w:p>
        </w:tc>
      </w:tr>
      <w:tr w:rsidR="00C11ACA" w:rsidRPr="006C0823" w14:paraId="6961235A" w14:textId="77777777" w:rsidTr="00C11ACA">
        <w:tc>
          <w:tcPr>
            <w:tcW w:w="521" w:type="pct"/>
            <w:shd w:val="clear" w:color="auto" w:fill="D9D9D9"/>
          </w:tcPr>
          <w:p w14:paraId="54396BE8" w14:textId="77777777" w:rsidR="00C11ACA" w:rsidRPr="006C0823" w:rsidRDefault="00C11ACA" w:rsidP="00F73F4D">
            <w:pPr>
              <w:pStyle w:val="TableHeading"/>
            </w:pPr>
            <w:r w:rsidRPr="006C0823">
              <w:t>Measure</w:t>
            </w:r>
          </w:p>
        </w:tc>
        <w:tc>
          <w:tcPr>
            <w:tcW w:w="4479" w:type="pct"/>
            <w:shd w:val="clear" w:color="auto" w:fill="D9D9D9"/>
          </w:tcPr>
          <w:p w14:paraId="39ED8DAE" w14:textId="77777777" w:rsidR="00C11ACA" w:rsidRPr="006C0823" w:rsidRDefault="00C11ACA" w:rsidP="00F73F4D">
            <w:pPr>
              <w:pStyle w:val="TableText"/>
              <w:rPr>
                <w:rFonts w:eastAsia="Times New Roman"/>
              </w:rPr>
            </w:pPr>
            <w:r>
              <w:rPr>
                <w:rFonts w:cs="Arial"/>
              </w:rPr>
              <w:t>Implement staff exchange programs with industry</w:t>
            </w:r>
          </w:p>
        </w:tc>
      </w:tr>
      <w:tr w:rsidR="00C11ACA" w:rsidRPr="006C0823" w14:paraId="50755107" w14:textId="77777777" w:rsidTr="00C11ACA">
        <w:tc>
          <w:tcPr>
            <w:tcW w:w="521" w:type="pct"/>
          </w:tcPr>
          <w:p w14:paraId="4E96170D" w14:textId="77777777" w:rsidR="00C11ACA" w:rsidRPr="006C0823" w:rsidRDefault="00C11ACA" w:rsidP="00F73F4D">
            <w:pPr>
              <w:pStyle w:val="TableHeading"/>
            </w:pPr>
            <w:r w:rsidRPr="006C0823">
              <w:t>Result</w:t>
            </w:r>
          </w:p>
          <w:p w14:paraId="6EFF2204"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tcPr>
          <w:p w14:paraId="4CC8DA8E" w14:textId="77777777" w:rsidR="00C11ACA" w:rsidRPr="006C0823" w:rsidRDefault="00C11ACA" w:rsidP="00F73F4D">
            <w:pPr>
              <w:pStyle w:val="TableText"/>
              <w:rPr>
                <w:rFonts w:eastAsia="Times New Roman"/>
              </w:rPr>
            </w:pPr>
            <w:r>
              <w:rPr>
                <w:rFonts w:cs="Arial"/>
              </w:rPr>
              <w:t>The CASA Industry Placement Program was implemented successfully. A CASA staff member was placed in the Australian Association for Unmanned Systems. The association reported that the program had exceeded its expectations and that it would utilise the program again. The program is being further developed to provide placements with other industry bodies as opportunities arise.</w:t>
            </w:r>
          </w:p>
        </w:tc>
      </w:tr>
      <w:tr w:rsidR="00C11ACA" w:rsidRPr="006C0823" w14:paraId="0CB359E2" w14:textId="77777777" w:rsidTr="00C11ACA">
        <w:tc>
          <w:tcPr>
            <w:tcW w:w="521" w:type="pct"/>
            <w:shd w:val="clear" w:color="auto" w:fill="B8CCE4"/>
          </w:tcPr>
          <w:p w14:paraId="3FB25269" w14:textId="77777777" w:rsidR="00C11ACA" w:rsidRPr="006C0823" w:rsidRDefault="00C11ACA" w:rsidP="00F73F4D">
            <w:pPr>
              <w:pStyle w:val="TableHeading"/>
            </w:pPr>
            <w:r w:rsidRPr="006C0823">
              <w:t>Initiative</w:t>
            </w:r>
          </w:p>
          <w:p w14:paraId="371049F5" w14:textId="77777777" w:rsidR="00C11ACA" w:rsidRPr="006C0823" w:rsidRDefault="00C11ACA" w:rsidP="00F73F4D">
            <w:pPr>
              <w:pStyle w:val="TableHeading"/>
            </w:pPr>
            <w:r w:rsidRPr="006C0823">
              <w:t>3.2</w:t>
            </w:r>
          </w:p>
        </w:tc>
        <w:tc>
          <w:tcPr>
            <w:tcW w:w="4479" w:type="pct"/>
            <w:shd w:val="clear" w:color="auto" w:fill="B8CCE4"/>
          </w:tcPr>
          <w:p w14:paraId="06F1FE3F" w14:textId="77777777" w:rsidR="00C11ACA" w:rsidRPr="00387E30" w:rsidRDefault="00C11ACA" w:rsidP="00F73F4D">
            <w:pPr>
              <w:pStyle w:val="TableText"/>
              <w:rPr>
                <w:rFonts w:eastAsia="Times New Roman"/>
              </w:rPr>
            </w:pPr>
            <w:r w:rsidRPr="00387E30">
              <w:rPr>
                <w:b/>
              </w:rPr>
              <w:t>Consolidate and embed enterprise wide project management and governance</w:t>
            </w:r>
          </w:p>
        </w:tc>
      </w:tr>
      <w:tr w:rsidR="00C11ACA" w:rsidRPr="006C0823" w14:paraId="71D90ACE" w14:textId="77777777" w:rsidTr="00C11ACA">
        <w:tc>
          <w:tcPr>
            <w:tcW w:w="521" w:type="pct"/>
            <w:shd w:val="clear" w:color="auto" w:fill="D9D9D9"/>
          </w:tcPr>
          <w:p w14:paraId="578BDFE8" w14:textId="77777777" w:rsidR="00C11ACA" w:rsidRPr="006C0823" w:rsidRDefault="00C11ACA" w:rsidP="00F73F4D">
            <w:pPr>
              <w:pStyle w:val="TableHeading"/>
            </w:pPr>
            <w:r w:rsidRPr="006C0823">
              <w:t>Measure</w:t>
            </w:r>
          </w:p>
        </w:tc>
        <w:tc>
          <w:tcPr>
            <w:tcW w:w="4479" w:type="pct"/>
            <w:shd w:val="clear" w:color="auto" w:fill="D9D9D9"/>
          </w:tcPr>
          <w:p w14:paraId="2C19B8F3" w14:textId="77777777" w:rsidR="00C11ACA" w:rsidRPr="006C0823" w:rsidRDefault="00C11ACA" w:rsidP="00F73F4D">
            <w:pPr>
              <w:pStyle w:val="TableText"/>
            </w:pPr>
            <w:r>
              <w:rPr>
                <w:rFonts w:cs="Arial"/>
              </w:rPr>
              <w:t>E</w:t>
            </w:r>
            <w:r w:rsidRPr="008B242B">
              <w:rPr>
                <w:rFonts w:cs="Arial"/>
              </w:rPr>
              <w:t>mbed a renewed project management framework</w:t>
            </w:r>
          </w:p>
        </w:tc>
      </w:tr>
      <w:tr w:rsidR="00C11ACA" w:rsidRPr="006C0823" w14:paraId="42C868D8" w14:textId="77777777" w:rsidTr="00C11ACA">
        <w:tc>
          <w:tcPr>
            <w:tcW w:w="521" w:type="pct"/>
            <w:shd w:val="clear" w:color="auto" w:fill="FFFFFF"/>
          </w:tcPr>
          <w:p w14:paraId="2E807A72" w14:textId="77777777" w:rsidR="00C11ACA" w:rsidRPr="006C0823" w:rsidRDefault="00C11ACA" w:rsidP="00F73F4D">
            <w:pPr>
              <w:pStyle w:val="TableHeading"/>
            </w:pPr>
            <w:r w:rsidRPr="006C0823">
              <w:t>Result</w:t>
            </w:r>
          </w:p>
          <w:p w14:paraId="11E639C3"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shd w:val="clear" w:color="auto" w:fill="FFFFFF"/>
          </w:tcPr>
          <w:p w14:paraId="4842B938" w14:textId="77777777" w:rsidR="00C11ACA" w:rsidRPr="006C0823" w:rsidRDefault="00C11ACA" w:rsidP="00F73F4D">
            <w:pPr>
              <w:pStyle w:val="TableText"/>
            </w:pPr>
            <w:r>
              <w:rPr>
                <w:rFonts w:cs="Arial"/>
              </w:rPr>
              <w:t xml:space="preserve">CASA’s </w:t>
            </w:r>
            <w:r w:rsidRPr="00CA52CB">
              <w:rPr>
                <w:rFonts w:cs="Arial"/>
              </w:rPr>
              <w:t xml:space="preserve">Project Management Framework has been in place </w:t>
            </w:r>
            <w:r>
              <w:rPr>
                <w:rFonts w:cs="Arial"/>
              </w:rPr>
              <w:t>since June 2017.</w:t>
            </w:r>
            <w:r w:rsidRPr="00CA52CB">
              <w:rPr>
                <w:rFonts w:cs="Arial"/>
              </w:rPr>
              <w:t xml:space="preserve"> </w:t>
            </w:r>
            <w:r>
              <w:rPr>
                <w:rFonts w:cs="Arial"/>
              </w:rPr>
              <w:t>A</w:t>
            </w:r>
            <w:r w:rsidRPr="00CA52CB">
              <w:rPr>
                <w:rFonts w:cs="Arial"/>
              </w:rPr>
              <w:t xml:space="preserve">s part of </w:t>
            </w:r>
            <w:r>
              <w:rPr>
                <w:rFonts w:cs="Arial"/>
              </w:rPr>
              <w:t>an</w:t>
            </w:r>
            <w:r w:rsidRPr="00CA52CB">
              <w:rPr>
                <w:rFonts w:cs="Arial"/>
              </w:rPr>
              <w:t xml:space="preserve"> annual review, </w:t>
            </w:r>
            <w:r>
              <w:rPr>
                <w:rFonts w:cs="Arial"/>
              </w:rPr>
              <w:t>the framework was</w:t>
            </w:r>
            <w:r w:rsidRPr="00CA52CB">
              <w:rPr>
                <w:rFonts w:cs="Arial"/>
              </w:rPr>
              <w:t xml:space="preserve"> updated to incorporate feedback from project and program managers. The revised version will be reviewed by the Risk and Investment Committee </w:t>
            </w:r>
            <w:r>
              <w:rPr>
                <w:rFonts w:cs="Arial"/>
              </w:rPr>
              <w:t>and</w:t>
            </w:r>
            <w:r w:rsidRPr="00CA52CB">
              <w:rPr>
                <w:rFonts w:cs="Arial"/>
              </w:rPr>
              <w:t xml:space="preserve"> other stakeholders and implemented </w:t>
            </w:r>
            <w:r>
              <w:rPr>
                <w:rFonts w:cs="Arial"/>
              </w:rPr>
              <w:t>in</w:t>
            </w:r>
            <w:r w:rsidRPr="00CA52CB">
              <w:rPr>
                <w:rFonts w:cs="Arial"/>
              </w:rPr>
              <w:t xml:space="preserve"> 2018</w:t>
            </w:r>
            <w:r>
              <w:rPr>
                <w:rFonts w:cs="Arial"/>
              </w:rPr>
              <w:t>–</w:t>
            </w:r>
            <w:r w:rsidRPr="00CA52CB">
              <w:rPr>
                <w:rFonts w:cs="Arial"/>
              </w:rPr>
              <w:t>19.</w:t>
            </w:r>
          </w:p>
        </w:tc>
      </w:tr>
      <w:tr w:rsidR="00C11ACA" w:rsidRPr="006C0823" w14:paraId="1AADF78A" w14:textId="77777777" w:rsidTr="00C11ACA">
        <w:tc>
          <w:tcPr>
            <w:tcW w:w="521" w:type="pct"/>
            <w:shd w:val="clear" w:color="auto" w:fill="D9D9D9"/>
          </w:tcPr>
          <w:p w14:paraId="1D6AF598" w14:textId="77777777" w:rsidR="00C11ACA" w:rsidRPr="006C0823" w:rsidRDefault="00C11ACA" w:rsidP="00F73F4D">
            <w:pPr>
              <w:pStyle w:val="TableHeading"/>
            </w:pPr>
            <w:r w:rsidRPr="006C0823">
              <w:t>Measure</w:t>
            </w:r>
          </w:p>
        </w:tc>
        <w:tc>
          <w:tcPr>
            <w:tcW w:w="4479" w:type="pct"/>
            <w:shd w:val="clear" w:color="auto" w:fill="D9D9D9"/>
          </w:tcPr>
          <w:p w14:paraId="2B5C9ADE" w14:textId="77777777" w:rsidR="00C11ACA" w:rsidRPr="006C0823" w:rsidRDefault="00C11ACA" w:rsidP="00F73F4D">
            <w:pPr>
              <w:pStyle w:val="TableText"/>
            </w:pPr>
            <w:r>
              <w:rPr>
                <w:rFonts w:cs="Arial"/>
              </w:rPr>
              <w:t>Build project management capability</w:t>
            </w:r>
          </w:p>
        </w:tc>
      </w:tr>
      <w:tr w:rsidR="00C11ACA" w:rsidRPr="006C0823" w14:paraId="57F9E9DF" w14:textId="77777777" w:rsidTr="00C11ACA">
        <w:tc>
          <w:tcPr>
            <w:tcW w:w="521" w:type="pct"/>
            <w:shd w:val="clear" w:color="auto" w:fill="FFFFFF"/>
          </w:tcPr>
          <w:p w14:paraId="1EFE2826" w14:textId="77777777" w:rsidR="00C11ACA" w:rsidRPr="006C0823" w:rsidRDefault="00C11ACA" w:rsidP="00F73F4D">
            <w:pPr>
              <w:pStyle w:val="TableHeading"/>
            </w:pPr>
            <w:r w:rsidRPr="006C0823">
              <w:t>Result</w:t>
            </w:r>
          </w:p>
          <w:p w14:paraId="17570A6E"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shd w:val="clear" w:color="auto" w:fill="FFFFFF"/>
          </w:tcPr>
          <w:p w14:paraId="0137E286" w14:textId="77777777" w:rsidR="00C11ACA" w:rsidRPr="006C0823" w:rsidRDefault="00C11ACA" w:rsidP="00F73F4D">
            <w:pPr>
              <w:pStyle w:val="TableText"/>
            </w:pPr>
            <w:r>
              <w:rPr>
                <w:rFonts w:cs="Arial"/>
              </w:rPr>
              <w:t>CASA is</w:t>
            </w:r>
            <w:r w:rsidRPr="00CA52CB">
              <w:rPr>
                <w:rFonts w:cs="Arial"/>
              </w:rPr>
              <w:t xml:space="preserve"> develop</w:t>
            </w:r>
            <w:r>
              <w:rPr>
                <w:rFonts w:cs="Arial"/>
              </w:rPr>
              <w:t>ing</w:t>
            </w:r>
            <w:r w:rsidRPr="00CA52CB">
              <w:rPr>
                <w:rFonts w:cs="Arial"/>
              </w:rPr>
              <w:t xml:space="preserve"> appropriate mechanisms for staff to build their project management capabilities.</w:t>
            </w:r>
          </w:p>
        </w:tc>
      </w:tr>
      <w:tr w:rsidR="00C11ACA" w:rsidRPr="006C0823" w14:paraId="6321F77A" w14:textId="77777777" w:rsidTr="00C11ACA">
        <w:tc>
          <w:tcPr>
            <w:tcW w:w="521" w:type="pct"/>
            <w:shd w:val="clear" w:color="auto" w:fill="D9D9D9"/>
          </w:tcPr>
          <w:p w14:paraId="298DFCE3" w14:textId="77777777" w:rsidR="00C11ACA" w:rsidRPr="006C0823" w:rsidRDefault="00C11ACA" w:rsidP="00F73F4D">
            <w:pPr>
              <w:pStyle w:val="TableHeading"/>
            </w:pPr>
            <w:r w:rsidRPr="006C0823">
              <w:lastRenderedPageBreak/>
              <w:t>Measure</w:t>
            </w:r>
          </w:p>
        </w:tc>
        <w:tc>
          <w:tcPr>
            <w:tcW w:w="4479" w:type="pct"/>
            <w:shd w:val="clear" w:color="auto" w:fill="D9D9D9"/>
          </w:tcPr>
          <w:p w14:paraId="472B4C7B" w14:textId="77777777" w:rsidR="00C11ACA" w:rsidRPr="006C0823" w:rsidRDefault="00C11ACA" w:rsidP="00F73F4D">
            <w:pPr>
              <w:pStyle w:val="TableText"/>
            </w:pPr>
            <w:r>
              <w:rPr>
                <w:rFonts w:cs="Arial"/>
              </w:rPr>
              <w:t>Support the management of projects through independent assurance assessments and gateway reviews</w:t>
            </w:r>
          </w:p>
        </w:tc>
      </w:tr>
      <w:tr w:rsidR="00C11ACA" w:rsidRPr="006C0823" w14:paraId="22A6A274" w14:textId="77777777" w:rsidTr="00C11ACA">
        <w:tc>
          <w:tcPr>
            <w:tcW w:w="521" w:type="pct"/>
          </w:tcPr>
          <w:p w14:paraId="291FF9A2" w14:textId="77777777" w:rsidR="00C11ACA" w:rsidRPr="006C0823" w:rsidRDefault="00C11ACA" w:rsidP="00F73F4D">
            <w:pPr>
              <w:pStyle w:val="TableHeading"/>
            </w:pPr>
            <w:r w:rsidRPr="006C0823">
              <w:t>Result</w:t>
            </w:r>
          </w:p>
          <w:p w14:paraId="4AB88E6C"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tcPr>
          <w:p w14:paraId="253CA585" w14:textId="77777777" w:rsidR="00C11ACA" w:rsidRPr="006C0823" w:rsidRDefault="00C11ACA" w:rsidP="00F73F4D">
            <w:pPr>
              <w:pStyle w:val="TableText"/>
              <w:rPr>
                <w:rFonts w:eastAsia="Times New Roman"/>
              </w:rPr>
            </w:pPr>
            <w:r w:rsidRPr="00CA52CB">
              <w:rPr>
                <w:rFonts w:cs="Arial"/>
              </w:rPr>
              <w:t xml:space="preserve">Assurance reviews </w:t>
            </w:r>
            <w:r>
              <w:rPr>
                <w:rFonts w:cs="Arial"/>
              </w:rPr>
              <w:t>were</w:t>
            </w:r>
            <w:r w:rsidRPr="00CA52CB">
              <w:rPr>
                <w:rFonts w:cs="Arial"/>
              </w:rPr>
              <w:t xml:space="preserve"> </w:t>
            </w:r>
            <w:r>
              <w:rPr>
                <w:rFonts w:cs="Arial"/>
              </w:rPr>
              <w:t>undertaken</w:t>
            </w:r>
            <w:r w:rsidRPr="00CA52CB">
              <w:rPr>
                <w:rFonts w:cs="Arial"/>
              </w:rPr>
              <w:t xml:space="preserve"> for high</w:t>
            </w:r>
            <w:r>
              <w:rPr>
                <w:rFonts w:cs="Arial"/>
              </w:rPr>
              <w:t>-</w:t>
            </w:r>
            <w:r w:rsidRPr="00CA52CB">
              <w:rPr>
                <w:rFonts w:cs="Arial"/>
              </w:rPr>
              <w:t>profile projects</w:t>
            </w:r>
            <w:r>
              <w:rPr>
                <w:rFonts w:cs="Arial"/>
              </w:rPr>
              <w:t>. In line with a risk-based approach, CASA incorporates project assurance reviews into its</w:t>
            </w:r>
            <w:r w:rsidRPr="00CA52CB">
              <w:rPr>
                <w:rFonts w:cs="Arial"/>
              </w:rPr>
              <w:t xml:space="preserve"> audit workplan</w:t>
            </w:r>
            <w:r>
              <w:rPr>
                <w:rFonts w:cs="Arial"/>
              </w:rPr>
              <w:t>.</w:t>
            </w:r>
          </w:p>
        </w:tc>
      </w:tr>
      <w:tr w:rsidR="00C11ACA" w:rsidRPr="006C0823" w14:paraId="58BB2C18" w14:textId="77777777" w:rsidTr="00C11ACA">
        <w:tc>
          <w:tcPr>
            <w:tcW w:w="521" w:type="pct"/>
            <w:shd w:val="clear" w:color="auto" w:fill="D9D9D9"/>
          </w:tcPr>
          <w:p w14:paraId="6DB30C63" w14:textId="77777777" w:rsidR="00C11ACA" w:rsidRPr="006C0823" w:rsidRDefault="00C11ACA" w:rsidP="00F73F4D">
            <w:pPr>
              <w:pStyle w:val="TableHeading"/>
            </w:pPr>
            <w:r w:rsidRPr="006C0823">
              <w:t>Measure</w:t>
            </w:r>
          </w:p>
        </w:tc>
        <w:tc>
          <w:tcPr>
            <w:tcW w:w="4479" w:type="pct"/>
            <w:shd w:val="clear" w:color="auto" w:fill="D9D9D9"/>
          </w:tcPr>
          <w:p w14:paraId="08EF206A" w14:textId="77777777" w:rsidR="00C11ACA" w:rsidRPr="006C0823" w:rsidRDefault="00C11ACA" w:rsidP="00F73F4D">
            <w:pPr>
              <w:pStyle w:val="TableText"/>
              <w:rPr>
                <w:rFonts w:eastAsia="Times New Roman"/>
              </w:rPr>
            </w:pPr>
            <w:r>
              <w:rPr>
                <w:rFonts w:cs="Arial"/>
              </w:rPr>
              <w:t>Embed enhanced organisational change management approaches to support the successful implementation of enterprise wide projects and initiatives</w:t>
            </w:r>
          </w:p>
        </w:tc>
      </w:tr>
      <w:tr w:rsidR="00C11ACA" w:rsidRPr="006C0823" w14:paraId="5674B8B9" w14:textId="77777777" w:rsidTr="00C11ACA">
        <w:tc>
          <w:tcPr>
            <w:tcW w:w="521" w:type="pct"/>
          </w:tcPr>
          <w:p w14:paraId="1F97674B" w14:textId="77777777" w:rsidR="00C11ACA" w:rsidRPr="006C0823" w:rsidRDefault="00C11ACA" w:rsidP="00F73F4D">
            <w:pPr>
              <w:pStyle w:val="TableHeading"/>
            </w:pPr>
            <w:r w:rsidRPr="006C0823">
              <w:t>Result</w:t>
            </w:r>
          </w:p>
          <w:p w14:paraId="0E62622B"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tcPr>
          <w:p w14:paraId="6F5CCEC1" w14:textId="77777777" w:rsidR="00C11ACA" w:rsidRPr="006C0823" w:rsidRDefault="00C11ACA" w:rsidP="00F73F4D">
            <w:pPr>
              <w:pStyle w:val="TableText"/>
              <w:rPr>
                <w:rFonts w:eastAsia="Times New Roman"/>
              </w:rPr>
            </w:pPr>
            <w:r>
              <w:rPr>
                <w:rFonts w:cs="Arial"/>
              </w:rPr>
              <w:t>An o</w:t>
            </w:r>
            <w:r w:rsidRPr="00CA52CB">
              <w:rPr>
                <w:rFonts w:cs="Arial"/>
              </w:rPr>
              <w:t xml:space="preserve">rganisational </w:t>
            </w:r>
            <w:r>
              <w:rPr>
                <w:rFonts w:cs="Arial"/>
              </w:rPr>
              <w:t>c</w:t>
            </w:r>
            <w:r w:rsidRPr="00CA52CB">
              <w:rPr>
                <w:rFonts w:cs="Arial"/>
              </w:rPr>
              <w:t xml:space="preserve">hange </w:t>
            </w:r>
            <w:r>
              <w:rPr>
                <w:rFonts w:cs="Arial"/>
              </w:rPr>
              <w:t>m</w:t>
            </w:r>
            <w:r w:rsidRPr="00CA52CB">
              <w:rPr>
                <w:rFonts w:cs="Arial"/>
              </w:rPr>
              <w:t xml:space="preserve">anagement function has been built </w:t>
            </w:r>
            <w:r>
              <w:rPr>
                <w:rFonts w:cs="Arial"/>
              </w:rPr>
              <w:t>into</w:t>
            </w:r>
            <w:r w:rsidRPr="00CA52CB">
              <w:rPr>
                <w:rFonts w:cs="Arial"/>
              </w:rPr>
              <w:t xml:space="preserve"> high</w:t>
            </w:r>
            <w:r>
              <w:rPr>
                <w:rFonts w:cs="Arial"/>
              </w:rPr>
              <w:t>-</w:t>
            </w:r>
            <w:r w:rsidRPr="00CA52CB">
              <w:rPr>
                <w:rFonts w:cs="Arial"/>
              </w:rPr>
              <w:t xml:space="preserve">profile projects </w:t>
            </w:r>
            <w:r>
              <w:rPr>
                <w:rFonts w:cs="Arial"/>
              </w:rPr>
              <w:t>such as</w:t>
            </w:r>
            <w:r w:rsidRPr="00CA52CB">
              <w:rPr>
                <w:rFonts w:cs="Arial"/>
              </w:rPr>
              <w:t xml:space="preserve"> the Service Delivery Transformation program to ensure that change management is </w:t>
            </w:r>
            <w:r>
              <w:rPr>
                <w:rFonts w:cs="Arial"/>
              </w:rPr>
              <w:t>undertaken</w:t>
            </w:r>
            <w:r w:rsidRPr="00CA52CB">
              <w:rPr>
                <w:rFonts w:cs="Arial"/>
              </w:rPr>
              <w:t xml:space="preserve"> from the beginning and throughout the life of the project. </w:t>
            </w:r>
            <w:r>
              <w:rPr>
                <w:rFonts w:cs="Arial"/>
              </w:rPr>
              <w:t>O</w:t>
            </w:r>
            <w:r w:rsidRPr="00CA52CB">
              <w:rPr>
                <w:rFonts w:cs="Arial"/>
              </w:rPr>
              <w:t>ther projects</w:t>
            </w:r>
            <w:r>
              <w:rPr>
                <w:rFonts w:cs="Arial"/>
              </w:rPr>
              <w:t xml:space="preserve"> and organisational activities are also supported by CASA’s </w:t>
            </w:r>
            <w:r w:rsidRPr="00CA52CB">
              <w:rPr>
                <w:rFonts w:cs="Arial"/>
              </w:rPr>
              <w:t>change management function.</w:t>
            </w:r>
          </w:p>
        </w:tc>
      </w:tr>
      <w:tr w:rsidR="00C11ACA" w:rsidRPr="006C0823" w14:paraId="6D562ACC" w14:textId="77777777" w:rsidTr="00C11ACA">
        <w:tc>
          <w:tcPr>
            <w:tcW w:w="521" w:type="pct"/>
            <w:shd w:val="clear" w:color="auto" w:fill="B8CCE4"/>
          </w:tcPr>
          <w:p w14:paraId="56DF7FBA" w14:textId="77777777" w:rsidR="00C11ACA" w:rsidRPr="006C0823" w:rsidRDefault="00C11ACA" w:rsidP="00F73F4D">
            <w:pPr>
              <w:pStyle w:val="TableHeading"/>
            </w:pPr>
            <w:r w:rsidRPr="006C0823">
              <w:t>Initiative</w:t>
            </w:r>
          </w:p>
          <w:p w14:paraId="5733D956" w14:textId="77777777" w:rsidR="00C11ACA" w:rsidRPr="006C0823" w:rsidRDefault="00C11ACA" w:rsidP="00F73F4D">
            <w:pPr>
              <w:pStyle w:val="TableHeading"/>
            </w:pPr>
            <w:r w:rsidRPr="006C0823">
              <w:t>3.3</w:t>
            </w:r>
          </w:p>
        </w:tc>
        <w:tc>
          <w:tcPr>
            <w:tcW w:w="4479" w:type="pct"/>
            <w:shd w:val="clear" w:color="auto" w:fill="B8CCE4"/>
          </w:tcPr>
          <w:p w14:paraId="7B259F1E" w14:textId="77777777" w:rsidR="00C11ACA" w:rsidRPr="00387E30" w:rsidRDefault="00C11ACA" w:rsidP="00F73F4D">
            <w:pPr>
              <w:pStyle w:val="TableText"/>
              <w:rPr>
                <w:rFonts w:eastAsia="Times New Roman"/>
              </w:rPr>
            </w:pPr>
            <w:r w:rsidRPr="00387E30">
              <w:rPr>
                <w:b/>
              </w:rPr>
              <w:t>Review and improve governance arrangements and quality of our activities</w:t>
            </w:r>
          </w:p>
        </w:tc>
      </w:tr>
      <w:tr w:rsidR="00C11ACA" w:rsidRPr="006C0823" w14:paraId="0E3C46EC" w14:textId="77777777" w:rsidTr="00C11ACA">
        <w:tc>
          <w:tcPr>
            <w:tcW w:w="521" w:type="pct"/>
            <w:shd w:val="clear" w:color="auto" w:fill="D9D9D9"/>
          </w:tcPr>
          <w:p w14:paraId="1DB4B957" w14:textId="77777777" w:rsidR="00C11ACA" w:rsidRPr="006C0823" w:rsidRDefault="00C11ACA" w:rsidP="00F73F4D">
            <w:pPr>
              <w:pStyle w:val="TableHeading"/>
            </w:pPr>
            <w:r w:rsidRPr="006C0823">
              <w:t>Measure</w:t>
            </w:r>
          </w:p>
        </w:tc>
        <w:tc>
          <w:tcPr>
            <w:tcW w:w="4479" w:type="pct"/>
            <w:shd w:val="clear" w:color="auto" w:fill="D9D9D9"/>
          </w:tcPr>
          <w:p w14:paraId="3937015E" w14:textId="77777777" w:rsidR="00C11ACA" w:rsidRPr="006C0823" w:rsidRDefault="00C11ACA" w:rsidP="00F73F4D">
            <w:pPr>
              <w:pStyle w:val="TableText"/>
              <w:rPr>
                <w:rFonts w:eastAsia="Times New Roman"/>
              </w:rPr>
            </w:pPr>
            <w:r>
              <w:rPr>
                <w:rFonts w:cs="Arial"/>
              </w:rPr>
              <w:t>Implement recommendations from a governance review</w:t>
            </w:r>
          </w:p>
        </w:tc>
      </w:tr>
      <w:tr w:rsidR="00C11ACA" w:rsidRPr="006C0823" w14:paraId="3FC4CF5C" w14:textId="77777777" w:rsidTr="00C11ACA">
        <w:tc>
          <w:tcPr>
            <w:tcW w:w="521" w:type="pct"/>
            <w:shd w:val="clear" w:color="auto" w:fill="FFFFFF"/>
          </w:tcPr>
          <w:p w14:paraId="3979820F" w14:textId="77777777" w:rsidR="00C11ACA" w:rsidRPr="006C0823" w:rsidRDefault="00C11ACA" w:rsidP="00F73F4D">
            <w:pPr>
              <w:pStyle w:val="TableHeading"/>
            </w:pPr>
            <w:r w:rsidRPr="006C0823">
              <w:t>Result</w:t>
            </w:r>
          </w:p>
          <w:p w14:paraId="057F4761"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shd w:val="clear" w:color="auto" w:fill="FFFFFF"/>
          </w:tcPr>
          <w:p w14:paraId="7EE2041D" w14:textId="77777777" w:rsidR="00C11ACA" w:rsidRPr="006C0823" w:rsidRDefault="00C11ACA" w:rsidP="00F73F4D">
            <w:pPr>
              <w:pStyle w:val="TableText"/>
              <w:rPr>
                <w:rFonts w:eastAsia="Times New Roman"/>
              </w:rPr>
            </w:pPr>
            <w:r w:rsidRPr="002E02F5">
              <w:rPr>
                <w:rFonts w:cs="Arial"/>
              </w:rPr>
              <w:t xml:space="preserve">All recommendations from the 2017 </w:t>
            </w:r>
            <w:r>
              <w:rPr>
                <w:rFonts w:cs="Arial"/>
              </w:rPr>
              <w:t>g</w:t>
            </w:r>
            <w:r w:rsidRPr="002E02F5">
              <w:rPr>
                <w:rFonts w:cs="Arial"/>
              </w:rPr>
              <w:t xml:space="preserve">overnance review have been implemented or substantially progressed. </w:t>
            </w:r>
          </w:p>
        </w:tc>
      </w:tr>
      <w:tr w:rsidR="00C11ACA" w:rsidRPr="006C0823" w14:paraId="40BBAE52" w14:textId="77777777" w:rsidTr="00C11ACA">
        <w:tc>
          <w:tcPr>
            <w:tcW w:w="521" w:type="pct"/>
            <w:shd w:val="clear" w:color="auto" w:fill="D9D9D9"/>
          </w:tcPr>
          <w:p w14:paraId="7C53DBF4" w14:textId="77777777" w:rsidR="00C11ACA" w:rsidRPr="006C0823" w:rsidRDefault="00C11ACA" w:rsidP="00F73F4D">
            <w:pPr>
              <w:pStyle w:val="TableHeading"/>
            </w:pPr>
            <w:r w:rsidRPr="006C0823">
              <w:t>Measure</w:t>
            </w:r>
          </w:p>
        </w:tc>
        <w:tc>
          <w:tcPr>
            <w:tcW w:w="4479" w:type="pct"/>
            <w:shd w:val="clear" w:color="auto" w:fill="D9D9D9"/>
          </w:tcPr>
          <w:p w14:paraId="382A102F" w14:textId="77777777" w:rsidR="00C11ACA" w:rsidRPr="006C0823" w:rsidRDefault="00C11ACA" w:rsidP="00F73F4D">
            <w:pPr>
              <w:pStyle w:val="TableText"/>
              <w:rPr>
                <w:rFonts w:eastAsia="Times New Roman"/>
              </w:rPr>
            </w:pPr>
            <w:r>
              <w:rPr>
                <w:rFonts w:cs="Arial"/>
              </w:rPr>
              <w:t>Implement a quality framework with a particular focus on aligning the management system with ISO 9001:2015, supporting continuous improvement, developing a quality assurance framework and improved quality measurement and reporting</w:t>
            </w:r>
          </w:p>
        </w:tc>
      </w:tr>
      <w:tr w:rsidR="00C11ACA" w:rsidRPr="006C0823" w14:paraId="1029B3C4" w14:textId="77777777" w:rsidTr="00C11ACA">
        <w:tc>
          <w:tcPr>
            <w:tcW w:w="521" w:type="pct"/>
            <w:shd w:val="clear" w:color="auto" w:fill="FFFFFF"/>
          </w:tcPr>
          <w:p w14:paraId="7B1B520F" w14:textId="77777777" w:rsidR="00C11ACA" w:rsidRPr="006C0823" w:rsidRDefault="00C11ACA" w:rsidP="00F73F4D">
            <w:pPr>
              <w:pStyle w:val="TableHeading"/>
            </w:pPr>
            <w:r w:rsidRPr="006C0823">
              <w:t>Result</w:t>
            </w:r>
          </w:p>
          <w:p w14:paraId="6227F438"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shd w:val="clear" w:color="auto" w:fill="FFFFFF"/>
          </w:tcPr>
          <w:p w14:paraId="31D10267" w14:textId="77777777" w:rsidR="00C11ACA" w:rsidRDefault="00C11ACA" w:rsidP="00F73F4D">
            <w:pPr>
              <w:pStyle w:val="TableText"/>
              <w:rPr>
                <w:rFonts w:cs="Arial"/>
              </w:rPr>
            </w:pPr>
            <w:r w:rsidRPr="002E02F5">
              <w:rPr>
                <w:rFonts w:cs="Arial"/>
              </w:rPr>
              <w:t xml:space="preserve">CASA completed the development and implementation of </w:t>
            </w:r>
            <w:r>
              <w:rPr>
                <w:rFonts w:cs="Arial"/>
              </w:rPr>
              <w:t>a</w:t>
            </w:r>
            <w:r w:rsidRPr="002E02F5">
              <w:rPr>
                <w:rFonts w:cs="Arial"/>
              </w:rPr>
              <w:t xml:space="preserve"> quality framework through the Quality </w:t>
            </w:r>
            <w:r>
              <w:rPr>
                <w:rFonts w:cs="Arial"/>
              </w:rPr>
              <w:t>v</w:t>
            </w:r>
            <w:r w:rsidRPr="002E02F5">
              <w:rPr>
                <w:rFonts w:cs="Arial"/>
              </w:rPr>
              <w:t>ision</w:t>
            </w:r>
            <w:r>
              <w:rPr>
                <w:rFonts w:cs="Arial"/>
              </w:rPr>
              <w:t>, which</w:t>
            </w:r>
            <w:r w:rsidRPr="002E02F5">
              <w:rPr>
                <w:rFonts w:cs="Arial"/>
              </w:rPr>
              <w:t xml:space="preserve"> </w:t>
            </w:r>
            <w:r>
              <w:rPr>
                <w:rFonts w:cs="Arial"/>
              </w:rPr>
              <w:t>encompasses</w:t>
            </w:r>
            <w:r w:rsidRPr="002E02F5">
              <w:rPr>
                <w:rFonts w:cs="Arial"/>
              </w:rPr>
              <w:t xml:space="preserve"> six key elements. In implementing the vision CASA has </w:t>
            </w:r>
            <w:r>
              <w:rPr>
                <w:rFonts w:cs="Arial"/>
              </w:rPr>
              <w:t>deployed a</w:t>
            </w:r>
            <w:r w:rsidRPr="002E02F5">
              <w:rPr>
                <w:rFonts w:cs="Arial"/>
              </w:rPr>
              <w:t xml:space="preserve"> management system that is aligned with ISO9001:2015, a continuous improvement roadmap</w:t>
            </w:r>
            <w:r>
              <w:rPr>
                <w:rFonts w:cs="Arial"/>
              </w:rPr>
              <w:t>,</w:t>
            </w:r>
            <w:r w:rsidRPr="002E02F5">
              <w:rPr>
                <w:rFonts w:cs="Arial"/>
              </w:rPr>
              <w:t xml:space="preserve"> and an assurance framework informed by a quality assurance map </w:t>
            </w:r>
            <w:r>
              <w:rPr>
                <w:rFonts w:cs="Arial"/>
              </w:rPr>
              <w:t xml:space="preserve">that is </w:t>
            </w:r>
            <w:r w:rsidRPr="002E02F5">
              <w:rPr>
                <w:rFonts w:cs="Arial"/>
              </w:rPr>
              <w:t xml:space="preserve">consistent with the </w:t>
            </w:r>
            <w:r>
              <w:rPr>
                <w:rFonts w:cs="Arial"/>
              </w:rPr>
              <w:t>‘</w:t>
            </w:r>
            <w:r w:rsidRPr="002E02F5">
              <w:rPr>
                <w:rFonts w:cs="Arial"/>
              </w:rPr>
              <w:t>three lines of defence</w:t>
            </w:r>
            <w:r>
              <w:rPr>
                <w:rFonts w:cs="Arial"/>
              </w:rPr>
              <w:t>’</w:t>
            </w:r>
            <w:r w:rsidRPr="002E02F5">
              <w:rPr>
                <w:rFonts w:cs="Arial"/>
              </w:rPr>
              <w:t xml:space="preserve"> model. </w:t>
            </w:r>
          </w:p>
          <w:p w14:paraId="3A55FF23" w14:textId="77777777" w:rsidR="00C11ACA" w:rsidRPr="006C0823" w:rsidRDefault="00C11ACA" w:rsidP="00F73F4D">
            <w:pPr>
              <w:pStyle w:val="TableText"/>
              <w:rPr>
                <w:rFonts w:eastAsia="Times New Roman"/>
              </w:rPr>
            </w:pPr>
            <w:r>
              <w:rPr>
                <w:rFonts w:cs="Arial"/>
              </w:rPr>
              <w:t xml:space="preserve">In </w:t>
            </w:r>
            <w:r w:rsidRPr="002E02F5">
              <w:rPr>
                <w:rFonts w:cs="Arial"/>
              </w:rPr>
              <w:t>2018–19</w:t>
            </w:r>
            <w:r>
              <w:rPr>
                <w:rFonts w:cs="Arial"/>
              </w:rPr>
              <w:t>,</w:t>
            </w:r>
            <w:r w:rsidRPr="002E02F5">
              <w:rPr>
                <w:rFonts w:cs="Arial"/>
              </w:rPr>
              <w:t xml:space="preserve"> the framework will continue to be embedded</w:t>
            </w:r>
            <w:r>
              <w:rPr>
                <w:rFonts w:cs="Arial"/>
              </w:rPr>
              <w:t>,</w:t>
            </w:r>
            <w:r w:rsidRPr="002E02F5">
              <w:rPr>
                <w:rFonts w:cs="Arial"/>
              </w:rPr>
              <w:t xml:space="preserve"> through the delivery of the continuous improvement program of work</w:t>
            </w:r>
            <w:r>
              <w:rPr>
                <w:rFonts w:cs="Arial"/>
              </w:rPr>
              <w:t>,</w:t>
            </w:r>
            <w:r w:rsidRPr="002E02F5">
              <w:rPr>
                <w:rFonts w:cs="Arial"/>
              </w:rPr>
              <w:t xml:space="preserve"> and will contribute to the achievement of improved quality measurement and reporting.</w:t>
            </w:r>
          </w:p>
        </w:tc>
      </w:tr>
      <w:tr w:rsidR="00C11ACA" w:rsidRPr="006C0823" w14:paraId="288E404A" w14:textId="77777777" w:rsidTr="00C11ACA">
        <w:tc>
          <w:tcPr>
            <w:tcW w:w="521" w:type="pct"/>
            <w:shd w:val="clear" w:color="auto" w:fill="D9D9D9"/>
          </w:tcPr>
          <w:p w14:paraId="2AE215B6" w14:textId="77777777" w:rsidR="00C11ACA" w:rsidRPr="006C0823" w:rsidRDefault="00C11ACA" w:rsidP="00F73F4D">
            <w:pPr>
              <w:pStyle w:val="TableHeading"/>
            </w:pPr>
            <w:r w:rsidRPr="006C0823">
              <w:t>Measure</w:t>
            </w:r>
          </w:p>
        </w:tc>
        <w:tc>
          <w:tcPr>
            <w:tcW w:w="4479" w:type="pct"/>
            <w:shd w:val="clear" w:color="auto" w:fill="D9D9D9"/>
          </w:tcPr>
          <w:p w14:paraId="3E67A0BD" w14:textId="77777777" w:rsidR="00C11ACA" w:rsidRPr="006C0823" w:rsidRDefault="00C11ACA" w:rsidP="00F73F4D">
            <w:pPr>
              <w:pStyle w:val="TableText"/>
              <w:rPr>
                <w:rFonts w:eastAsia="Times New Roman"/>
              </w:rPr>
            </w:pPr>
            <w:r>
              <w:rPr>
                <w:rFonts w:cs="Arial"/>
              </w:rPr>
              <w:t>Revisit our approach to risk to build awareness and improve our application of risk principles</w:t>
            </w:r>
          </w:p>
        </w:tc>
      </w:tr>
      <w:tr w:rsidR="00C11ACA" w:rsidRPr="006C0823" w14:paraId="14E4E1CC" w14:textId="77777777" w:rsidTr="00C11ACA">
        <w:tc>
          <w:tcPr>
            <w:tcW w:w="521" w:type="pct"/>
          </w:tcPr>
          <w:p w14:paraId="74451140" w14:textId="77777777" w:rsidR="00C11ACA" w:rsidRPr="006C0823" w:rsidRDefault="00C11ACA" w:rsidP="00F73F4D">
            <w:pPr>
              <w:pStyle w:val="TableHeading"/>
            </w:pPr>
            <w:r w:rsidRPr="006C0823">
              <w:t>Result</w:t>
            </w:r>
          </w:p>
          <w:p w14:paraId="18B3B133"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tcPr>
          <w:p w14:paraId="40A1A933" w14:textId="77777777" w:rsidR="00C11ACA" w:rsidRPr="006C0823" w:rsidRDefault="00C11ACA" w:rsidP="00F73F4D">
            <w:pPr>
              <w:pStyle w:val="TableText"/>
              <w:rPr>
                <w:rFonts w:eastAsia="Times New Roman"/>
              </w:rPr>
            </w:pPr>
            <w:r w:rsidRPr="001D77A4">
              <w:rPr>
                <w:rFonts w:cs="Arial"/>
              </w:rPr>
              <w:t xml:space="preserve">CASA achieved a Comcover assessment rating of ‘Advanced’ for 2017. This is the second highest rating and keeps CASA in the top quartile of Commonwealth agencies. To improve CASA’s application of risk principles, operational risk management and business planning templates were revised, and facilitated discussions were conducted with the senior management team regarding strategic risk and risk leadership behaviours. Over the next 12 months the </w:t>
            </w:r>
            <w:r>
              <w:rPr>
                <w:rFonts w:cs="Arial"/>
              </w:rPr>
              <w:t>r</w:t>
            </w:r>
            <w:r w:rsidRPr="001D77A4">
              <w:rPr>
                <w:rFonts w:cs="Arial"/>
              </w:rPr>
              <w:t xml:space="preserve">isk </w:t>
            </w:r>
            <w:r>
              <w:rPr>
                <w:rFonts w:cs="Arial"/>
              </w:rPr>
              <w:t>m</w:t>
            </w:r>
            <w:r w:rsidRPr="001D77A4">
              <w:rPr>
                <w:rFonts w:cs="Arial"/>
              </w:rPr>
              <w:t xml:space="preserve">anagement </w:t>
            </w:r>
            <w:r>
              <w:rPr>
                <w:rFonts w:cs="Arial"/>
              </w:rPr>
              <w:t>f</w:t>
            </w:r>
            <w:r w:rsidRPr="001D77A4">
              <w:rPr>
                <w:rFonts w:cs="Arial"/>
              </w:rPr>
              <w:t xml:space="preserve">ramework policy and reporting will be further reviewed </w:t>
            </w:r>
            <w:r>
              <w:rPr>
                <w:rFonts w:cs="Arial"/>
              </w:rPr>
              <w:t xml:space="preserve">to ensure that they remain </w:t>
            </w:r>
            <w:r w:rsidRPr="001D77A4">
              <w:rPr>
                <w:rFonts w:cs="Arial"/>
              </w:rPr>
              <w:t>fit for purpose.</w:t>
            </w:r>
          </w:p>
        </w:tc>
      </w:tr>
      <w:tr w:rsidR="00C11ACA" w:rsidRPr="006C0823" w14:paraId="263B15B1" w14:textId="77777777" w:rsidTr="00C11ACA">
        <w:tc>
          <w:tcPr>
            <w:tcW w:w="521" w:type="pct"/>
            <w:shd w:val="clear" w:color="auto" w:fill="B8CCE4"/>
          </w:tcPr>
          <w:p w14:paraId="2BB7018A" w14:textId="77777777" w:rsidR="00C11ACA" w:rsidRPr="006C0823" w:rsidRDefault="00C11ACA" w:rsidP="00F73F4D">
            <w:pPr>
              <w:pStyle w:val="TableHeading"/>
            </w:pPr>
            <w:r w:rsidRPr="006C0823">
              <w:t>Initiative</w:t>
            </w:r>
          </w:p>
          <w:p w14:paraId="26C2C7FA" w14:textId="77777777" w:rsidR="00C11ACA" w:rsidRPr="006C0823" w:rsidRDefault="00C11ACA" w:rsidP="00F73F4D">
            <w:pPr>
              <w:pStyle w:val="TableHeading"/>
            </w:pPr>
            <w:r w:rsidRPr="006C0823">
              <w:t>3.4</w:t>
            </w:r>
          </w:p>
        </w:tc>
        <w:tc>
          <w:tcPr>
            <w:tcW w:w="4479" w:type="pct"/>
            <w:shd w:val="clear" w:color="auto" w:fill="B8CCE4"/>
          </w:tcPr>
          <w:p w14:paraId="197E882E" w14:textId="77777777" w:rsidR="00C11ACA" w:rsidRPr="00387E30" w:rsidRDefault="00C11ACA" w:rsidP="00F73F4D">
            <w:pPr>
              <w:pStyle w:val="TableText"/>
              <w:rPr>
                <w:rFonts w:eastAsia="Times New Roman"/>
              </w:rPr>
            </w:pPr>
            <w:r w:rsidRPr="00387E30">
              <w:rPr>
                <w:b/>
              </w:rPr>
              <w:t xml:space="preserve">Adopt, </w:t>
            </w:r>
            <w:r w:rsidRPr="00387E30">
              <w:rPr>
                <w:rFonts w:cs="Arial"/>
                <w:b/>
              </w:rPr>
              <w:t>develop and drive client service delivery improvements incorporating a digital first and any device enabled approach that supports the objectives of our service delivery</w:t>
            </w:r>
          </w:p>
        </w:tc>
      </w:tr>
      <w:tr w:rsidR="00C11ACA" w:rsidRPr="006C0823" w14:paraId="4797A6BB" w14:textId="77777777" w:rsidTr="00C11ACA">
        <w:tc>
          <w:tcPr>
            <w:tcW w:w="521" w:type="pct"/>
            <w:shd w:val="clear" w:color="auto" w:fill="D9D9D9"/>
          </w:tcPr>
          <w:p w14:paraId="43BBFDFE" w14:textId="77777777" w:rsidR="00C11ACA" w:rsidRPr="006C0823" w:rsidRDefault="00C11ACA" w:rsidP="00F73F4D">
            <w:pPr>
              <w:pStyle w:val="TableHeading"/>
            </w:pPr>
            <w:r w:rsidRPr="006C0823">
              <w:t>Measure</w:t>
            </w:r>
          </w:p>
        </w:tc>
        <w:tc>
          <w:tcPr>
            <w:tcW w:w="4479" w:type="pct"/>
            <w:shd w:val="clear" w:color="auto" w:fill="D9D9D9"/>
          </w:tcPr>
          <w:p w14:paraId="1E0BD92F" w14:textId="77777777" w:rsidR="00C11ACA" w:rsidRPr="006C0823" w:rsidRDefault="00C11ACA" w:rsidP="00F73F4D">
            <w:pPr>
              <w:pStyle w:val="TableText"/>
              <w:rPr>
                <w:rFonts w:eastAsia="Times New Roman"/>
              </w:rPr>
            </w:pPr>
            <w:r>
              <w:rPr>
                <w:rFonts w:cs="Arial"/>
              </w:rPr>
              <w:t>O</w:t>
            </w:r>
            <w:r w:rsidRPr="008B242B">
              <w:rPr>
                <w:rFonts w:cs="Arial"/>
              </w:rPr>
              <w:t>ptimise client contact arrangements with a particular focus on forms, email and phone channels</w:t>
            </w:r>
          </w:p>
        </w:tc>
      </w:tr>
      <w:tr w:rsidR="00C11ACA" w:rsidRPr="006C0823" w14:paraId="72240296" w14:textId="77777777" w:rsidTr="00C11ACA">
        <w:tc>
          <w:tcPr>
            <w:tcW w:w="521" w:type="pct"/>
          </w:tcPr>
          <w:p w14:paraId="1FE438CA" w14:textId="77777777" w:rsidR="00C11ACA" w:rsidRPr="006C0823" w:rsidRDefault="00C11ACA" w:rsidP="00F73F4D">
            <w:pPr>
              <w:pStyle w:val="TableHeading"/>
            </w:pPr>
            <w:r w:rsidRPr="006C0823">
              <w:t>Result</w:t>
            </w:r>
          </w:p>
          <w:p w14:paraId="11636398"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tcPr>
          <w:p w14:paraId="2CF07944" w14:textId="77777777" w:rsidR="00C11ACA" w:rsidRPr="003D0236" w:rsidRDefault="00C11ACA" w:rsidP="00F73F4D">
            <w:pPr>
              <w:rPr>
                <w:rFonts w:ascii="Arial Narrow" w:hAnsi="Arial Narrow" w:cs="Arial"/>
                <w:sz w:val="20"/>
              </w:rPr>
            </w:pPr>
            <w:r w:rsidRPr="003D0236">
              <w:rPr>
                <w:rFonts w:ascii="Arial Narrow" w:hAnsi="Arial Narrow" w:cs="Arial"/>
                <w:sz w:val="20"/>
              </w:rPr>
              <w:t xml:space="preserve">CASA has built and delivered the </w:t>
            </w:r>
            <w:r>
              <w:rPr>
                <w:rFonts w:ascii="Arial Narrow" w:hAnsi="Arial Narrow" w:cs="Arial"/>
                <w:sz w:val="20"/>
              </w:rPr>
              <w:t>CASA online portal</w:t>
            </w:r>
            <w:r w:rsidRPr="003D0236">
              <w:rPr>
                <w:rFonts w:ascii="Arial Narrow" w:hAnsi="Arial Narrow" w:cs="Arial"/>
                <w:sz w:val="20"/>
              </w:rPr>
              <w:t xml:space="preserve"> to the foundation stage. The user experience requirements for the online portal, </w:t>
            </w:r>
            <w:r>
              <w:rPr>
                <w:rFonts w:ascii="Arial Narrow" w:hAnsi="Arial Narrow" w:cs="Arial"/>
                <w:sz w:val="20"/>
              </w:rPr>
              <w:t>a</w:t>
            </w:r>
            <w:r w:rsidRPr="003D0236">
              <w:rPr>
                <w:rFonts w:ascii="Arial Narrow" w:hAnsi="Arial Narrow" w:cs="Arial"/>
                <w:sz w:val="20"/>
              </w:rPr>
              <w:t xml:space="preserve">viation </w:t>
            </w:r>
            <w:r>
              <w:rPr>
                <w:rFonts w:ascii="Arial Narrow" w:hAnsi="Arial Narrow" w:cs="Arial"/>
                <w:sz w:val="20"/>
              </w:rPr>
              <w:t>r</w:t>
            </w:r>
            <w:r w:rsidRPr="003D0236">
              <w:rPr>
                <w:rFonts w:ascii="Arial Narrow" w:hAnsi="Arial Narrow" w:cs="Arial"/>
                <w:sz w:val="20"/>
              </w:rPr>
              <w:t xml:space="preserve">egistration </w:t>
            </w:r>
            <w:r>
              <w:rPr>
                <w:rFonts w:ascii="Arial Narrow" w:hAnsi="Arial Narrow" w:cs="Arial"/>
                <w:sz w:val="20"/>
              </w:rPr>
              <w:t>n</w:t>
            </w:r>
            <w:r w:rsidRPr="003D0236">
              <w:rPr>
                <w:rFonts w:ascii="Arial Narrow" w:hAnsi="Arial Narrow" w:cs="Arial"/>
                <w:sz w:val="20"/>
              </w:rPr>
              <w:t>umber registration and 100-point identity check have been refined and will be ready to go live in July 2018.</w:t>
            </w:r>
          </w:p>
          <w:p w14:paraId="2068DE47" w14:textId="77777777" w:rsidR="00C11ACA" w:rsidRPr="006C0823" w:rsidRDefault="00C11ACA" w:rsidP="00F73F4D">
            <w:pPr>
              <w:pStyle w:val="TableText"/>
              <w:rPr>
                <w:rFonts w:eastAsia="Times New Roman"/>
              </w:rPr>
            </w:pPr>
            <w:r w:rsidRPr="003D0236">
              <w:rPr>
                <w:rFonts w:cs="Arial"/>
              </w:rPr>
              <w:t>An upgrade to the underlying telephony technology</w:t>
            </w:r>
            <w:r>
              <w:rPr>
                <w:rFonts w:cs="Arial"/>
              </w:rPr>
              <w:t>,</w:t>
            </w:r>
            <w:r w:rsidRPr="003D0236">
              <w:rPr>
                <w:rFonts w:cs="Arial"/>
              </w:rPr>
              <w:t xml:space="preserve"> to enable additional functionality</w:t>
            </w:r>
            <w:r>
              <w:rPr>
                <w:rFonts w:cs="Arial"/>
              </w:rPr>
              <w:t>,</w:t>
            </w:r>
            <w:r w:rsidRPr="003D0236">
              <w:rPr>
                <w:rFonts w:cs="Arial"/>
              </w:rPr>
              <w:t xml:space="preserve"> is scheduled to be completed by early July 2018.</w:t>
            </w:r>
          </w:p>
        </w:tc>
      </w:tr>
      <w:tr w:rsidR="00C11ACA" w:rsidRPr="006C0823" w14:paraId="529EFC1E" w14:textId="77777777" w:rsidTr="00C11ACA">
        <w:tc>
          <w:tcPr>
            <w:tcW w:w="521" w:type="pct"/>
            <w:shd w:val="clear" w:color="auto" w:fill="B8CCE4"/>
          </w:tcPr>
          <w:p w14:paraId="6A84288E" w14:textId="77777777" w:rsidR="00C11ACA" w:rsidRPr="006C0823" w:rsidRDefault="00C11ACA" w:rsidP="00F73F4D">
            <w:pPr>
              <w:pStyle w:val="TableHeading"/>
            </w:pPr>
            <w:r w:rsidRPr="006C0823">
              <w:t>Initiative</w:t>
            </w:r>
          </w:p>
          <w:p w14:paraId="6B14B75C" w14:textId="77777777" w:rsidR="00C11ACA" w:rsidRPr="006C0823" w:rsidRDefault="00C11ACA" w:rsidP="00F73F4D">
            <w:pPr>
              <w:pStyle w:val="TableHeading"/>
            </w:pPr>
            <w:r w:rsidRPr="006C0823">
              <w:t>3.5</w:t>
            </w:r>
          </w:p>
        </w:tc>
        <w:tc>
          <w:tcPr>
            <w:tcW w:w="4479" w:type="pct"/>
            <w:shd w:val="clear" w:color="auto" w:fill="B8CCE4"/>
          </w:tcPr>
          <w:p w14:paraId="14CB3438" w14:textId="77777777" w:rsidR="00C11ACA" w:rsidRPr="00387E30" w:rsidRDefault="00C11ACA" w:rsidP="00F73F4D">
            <w:pPr>
              <w:pStyle w:val="TableText"/>
              <w:rPr>
                <w:rFonts w:eastAsia="Times New Roman"/>
              </w:rPr>
            </w:pPr>
            <w:r w:rsidRPr="00387E30">
              <w:rPr>
                <w:rFonts w:cs="Arial"/>
                <w:b/>
              </w:rPr>
              <w:t>Leverage proven advances in technology and ICT practices to continually improve services for the benefit of CASA and its clients</w:t>
            </w:r>
          </w:p>
        </w:tc>
      </w:tr>
      <w:tr w:rsidR="00C11ACA" w:rsidRPr="006C0823" w14:paraId="1B4B7784" w14:textId="77777777" w:rsidTr="00C11ACA">
        <w:tc>
          <w:tcPr>
            <w:tcW w:w="521" w:type="pct"/>
            <w:shd w:val="clear" w:color="auto" w:fill="D9D9D9"/>
          </w:tcPr>
          <w:p w14:paraId="383AF872" w14:textId="77777777" w:rsidR="00C11ACA" w:rsidRPr="006C0823" w:rsidRDefault="00C11ACA" w:rsidP="00F73F4D">
            <w:pPr>
              <w:pStyle w:val="TableHeading"/>
            </w:pPr>
            <w:r w:rsidRPr="006C0823">
              <w:t>Measure</w:t>
            </w:r>
          </w:p>
        </w:tc>
        <w:tc>
          <w:tcPr>
            <w:tcW w:w="4479" w:type="pct"/>
            <w:shd w:val="clear" w:color="auto" w:fill="D9D9D9"/>
          </w:tcPr>
          <w:p w14:paraId="4959F652" w14:textId="77777777" w:rsidR="00C11ACA" w:rsidRPr="006C0823" w:rsidRDefault="00C11ACA" w:rsidP="00F73F4D">
            <w:pPr>
              <w:pStyle w:val="TableText"/>
              <w:rPr>
                <w:rFonts w:eastAsia="Times New Roman"/>
              </w:rPr>
            </w:pPr>
            <w:r>
              <w:rPr>
                <w:rFonts w:cs="Arial"/>
              </w:rPr>
              <w:t>D</w:t>
            </w:r>
            <w:r w:rsidRPr="008B242B">
              <w:rPr>
                <w:rFonts w:cs="Arial"/>
              </w:rPr>
              <w:t>eliver new desktop capability</w:t>
            </w:r>
            <w:r>
              <w:rPr>
                <w:rFonts w:cs="Arial"/>
              </w:rPr>
              <w:t xml:space="preserve"> to</w:t>
            </w:r>
            <w:r w:rsidRPr="008B242B">
              <w:rPr>
                <w:rFonts w:cs="Arial"/>
              </w:rPr>
              <w:t xml:space="preserve"> increas</w:t>
            </w:r>
            <w:r>
              <w:rPr>
                <w:rFonts w:cs="Arial"/>
              </w:rPr>
              <w:t>e</w:t>
            </w:r>
            <w:r w:rsidRPr="008B242B">
              <w:rPr>
                <w:rFonts w:cs="Arial"/>
              </w:rPr>
              <w:t xml:space="preserve"> flexibility for CASA</w:t>
            </w:r>
            <w:r>
              <w:rPr>
                <w:rFonts w:cs="Arial"/>
              </w:rPr>
              <w:t>’s</w:t>
            </w:r>
            <w:r w:rsidRPr="008B242B">
              <w:rPr>
                <w:rFonts w:cs="Arial"/>
              </w:rPr>
              <w:t xml:space="preserve"> inspectorate</w:t>
            </w:r>
          </w:p>
        </w:tc>
      </w:tr>
      <w:tr w:rsidR="00C11ACA" w:rsidRPr="006C0823" w14:paraId="63F5EAB0" w14:textId="77777777" w:rsidTr="00C11ACA">
        <w:tc>
          <w:tcPr>
            <w:tcW w:w="521" w:type="pct"/>
            <w:shd w:val="clear" w:color="auto" w:fill="FFFFFF"/>
          </w:tcPr>
          <w:p w14:paraId="3934C09F" w14:textId="77777777" w:rsidR="00C11ACA" w:rsidRPr="006C0823" w:rsidRDefault="00C11ACA" w:rsidP="00F73F4D">
            <w:pPr>
              <w:pStyle w:val="TableHeading"/>
            </w:pPr>
            <w:r w:rsidRPr="006C0823">
              <w:t>Result</w:t>
            </w:r>
          </w:p>
          <w:p w14:paraId="37CE5A0C"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shd w:val="clear" w:color="auto" w:fill="FFFFFF"/>
          </w:tcPr>
          <w:p w14:paraId="02614060" w14:textId="77777777" w:rsidR="00C11ACA" w:rsidRPr="003D0236" w:rsidRDefault="00C11ACA" w:rsidP="00F73F4D">
            <w:pPr>
              <w:rPr>
                <w:rFonts w:ascii="Arial Narrow" w:hAnsi="Arial Narrow" w:cs="Arial"/>
                <w:sz w:val="20"/>
              </w:rPr>
            </w:pPr>
            <w:r w:rsidRPr="003D0236">
              <w:rPr>
                <w:rFonts w:ascii="Arial Narrow" w:hAnsi="Arial Narrow" w:cs="Arial"/>
                <w:sz w:val="20"/>
              </w:rPr>
              <w:t xml:space="preserve">The new desktop </w:t>
            </w:r>
            <w:r>
              <w:rPr>
                <w:rFonts w:ascii="Arial Narrow" w:hAnsi="Arial Narrow" w:cs="Arial"/>
                <w:sz w:val="20"/>
              </w:rPr>
              <w:t xml:space="preserve">capability </w:t>
            </w:r>
            <w:r w:rsidRPr="003D0236">
              <w:rPr>
                <w:rFonts w:ascii="Arial Narrow" w:hAnsi="Arial Narrow" w:cs="Arial"/>
                <w:sz w:val="20"/>
              </w:rPr>
              <w:t>was rolled out across CASA and completed in May 2018.</w:t>
            </w:r>
          </w:p>
          <w:p w14:paraId="67EF5753" w14:textId="77777777" w:rsidR="00C11ACA" w:rsidRPr="006C0823" w:rsidRDefault="00C11ACA" w:rsidP="00F73F4D">
            <w:pPr>
              <w:pStyle w:val="TableText"/>
              <w:rPr>
                <w:rFonts w:eastAsia="Times New Roman"/>
              </w:rPr>
            </w:pPr>
          </w:p>
        </w:tc>
      </w:tr>
      <w:tr w:rsidR="00C11ACA" w:rsidRPr="006C0823" w14:paraId="4353F068" w14:textId="77777777" w:rsidTr="00C11ACA">
        <w:tc>
          <w:tcPr>
            <w:tcW w:w="521" w:type="pct"/>
            <w:shd w:val="clear" w:color="auto" w:fill="D9D9D9"/>
          </w:tcPr>
          <w:p w14:paraId="6C39431E" w14:textId="77777777" w:rsidR="00C11ACA" w:rsidRPr="006C0823" w:rsidRDefault="00C11ACA" w:rsidP="00F73F4D">
            <w:pPr>
              <w:pStyle w:val="TableHeading"/>
            </w:pPr>
            <w:r w:rsidRPr="006C0823">
              <w:lastRenderedPageBreak/>
              <w:t>Measure</w:t>
            </w:r>
          </w:p>
        </w:tc>
        <w:tc>
          <w:tcPr>
            <w:tcW w:w="4479" w:type="pct"/>
            <w:shd w:val="clear" w:color="auto" w:fill="D9D9D9"/>
          </w:tcPr>
          <w:p w14:paraId="6BD0C64A" w14:textId="77777777" w:rsidR="00C11ACA" w:rsidRPr="006C0823" w:rsidRDefault="00C11ACA" w:rsidP="00F73F4D">
            <w:pPr>
              <w:pStyle w:val="TableText"/>
              <w:rPr>
                <w:rFonts w:eastAsia="Times New Roman"/>
              </w:rPr>
            </w:pPr>
            <w:r>
              <w:rPr>
                <w:rFonts w:cs="Arial"/>
              </w:rPr>
              <w:t>I</w:t>
            </w:r>
            <w:r w:rsidRPr="008B242B">
              <w:rPr>
                <w:rFonts w:cs="Arial"/>
              </w:rPr>
              <w:t xml:space="preserve">nvestigate options for </w:t>
            </w:r>
            <w:r>
              <w:rPr>
                <w:rFonts w:cs="Arial"/>
              </w:rPr>
              <w:t xml:space="preserve">the </w:t>
            </w:r>
            <w:r w:rsidRPr="008B242B">
              <w:rPr>
                <w:rFonts w:cs="Arial"/>
              </w:rPr>
              <w:t>replacement of aviation risk</w:t>
            </w:r>
            <w:r>
              <w:rPr>
                <w:rFonts w:cs="Arial"/>
              </w:rPr>
              <w:t>-</w:t>
            </w:r>
            <w:r w:rsidRPr="008B242B">
              <w:rPr>
                <w:rFonts w:cs="Arial"/>
              </w:rPr>
              <w:t>based system</w:t>
            </w:r>
          </w:p>
        </w:tc>
      </w:tr>
      <w:tr w:rsidR="00C11ACA" w:rsidRPr="006C0823" w14:paraId="019C6E06" w14:textId="77777777" w:rsidTr="00C11ACA">
        <w:tc>
          <w:tcPr>
            <w:tcW w:w="521" w:type="pct"/>
            <w:shd w:val="clear" w:color="auto" w:fill="FFFFFF"/>
          </w:tcPr>
          <w:p w14:paraId="063A9270" w14:textId="77777777" w:rsidR="00C11ACA" w:rsidRPr="006C0823" w:rsidRDefault="00C11ACA" w:rsidP="00F73F4D">
            <w:pPr>
              <w:pStyle w:val="TableHeading"/>
            </w:pPr>
            <w:r w:rsidRPr="006C0823">
              <w:t>Result</w:t>
            </w:r>
          </w:p>
          <w:p w14:paraId="10107F33"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shd w:val="clear" w:color="auto" w:fill="FFFFFF"/>
          </w:tcPr>
          <w:p w14:paraId="63EC76F5" w14:textId="77777777" w:rsidR="00C11ACA" w:rsidRPr="006C0823" w:rsidRDefault="00C11ACA" w:rsidP="00F73F4D">
            <w:pPr>
              <w:pStyle w:val="TableText"/>
              <w:rPr>
                <w:rFonts w:eastAsia="Times New Roman"/>
              </w:rPr>
            </w:pPr>
            <w:r>
              <w:rPr>
                <w:rFonts w:cs="Arial"/>
              </w:rPr>
              <w:t xml:space="preserve">CASA worked </w:t>
            </w:r>
            <w:r w:rsidRPr="00A91454">
              <w:rPr>
                <w:rFonts w:cs="Arial"/>
              </w:rPr>
              <w:t xml:space="preserve">to identify and define business requirements, scope and resourcing needs </w:t>
            </w:r>
            <w:r>
              <w:rPr>
                <w:rFonts w:cs="Arial"/>
              </w:rPr>
              <w:t>for the replacement of</w:t>
            </w:r>
            <w:r w:rsidRPr="00A91454">
              <w:rPr>
                <w:rFonts w:cs="Arial"/>
              </w:rPr>
              <w:t xml:space="preserve"> the aviation risk-based system. Consolidation of th</w:t>
            </w:r>
            <w:r>
              <w:rPr>
                <w:rFonts w:cs="Arial"/>
              </w:rPr>
              <w:t>e current</w:t>
            </w:r>
            <w:r w:rsidRPr="00A91454">
              <w:rPr>
                <w:rFonts w:cs="Arial"/>
              </w:rPr>
              <w:t xml:space="preserve"> system into </w:t>
            </w:r>
            <w:r>
              <w:rPr>
                <w:rFonts w:cs="Arial"/>
              </w:rPr>
              <w:t xml:space="preserve">a </w:t>
            </w:r>
            <w:r w:rsidRPr="00A91454">
              <w:rPr>
                <w:rFonts w:cs="Arial"/>
              </w:rPr>
              <w:t xml:space="preserve">replacement system is planned </w:t>
            </w:r>
            <w:r>
              <w:rPr>
                <w:rFonts w:cs="Arial"/>
              </w:rPr>
              <w:t>for completion</w:t>
            </w:r>
            <w:r w:rsidRPr="00A91454">
              <w:rPr>
                <w:rFonts w:cs="Arial"/>
              </w:rPr>
              <w:t xml:space="preserve"> </w:t>
            </w:r>
            <w:r>
              <w:rPr>
                <w:rFonts w:cs="Arial"/>
              </w:rPr>
              <w:t>in</w:t>
            </w:r>
            <w:r w:rsidRPr="00A91454">
              <w:rPr>
                <w:rFonts w:cs="Arial"/>
              </w:rPr>
              <w:t xml:space="preserve"> 2018–19.</w:t>
            </w:r>
          </w:p>
        </w:tc>
      </w:tr>
      <w:tr w:rsidR="00C11ACA" w:rsidRPr="006C0823" w14:paraId="6C94BF0D" w14:textId="77777777" w:rsidTr="00C11ACA">
        <w:tc>
          <w:tcPr>
            <w:tcW w:w="521" w:type="pct"/>
            <w:shd w:val="clear" w:color="auto" w:fill="D9D9D9"/>
          </w:tcPr>
          <w:p w14:paraId="69358790" w14:textId="77777777" w:rsidR="00C11ACA" w:rsidRPr="006C0823" w:rsidRDefault="00C11ACA" w:rsidP="00F73F4D">
            <w:pPr>
              <w:pStyle w:val="TableHeading"/>
            </w:pPr>
            <w:r w:rsidRPr="006C0823">
              <w:t>Measure</w:t>
            </w:r>
          </w:p>
        </w:tc>
        <w:tc>
          <w:tcPr>
            <w:tcW w:w="4479" w:type="pct"/>
            <w:shd w:val="clear" w:color="auto" w:fill="D9D9D9"/>
          </w:tcPr>
          <w:p w14:paraId="459E7FAC" w14:textId="77777777" w:rsidR="00C11ACA" w:rsidRPr="006C0823" w:rsidRDefault="00C11ACA" w:rsidP="00F73F4D">
            <w:pPr>
              <w:pStyle w:val="TableText"/>
              <w:rPr>
                <w:rFonts w:eastAsia="Times New Roman"/>
              </w:rPr>
            </w:pPr>
            <w:r>
              <w:rPr>
                <w:rFonts w:cs="Arial"/>
              </w:rPr>
              <w:t>Increase the ability for our staff to access CASA information from ‘any device, anywhere, anytime’</w:t>
            </w:r>
          </w:p>
        </w:tc>
      </w:tr>
      <w:tr w:rsidR="00C11ACA" w:rsidRPr="006C0823" w14:paraId="5C772761" w14:textId="77777777" w:rsidTr="00C11ACA">
        <w:tc>
          <w:tcPr>
            <w:tcW w:w="521" w:type="pct"/>
          </w:tcPr>
          <w:p w14:paraId="21724033" w14:textId="77777777" w:rsidR="00C11ACA" w:rsidRPr="006C0823" w:rsidRDefault="00C11ACA" w:rsidP="00F73F4D">
            <w:pPr>
              <w:pStyle w:val="TableHeading"/>
            </w:pPr>
            <w:r w:rsidRPr="006C0823">
              <w:t>Result</w:t>
            </w:r>
          </w:p>
          <w:p w14:paraId="37159C5A" w14:textId="77777777" w:rsidR="00C11ACA" w:rsidRPr="006C0823" w:rsidRDefault="00C11ACA" w:rsidP="00F73F4D">
            <w:pPr>
              <w:pStyle w:val="TableHeading"/>
            </w:pPr>
            <w:r w:rsidRPr="006C0823">
              <w:sym w:font="Wingdings" w:char="F0FC"/>
            </w:r>
            <w:r w:rsidRPr="006C0823">
              <w:sym w:font="Wingdings" w:char="F0FC"/>
            </w:r>
            <w:r w:rsidRPr="006C0823">
              <w:sym w:font="Wingdings" w:char="F0FC"/>
            </w:r>
          </w:p>
        </w:tc>
        <w:tc>
          <w:tcPr>
            <w:tcW w:w="4479" w:type="pct"/>
          </w:tcPr>
          <w:p w14:paraId="531BE889" w14:textId="77777777" w:rsidR="00C11ACA" w:rsidRPr="00E950B8" w:rsidRDefault="00C11ACA" w:rsidP="00F73F4D">
            <w:pPr>
              <w:rPr>
                <w:rFonts w:ascii="Arial Narrow" w:hAnsi="Arial Narrow" w:cs="Arial"/>
                <w:sz w:val="20"/>
              </w:rPr>
            </w:pPr>
            <w:r w:rsidRPr="00E950B8">
              <w:rPr>
                <w:rFonts w:ascii="Arial Narrow" w:hAnsi="Arial Narrow" w:cs="Arial"/>
                <w:sz w:val="20"/>
              </w:rPr>
              <w:t>The CASA end</w:t>
            </w:r>
            <w:r>
              <w:rPr>
                <w:rFonts w:ascii="Arial Narrow" w:hAnsi="Arial Narrow" w:cs="Arial"/>
                <w:sz w:val="20"/>
              </w:rPr>
              <w:t>-</w:t>
            </w:r>
            <w:r w:rsidRPr="00E950B8">
              <w:rPr>
                <w:rFonts w:ascii="Arial Narrow" w:hAnsi="Arial Narrow" w:cs="Arial"/>
                <w:sz w:val="20"/>
              </w:rPr>
              <w:t xml:space="preserve">user computing desktop deployment </w:t>
            </w:r>
            <w:r>
              <w:rPr>
                <w:rFonts w:ascii="Arial Narrow" w:hAnsi="Arial Narrow" w:cs="Arial"/>
                <w:sz w:val="20"/>
              </w:rPr>
              <w:t xml:space="preserve">was completed in May 2018, and </w:t>
            </w:r>
            <w:r w:rsidRPr="00E950B8">
              <w:rPr>
                <w:rFonts w:ascii="Arial Narrow" w:hAnsi="Arial Narrow" w:cs="Arial"/>
                <w:sz w:val="20"/>
              </w:rPr>
              <w:t>improved information access from any device, anywhere,</w:t>
            </w:r>
            <w:r>
              <w:rPr>
                <w:rFonts w:ascii="Arial Narrow" w:hAnsi="Arial Narrow" w:cs="Arial"/>
                <w:sz w:val="20"/>
              </w:rPr>
              <w:t xml:space="preserve"> at</w:t>
            </w:r>
            <w:r w:rsidRPr="00E950B8">
              <w:rPr>
                <w:rFonts w:ascii="Arial Narrow" w:hAnsi="Arial Narrow" w:cs="Arial"/>
                <w:sz w:val="20"/>
              </w:rPr>
              <w:t xml:space="preserve"> any</w:t>
            </w:r>
            <w:r>
              <w:rPr>
                <w:rFonts w:ascii="Arial Narrow" w:hAnsi="Arial Narrow" w:cs="Arial"/>
                <w:sz w:val="20"/>
              </w:rPr>
              <w:t xml:space="preserve"> </w:t>
            </w:r>
            <w:r w:rsidRPr="00E950B8">
              <w:rPr>
                <w:rFonts w:ascii="Arial Narrow" w:hAnsi="Arial Narrow" w:cs="Arial"/>
                <w:sz w:val="20"/>
              </w:rPr>
              <w:t>time.</w:t>
            </w:r>
          </w:p>
          <w:p w14:paraId="70B4A051" w14:textId="77777777" w:rsidR="00C11ACA" w:rsidRPr="006C0823" w:rsidRDefault="00C11ACA" w:rsidP="00F73F4D">
            <w:pPr>
              <w:pStyle w:val="TableText"/>
            </w:pPr>
            <w:r w:rsidRPr="00E950B8">
              <w:rPr>
                <w:rFonts w:cs="Arial"/>
              </w:rPr>
              <w:t>Further options using cloud</w:t>
            </w:r>
            <w:r>
              <w:rPr>
                <w:rFonts w:cs="Arial"/>
              </w:rPr>
              <w:t xml:space="preserve"> computing</w:t>
            </w:r>
            <w:r w:rsidRPr="00E950B8">
              <w:rPr>
                <w:rFonts w:cs="Arial"/>
              </w:rPr>
              <w:t xml:space="preserve"> will be investigated in 2018–19.</w:t>
            </w:r>
          </w:p>
        </w:tc>
      </w:tr>
    </w:tbl>
    <w:p w14:paraId="2163B1AD" w14:textId="77777777" w:rsidR="00C11ACA" w:rsidRPr="006C0823" w:rsidRDefault="00C11ACA" w:rsidP="000F61DE"/>
    <w:p w14:paraId="362CD3DB" w14:textId="77777777" w:rsidR="000F61DE" w:rsidRPr="006C0823" w:rsidRDefault="000F61DE" w:rsidP="000F61DE">
      <w:pPr>
        <w:pStyle w:val="Heading3"/>
        <w:rPr>
          <w:lang w:val="en-GB"/>
        </w:rPr>
      </w:pPr>
      <w:r w:rsidRPr="006C0823">
        <w:rPr>
          <w:lang w:val="en-GB"/>
        </w:rPr>
        <w:t xml:space="preserve">Key performance area </w:t>
      </w:r>
      <w:r>
        <w:rPr>
          <w:lang w:val="en-GB"/>
        </w:rPr>
        <w:t>–</w:t>
      </w:r>
      <w:r w:rsidRPr="006C0823">
        <w:rPr>
          <w:lang w:val="en-GB"/>
        </w:rPr>
        <w:t xml:space="preserve"> CASA’s capability and 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8077"/>
      </w:tblGrid>
      <w:tr w:rsidR="000F61DE" w:rsidRPr="006C0823" w14:paraId="1A21BD17" w14:textId="77777777" w:rsidTr="00A86663">
        <w:tc>
          <w:tcPr>
            <w:tcW w:w="521" w:type="pct"/>
            <w:shd w:val="clear" w:color="auto" w:fill="B8CCE4"/>
          </w:tcPr>
          <w:p w14:paraId="70C85A56" w14:textId="77777777" w:rsidR="000F61DE" w:rsidRPr="006C0823" w:rsidRDefault="000F61DE" w:rsidP="006E2310">
            <w:pPr>
              <w:pStyle w:val="TableHeading"/>
            </w:pPr>
            <w:r w:rsidRPr="006C0823">
              <w:t>Initiative</w:t>
            </w:r>
          </w:p>
          <w:p w14:paraId="513E9704" w14:textId="77777777" w:rsidR="000F61DE" w:rsidRPr="006C0823" w:rsidRDefault="000F61DE" w:rsidP="006E2310">
            <w:pPr>
              <w:pStyle w:val="TableHeading"/>
            </w:pPr>
            <w:r w:rsidRPr="006C0823">
              <w:t>3.</w:t>
            </w:r>
            <w:r>
              <w:t>6</w:t>
            </w:r>
          </w:p>
        </w:tc>
        <w:tc>
          <w:tcPr>
            <w:tcW w:w="4479" w:type="pct"/>
            <w:shd w:val="clear" w:color="auto" w:fill="B8CCE4"/>
          </w:tcPr>
          <w:p w14:paraId="6934655E" w14:textId="77777777" w:rsidR="000F61DE" w:rsidRPr="00387E30" w:rsidRDefault="000F61DE" w:rsidP="006E2310">
            <w:pPr>
              <w:pStyle w:val="TableText"/>
            </w:pPr>
            <w:r w:rsidRPr="00387E30">
              <w:rPr>
                <w:rFonts w:cs="Arial"/>
                <w:b/>
              </w:rPr>
              <w:t>Improve our training and professional development activities to enhance and develop our people</w:t>
            </w:r>
          </w:p>
        </w:tc>
      </w:tr>
      <w:tr w:rsidR="000F61DE" w:rsidRPr="006C0823" w14:paraId="7FEB8493" w14:textId="77777777" w:rsidTr="00A86663">
        <w:tc>
          <w:tcPr>
            <w:tcW w:w="521" w:type="pct"/>
            <w:shd w:val="clear" w:color="auto" w:fill="D9D9D9"/>
          </w:tcPr>
          <w:p w14:paraId="1B5FCB16" w14:textId="77777777" w:rsidR="000F61DE" w:rsidRPr="006C0823" w:rsidRDefault="000F61DE" w:rsidP="006E2310">
            <w:pPr>
              <w:pStyle w:val="TableHeading"/>
            </w:pPr>
            <w:r w:rsidRPr="006C0823">
              <w:t>Measure</w:t>
            </w:r>
          </w:p>
        </w:tc>
        <w:tc>
          <w:tcPr>
            <w:tcW w:w="4479" w:type="pct"/>
            <w:shd w:val="clear" w:color="auto" w:fill="D9D9D9"/>
          </w:tcPr>
          <w:p w14:paraId="44FED984" w14:textId="77777777" w:rsidR="000F61DE" w:rsidRPr="006C0823" w:rsidRDefault="000F61DE" w:rsidP="006E2310">
            <w:pPr>
              <w:pStyle w:val="TableText"/>
            </w:pPr>
            <w:r>
              <w:rPr>
                <w:rFonts w:cs="Arial"/>
              </w:rPr>
              <w:t>C</w:t>
            </w:r>
            <w:r w:rsidRPr="00685553">
              <w:rPr>
                <w:rFonts w:cs="Arial"/>
              </w:rPr>
              <w:t>entralise the management of training and development</w:t>
            </w:r>
          </w:p>
        </w:tc>
      </w:tr>
      <w:tr w:rsidR="000F61DE" w:rsidRPr="006C0823" w14:paraId="33639741" w14:textId="77777777" w:rsidTr="00A86663">
        <w:tc>
          <w:tcPr>
            <w:tcW w:w="521" w:type="pct"/>
          </w:tcPr>
          <w:p w14:paraId="094A03A0" w14:textId="77777777" w:rsidR="000F61DE" w:rsidRPr="006C0823" w:rsidRDefault="000F61DE" w:rsidP="006E2310">
            <w:pPr>
              <w:pStyle w:val="TableHeading"/>
            </w:pPr>
            <w:r w:rsidRPr="006C0823">
              <w:t>Result</w:t>
            </w:r>
          </w:p>
          <w:p w14:paraId="7779CD4A" w14:textId="77777777" w:rsidR="000F61DE" w:rsidRPr="006C0823" w:rsidRDefault="000F61DE" w:rsidP="006E2310">
            <w:pPr>
              <w:pStyle w:val="TableHeading"/>
            </w:pPr>
            <w:r w:rsidRPr="006C0823">
              <w:sym w:font="Wingdings" w:char="F0FC"/>
            </w:r>
            <w:r w:rsidRPr="006C0823">
              <w:sym w:font="Wingdings" w:char="F0FC"/>
            </w:r>
            <w:r w:rsidRPr="006C0823">
              <w:sym w:font="Wingdings" w:char="F0FC"/>
            </w:r>
          </w:p>
        </w:tc>
        <w:tc>
          <w:tcPr>
            <w:tcW w:w="4479" w:type="pct"/>
          </w:tcPr>
          <w:p w14:paraId="16C58A9E" w14:textId="77777777" w:rsidR="000F61DE" w:rsidRPr="006C0823" w:rsidRDefault="000F61DE" w:rsidP="006E2310">
            <w:pPr>
              <w:pStyle w:val="TableText"/>
            </w:pPr>
            <w:r>
              <w:rPr>
                <w:rFonts w:cs="Arial"/>
              </w:rPr>
              <w:t xml:space="preserve">CASA established the </w:t>
            </w:r>
            <w:r w:rsidRPr="002E02F5">
              <w:rPr>
                <w:rFonts w:cs="Arial"/>
              </w:rPr>
              <w:t>Training Branch in July</w:t>
            </w:r>
            <w:r>
              <w:rPr>
                <w:rFonts w:cs="Arial"/>
              </w:rPr>
              <w:t xml:space="preserve"> </w:t>
            </w:r>
            <w:r w:rsidRPr="002E02F5">
              <w:rPr>
                <w:rFonts w:cs="Arial"/>
              </w:rPr>
              <w:t xml:space="preserve">2017 </w:t>
            </w:r>
            <w:r>
              <w:rPr>
                <w:rFonts w:cs="Arial"/>
              </w:rPr>
              <w:t xml:space="preserve">to </w:t>
            </w:r>
            <w:r w:rsidRPr="002E02F5">
              <w:rPr>
                <w:rFonts w:cs="Arial"/>
              </w:rPr>
              <w:t>centralise the management of training and development</w:t>
            </w:r>
            <w:r>
              <w:rPr>
                <w:rFonts w:cs="Arial"/>
              </w:rPr>
              <w:t>,</w:t>
            </w:r>
            <w:r w:rsidRPr="002E02F5">
              <w:rPr>
                <w:rFonts w:cs="Arial"/>
              </w:rPr>
              <w:t xml:space="preserve"> including budgetary control. The </w:t>
            </w:r>
            <w:r>
              <w:rPr>
                <w:rFonts w:cs="Arial"/>
              </w:rPr>
              <w:t>b</w:t>
            </w:r>
            <w:r w:rsidRPr="002E02F5">
              <w:rPr>
                <w:rFonts w:cs="Arial"/>
              </w:rPr>
              <w:t>ranch has developed a single</w:t>
            </w:r>
            <w:r>
              <w:rPr>
                <w:rFonts w:cs="Arial"/>
              </w:rPr>
              <w:t>,</w:t>
            </w:r>
            <w:r w:rsidRPr="002E02F5">
              <w:rPr>
                <w:rFonts w:cs="Arial"/>
              </w:rPr>
              <w:t xml:space="preserve"> overarching </w:t>
            </w:r>
            <w:r>
              <w:rPr>
                <w:rFonts w:cs="Arial"/>
              </w:rPr>
              <w:t>c</w:t>
            </w:r>
            <w:r w:rsidRPr="002E02F5">
              <w:rPr>
                <w:rFonts w:cs="Arial"/>
              </w:rPr>
              <w:t xml:space="preserve">apability </w:t>
            </w:r>
            <w:r>
              <w:rPr>
                <w:rFonts w:cs="Arial"/>
              </w:rPr>
              <w:t>d</w:t>
            </w:r>
            <w:r w:rsidRPr="002E02F5">
              <w:rPr>
                <w:rFonts w:cs="Arial"/>
              </w:rPr>
              <w:t xml:space="preserve">evelopment </w:t>
            </w:r>
            <w:r>
              <w:rPr>
                <w:rFonts w:cs="Arial"/>
              </w:rPr>
              <w:t>f</w:t>
            </w:r>
            <w:r w:rsidRPr="002E02F5">
              <w:rPr>
                <w:rFonts w:cs="Arial"/>
              </w:rPr>
              <w:t xml:space="preserve">ramework and aligned the processes for </w:t>
            </w:r>
            <w:r>
              <w:rPr>
                <w:rFonts w:cs="Arial"/>
              </w:rPr>
              <w:t>developing</w:t>
            </w:r>
            <w:r w:rsidRPr="002E02F5">
              <w:rPr>
                <w:rFonts w:cs="Arial"/>
              </w:rPr>
              <w:t xml:space="preserve"> professional development and </w:t>
            </w:r>
            <w:r>
              <w:rPr>
                <w:rFonts w:cs="Arial"/>
              </w:rPr>
              <w:t>r</w:t>
            </w:r>
            <w:r w:rsidRPr="002E02F5">
              <w:rPr>
                <w:rFonts w:cs="Arial"/>
              </w:rPr>
              <w:t xml:space="preserve">egulatory and </w:t>
            </w:r>
            <w:r>
              <w:rPr>
                <w:rFonts w:cs="Arial"/>
              </w:rPr>
              <w:t>t</w:t>
            </w:r>
            <w:r w:rsidRPr="002E02F5">
              <w:rPr>
                <w:rFonts w:cs="Arial"/>
              </w:rPr>
              <w:t xml:space="preserve">echnical </w:t>
            </w:r>
            <w:r>
              <w:rPr>
                <w:rFonts w:cs="Arial"/>
              </w:rPr>
              <w:t>t</w:t>
            </w:r>
            <w:r w:rsidRPr="002E02F5">
              <w:rPr>
                <w:rFonts w:cs="Arial"/>
              </w:rPr>
              <w:t>raining</w:t>
            </w:r>
            <w:r>
              <w:rPr>
                <w:rFonts w:cs="Arial"/>
              </w:rPr>
              <w:t xml:space="preserve"> opportunities</w:t>
            </w:r>
            <w:r w:rsidRPr="002E02F5">
              <w:rPr>
                <w:rFonts w:cs="Arial"/>
              </w:rPr>
              <w:t>.</w:t>
            </w:r>
          </w:p>
        </w:tc>
      </w:tr>
      <w:tr w:rsidR="000F61DE" w:rsidRPr="006C0823" w14:paraId="75130120" w14:textId="77777777" w:rsidTr="00A86663">
        <w:tc>
          <w:tcPr>
            <w:tcW w:w="521" w:type="pct"/>
            <w:shd w:val="clear" w:color="auto" w:fill="D9D9D9"/>
          </w:tcPr>
          <w:p w14:paraId="0EAE79E0" w14:textId="77777777" w:rsidR="000F61DE" w:rsidRPr="006C0823" w:rsidRDefault="000F61DE" w:rsidP="006E2310">
            <w:pPr>
              <w:pStyle w:val="TableHeading"/>
            </w:pPr>
            <w:r w:rsidRPr="006C0823">
              <w:t>Measure</w:t>
            </w:r>
          </w:p>
        </w:tc>
        <w:tc>
          <w:tcPr>
            <w:tcW w:w="4479" w:type="pct"/>
            <w:shd w:val="clear" w:color="auto" w:fill="D9D9D9"/>
          </w:tcPr>
          <w:p w14:paraId="56863102" w14:textId="77777777" w:rsidR="000F61DE" w:rsidRPr="006C0823" w:rsidRDefault="000F61DE" w:rsidP="006E2310">
            <w:pPr>
              <w:pStyle w:val="TableText"/>
            </w:pPr>
            <w:r>
              <w:rPr>
                <w:rFonts w:cs="Arial"/>
              </w:rPr>
              <w:t>E</w:t>
            </w:r>
            <w:r w:rsidRPr="00685553">
              <w:rPr>
                <w:rFonts w:cs="Arial"/>
              </w:rPr>
              <w:t xml:space="preserve">stablish a </w:t>
            </w:r>
            <w:r>
              <w:rPr>
                <w:rFonts w:cs="Arial"/>
              </w:rPr>
              <w:t>l</w:t>
            </w:r>
            <w:r w:rsidRPr="00685553">
              <w:rPr>
                <w:rFonts w:cs="Arial"/>
              </w:rPr>
              <w:t xml:space="preserve">earning </w:t>
            </w:r>
            <w:r>
              <w:rPr>
                <w:rFonts w:cs="Arial"/>
              </w:rPr>
              <w:t>a</w:t>
            </w:r>
            <w:r w:rsidRPr="00685553">
              <w:rPr>
                <w:rFonts w:cs="Arial"/>
              </w:rPr>
              <w:t xml:space="preserve">dvisory </w:t>
            </w:r>
            <w:r>
              <w:rPr>
                <w:rFonts w:cs="Arial"/>
              </w:rPr>
              <w:t>p</w:t>
            </w:r>
            <w:r w:rsidRPr="00685553">
              <w:rPr>
                <w:rFonts w:cs="Arial"/>
              </w:rPr>
              <w:t xml:space="preserve">anel comprised of stakeholders from each functional area of CASA to report </w:t>
            </w:r>
            <w:r>
              <w:rPr>
                <w:rFonts w:cs="Arial"/>
              </w:rPr>
              <w:t>to CASA’s executive team</w:t>
            </w:r>
          </w:p>
        </w:tc>
      </w:tr>
      <w:tr w:rsidR="000F61DE" w:rsidRPr="006C0823" w14:paraId="456E0EA0" w14:textId="77777777" w:rsidTr="00A86663">
        <w:tc>
          <w:tcPr>
            <w:tcW w:w="521" w:type="pct"/>
          </w:tcPr>
          <w:p w14:paraId="751F1BF0" w14:textId="77777777" w:rsidR="000F61DE" w:rsidRPr="006C0823" w:rsidRDefault="000F61DE" w:rsidP="006E2310">
            <w:pPr>
              <w:pStyle w:val="TableHeading"/>
            </w:pPr>
            <w:r w:rsidRPr="006C0823">
              <w:t>Result</w:t>
            </w:r>
          </w:p>
          <w:p w14:paraId="457FB502" w14:textId="77777777" w:rsidR="000F61DE" w:rsidRPr="006C0823" w:rsidRDefault="000F61DE" w:rsidP="006E2310">
            <w:pPr>
              <w:pStyle w:val="TableHeading"/>
              <w:rPr>
                <w:highlight w:val="yellow"/>
              </w:rPr>
            </w:pPr>
            <w:r w:rsidRPr="006C0823">
              <w:sym w:font="Wingdings" w:char="F0FC"/>
            </w:r>
            <w:r w:rsidRPr="006C0823">
              <w:sym w:font="Wingdings" w:char="F0FC"/>
            </w:r>
            <w:r w:rsidRPr="006C0823">
              <w:sym w:font="Wingdings" w:char="F0FC"/>
            </w:r>
          </w:p>
        </w:tc>
        <w:tc>
          <w:tcPr>
            <w:tcW w:w="4479" w:type="pct"/>
          </w:tcPr>
          <w:p w14:paraId="4F4FDA14" w14:textId="77777777" w:rsidR="000F61DE" w:rsidRPr="006C0823" w:rsidRDefault="000F61DE" w:rsidP="006E2310">
            <w:pPr>
              <w:pStyle w:val="TableText"/>
              <w:rPr>
                <w:rFonts w:eastAsia="Times New Roman"/>
              </w:rPr>
            </w:pPr>
            <w:r w:rsidRPr="00A91454">
              <w:rPr>
                <w:rFonts w:cs="Arial"/>
              </w:rPr>
              <w:t xml:space="preserve">The Learning Advisory Panel </w:t>
            </w:r>
            <w:r>
              <w:rPr>
                <w:rFonts w:cs="Arial"/>
              </w:rPr>
              <w:t>was</w:t>
            </w:r>
            <w:r w:rsidRPr="00A91454">
              <w:rPr>
                <w:rFonts w:cs="Arial"/>
              </w:rPr>
              <w:t xml:space="preserve"> </w:t>
            </w:r>
            <w:r>
              <w:rPr>
                <w:rFonts w:cs="Arial"/>
              </w:rPr>
              <w:t>e</w:t>
            </w:r>
            <w:r w:rsidRPr="00A91454">
              <w:rPr>
                <w:rFonts w:cs="Arial"/>
              </w:rPr>
              <w:t>stablished</w:t>
            </w:r>
            <w:r>
              <w:rPr>
                <w:rFonts w:cs="Arial"/>
              </w:rPr>
              <w:t xml:space="preserve"> in July 2017 and has been integrated into the organisational governance structure. The panel reports to the People Committee.</w:t>
            </w:r>
          </w:p>
        </w:tc>
      </w:tr>
      <w:tr w:rsidR="000F61DE" w:rsidRPr="006C0823" w14:paraId="460AC715" w14:textId="77777777" w:rsidTr="00A86663">
        <w:tc>
          <w:tcPr>
            <w:tcW w:w="521" w:type="pct"/>
            <w:shd w:val="clear" w:color="auto" w:fill="B8CCE4"/>
          </w:tcPr>
          <w:p w14:paraId="2A33F667" w14:textId="77777777" w:rsidR="000F61DE" w:rsidRPr="006C0823" w:rsidRDefault="000F61DE" w:rsidP="006E2310">
            <w:pPr>
              <w:pStyle w:val="TableHeading"/>
            </w:pPr>
            <w:r w:rsidRPr="006C0823">
              <w:t>Initiative</w:t>
            </w:r>
          </w:p>
          <w:p w14:paraId="2680A4F0" w14:textId="77777777" w:rsidR="000F61DE" w:rsidRPr="006C0823" w:rsidRDefault="000F61DE" w:rsidP="006E2310">
            <w:pPr>
              <w:pStyle w:val="TableHeading"/>
            </w:pPr>
            <w:r w:rsidRPr="006C0823">
              <w:t>3.</w:t>
            </w:r>
            <w:r>
              <w:t>7</w:t>
            </w:r>
          </w:p>
        </w:tc>
        <w:tc>
          <w:tcPr>
            <w:tcW w:w="4479" w:type="pct"/>
            <w:shd w:val="clear" w:color="auto" w:fill="B8CCE4"/>
          </w:tcPr>
          <w:p w14:paraId="304444A9" w14:textId="77777777" w:rsidR="000F61DE" w:rsidRPr="00387E30" w:rsidRDefault="000F61DE" w:rsidP="006E2310">
            <w:pPr>
              <w:pStyle w:val="TableText"/>
              <w:rPr>
                <w:rFonts w:eastAsia="Times New Roman"/>
              </w:rPr>
            </w:pPr>
            <w:r w:rsidRPr="00387E30">
              <w:rPr>
                <w:b/>
              </w:rPr>
              <w:t>Continue to maintain sound financial management</w:t>
            </w:r>
          </w:p>
        </w:tc>
      </w:tr>
      <w:tr w:rsidR="000F61DE" w:rsidRPr="006C0823" w14:paraId="29C52B02" w14:textId="77777777" w:rsidTr="00A86663">
        <w:tc>
          <w:tcPr>
            <w:tcW w:w="521" w:type="pct"/>
            <w:shd w:val="clear" w:color="auto" w:fill="D9D9D9"/>
          </w:tcPr>
          <w:p w14:paraId="2684599B" w14:textId="77777777" w:rsidR="000F61DE" w:rsidRPr="006C0823" w:rsidRDefault="000F61DE" w:rsidP="006E2310">
            <w:pPr>
              <w:pStyle w:val="TableHeading"/>
            </w:pPr>
            <w:r w:rsidRPr="006C0823">
              <w:t>Measure</w:t>
            </w:r>
          </w:p>
        </w:tc>
        <w:tc>
          <w:tcPr>
            <w:tcW w:w="4479" w:type="pct"/>
            <w:shd w:val="clear" w:color="auto" w:fill="D9D9D9"/>
          </w:tcPr>
          <w:p w14:paraId="3E6E5524" w14:textId="77777777" w:rsidR="000F61DE" w:rsidRPr="006C0823" w:rsidRDefault="000F61DE" w:rsidP="006E2310">
            <w:pPr>
              <w:pStyle w:val="TableText"/>
              <w:rPr>
                <w:rFonts w:eastAsia="Times New Roman"/>
              </w:rPr>
            </w:pPr>
            <w:r>
              <w:t>Revise our funding profile in response to revenue and other emerging pressures</w:t>
            </w:r>
          </w:p>
        </w:tc>
      </w:tr>
      <w:tr w:rsidR="000F61DE" w:rsidRPr="006C0823" w14:paraId="59F76D2A" w14:textId="77777777" w:rsidTr="00A86663">
        <w:tc>
          <w:tcPr>
            <w:tcW w:w="521" w:type="pct"/>
            <w:shd w:val="clear" w:color="auto" w:fill="FFFFFF"/>
          </w:tcPr>
          <w:p w14:paraId="0C0FB8E8" w14:textId="77777777" w:rsidR="000F61DE" w:rsidRPr="006C0823" w:rsidRDefault="000F61DE" w:rsidP="006E2310">
            <w:pPr>
              <w:pStyle w:val="TableHeading"/>
            </w:pPr>
            <w:r w:rsidRPr="006C0823">
              <w:t>Result</w:t>
            </w:r>
          </w:p>
          <w:p w14:paraId="52355334" w14:textId="77777777" w:rsidR="000F61DE" w:rsidRPr="006C0823" w:rsidRDefault="000F61DE" w:rsidP="006E2310">
            <w:pPr>
              <w:pStyle w:val="TableHeading"/>
            </w:pPr>
            <w:r w:rsidRPr="006C0823">
              <w:sym w:font="Wingdings" w:char="F0FC"/>
            </w:r>
            <w:r w:rsidRPr="006C0823">
              <w:sym w:font="Wingdings" w:char="F0FC"/>
            </w:r>
            <w:r w:rsidRPr="006C0823">
              <w:sym w:font="Wingdings" w:char="F0FC"/>
            </w:r>
          </w:p>
        </w:tc>
        <w:tc>
          <w:tcPr>
            <w:tcW w:w="4479" w:type="pct"/>
            <w:shd w:val="clear" w:color="auto" w:fill="FFFFFF"/>
          </w:tcPr>
          <w:p w14:paraId="62C5D133" w14:textId="77777777" w:rsidR="000F61DE" w:rsidRPr="006C0823" w:rsidRDefault="000F61DE" w:rsidP="006E2310">
            <w:pPr>
              <w:pStyle w:val="TableText"/>
              <w:rPr>
                <w:rFonts w:eastAsia="Times New Roman"/>
              </w:rPr>
            </w:pPr>
            <w:r w:rsidRPr="002144A3">
              <w:rPr>
                <w:rFonts w:cs="Arial"/>
              </w:rPr>
              <w:t xml:space="preserve">CASA provided an alternative funding profile to </w:t>
            </w:r>
            <w:r>
              <w:rPr>
                <w:rFonts w:cs="Arial"/>
              </w:rPr>
              <w:t xml:space="preserve">the </w:t>
            </w:r>
            <w:r w:rsidRPr="002144A3">
              <w:rPr>
                <w:rFonts w:cs="Arial"/>
              </w:rPr>
              <w:t>Department</w:t>
            </w:r>
            <w:r>
              <w:rPr>
                <w:rFonts w:cs="Arial"/>
              </w:rPr>
              <w:t xml:space="preserve"> of</w:t>
            </w:r>
            <w:r w:rsidRPr="002144A3">
              <w:rPr>
                <w:rFonts w:cs="Arial"/>
              </w:rPr>
              <w:t xml:space="preserve"> Infrastructure, Regional Development and Cities</w:t>
            </w:r>
            <w:r w:rsidR="00A63645">
              <w:rPr>
                <w:rFonts w:cs="Arial"/>
              </w:rPr>
              <w:t xml:space="preserve"> for</w:t>
            </w:r>
            <w:r w:rsidRPr="002144A3">
              <w:rPr>
                <w:rFonts w:cs="Arial"/>
              </w:rPr>
              <w:t xml:space="preserve"> </w:t>
            </w:r>
            <w:r>
              <w:rPr>
                <w:rFonts w:cs="Arial"/>
              </w:rPr>
              <w:t>incorporation into the department’s submission on</w:t>
            </w:r>
            <w:r w:rsidRPr="002144A3">
              <w:rPr>
                <w:rFonts w:cs="Arial"/>
              </w:rPr>
              <w:t xml:space="preserve"> </w:t>
            </w:r>
            <w:r>
              <w:rPr>
                <w:rFonts w:cs="Arial"/>
              </w:rPr>
              <w:t xml:space="preserve">the Mid-Year Economic and Fiscal Outlook in </w:t>
            </w:r>
            <w:r w:rsidRPr="002144A3">
              <w:rPr>
                <w:rFonts w:cs="Arial"/>
              </w:rPr>
              <w:t>October 2018.</w:t>
            </w:r>
          </w:p>
        </w:tc>
      </w:tr>
      <w:tr w:rsidR="000F61DE" w:rsidRPr="006C0823" w14:paraId="1985494E" w14:textId="77777777" w:rsidTr="00A86663">
        <w:tc>
          <w:tcPr>
            <w:tcW w:w="521" w:type="pct"/>
            <w:shd w:val="clear" w:color="auto" w:fill="D9D9D9"/>
          </w:tcPr>
          <w:p w14:paraId="0423C3B8" w14:textId="77777777" w:rsidR="000F61DE" w:rsidRPr="006C0823" w:rsidRDefault="000F61DE" w:rsidP="006E2310">
            <w:pPr>
              <w:pStyle w:val="TableHeading"/>
            </w:pPr>
            <w:r w:rsidRPr="006C0823">
              <w:t>Measure</w:t>
            </w:r>
          </w:p>
        </w:tc>
        <w:tc>
          <w:tcPr>
            <w:tcW w:w="4479" w:type="pct"/>
            <w:shd w:val="clear" w:color="auto" w:fill="D9D9D9"/>
          </w:tcPr>
          <w:p w14:paraId="6B182D0D" w14:textId="77777777" w:rsidR="000F61DE" w:rsidRPr="006C0823" w:rsidRDefault="000F61DE" w:rsidP="006E2310">
            <w:pPr>
              <w:pStyle w:val="TableText"/>
              <w:rPr>
                <w:rFonts w:eastAsia="Times New Roman"/>
              </w:rPr>
            </w:pPr>
            <w:r>
              <w:t>Consult with stakeholders on simplified cost recovery arrangements</w:t>
            </w:r>
          </w:p>
        </w:tc>
      </w:tr>
      <w:tr w:rsidR="000F61DE" w:rsidRPr="006C0823" w14:paraId="5BD63458" w14:textId="77777777" w:rsidTr="00A86663">
        <w:tc>
          <w:tcPr>
            <w:tcW w:w="521" w:type="pct"/>
          </w:tcPr>
          <w:p w14:paraId="2959F94C" w14:textId="77777777" w:rsidR="000F61DE" w:rsidRPr="006C0823" w:rsidRDefault="000F61DE" w:rsidP="006E2310">
            <w:pPr>
              <w:pStyle w:val="TableHeading"/>
            </w:pPr>
            <w:r w:rsidRPr="006C0823">
              <w:t>Result</w:t>
            </w:r>
          </w:p>
          <w:p w14:paraId="7BBDA8C8" w14:textId="77777777" w:rsidR="000F61DE" w:rsidRPr="006C0823" w:rsidRDefault="000F61DE" w:rsidP="006E2310">
            <w:pPr>
              <w:pStyle w:val="TableHeading"/>
            </w:pPr>
            <w:r w:rsidRPr="006C0823">
              <w:sym w:font="Wingdings" w:char="F0FC"/>
            </w:r>
            <w:r w:rsidRPr="006C0823">
              <w:sym w:font="Wingdings" w:char="F0FC"/>
            </w:r>
          </w:p>
        </w:tc>
        <w:tc>
          <w:tcPr>
            <w:tcW w:w="4479" w:type="pct"/>
          </w:tcPr>
          <w:p w14:paraId="3600E822" w14:textId="77777777" w:rsidR="000F61DE" w:rsidRPr="006C0823" w:rsidRDefault="000F61DE" w:rsidP="006E2310">
            <w:pPr>
              <w:pStyle w:val="TableText"/>
            </w:pPr>
            <w:r>
              <w:rPr>
                <w:rFonts w:cs="Arial"/>
              </w:rPr>
              <w:t>CASA</w:t>
            </w:r>
            <w:r w:rsidRPr="00A91454">
              <w:rPr>
                <w:rFonts w:cs="Arial"/>
              </w:rPr>
              <w:t xml:space="preserve"> is develop</w:t>
            </w:r>
            <w:r>
              <w:rPr>
                <w:rFonts w:cs="Arial"/>
              </w:rPr>
              <w:t>ing</w:t>
            </w:r>
            <w:r w:rsidRPr="00A91454">
              <w:rPr>
                <w:rFonts w:cs="Arial"/>
              </w:rPr>
              <w:t xml:space="preserve"> simplified cost recovery arrangements by reducing the number of fee</w:t>
            </w:r>
            <w:r>
              <w:rPr>
                <w:rFonts w:cs="Arial"/>
              </w:rPr>
              <w:t xml:space="preserve"> type</w:t>
            </w:r>
            <w:r w:rsidRPr="00A91454">
              <w:rPr>
                <w:rFonts w:cs="Arial"/>
              </w:rPr>
              <w:t xml:space="preserve">s to approximately 100 and </w:t>
            </w:r>
            <w:r>
              <w:rPr>
                <w:rFonts w:cs="Arial"/>
              </w:rPr>
              <w:t xml:space="preserve">fixing the prices of </w:t>
            </w:r>
            <w:r w:rsidRPr="00A91454">
              <w:rPr>
                <w:rFonts w:cs="Arial"/>
              </w:rPr>
              <w:t xml:space="preserve">as many fees as </w:t>
            </w:r>
            <w:r>
              <w:rPr>
                <w:rFonts w:cs="Arial"/>
              </w:rPr>
              <w:t>possible. New fixed fees are approaching finalisation: internal consultation is expected to commence in August 2018 and external consultation will commence shortly after.</w:t>
            </w:r>
          </w:p>
        </w:tc>
      </w:tr>
    </w:tbl>
    <w:p w14:paraId="43A3058F" w14:textId="77777777" w:rsidR="008A5F46" w:rsidRPr="008A5F46" w:rsidRDefault="005F6B8C" w:rsidP="008A5F46">
      <w:pPr>
        <w:pStyle w:val="Heading3"/>
        <w:rPr>
          <w:rFonts w:cs="Calibri"/>
          <w:szCs w:val="24"/>
          <w:lang w:val="en-GB"/>
        </w:rPr>
      </w:pPr>
      <w:r>
        <w:rPr>
          <w:rFonts w:cs="Calibri"/>
          <w:szCs w:val="24"/>
          <w:lang w:val="en-GB"/>
        </w:rPr>
        <w:t>K</w:t>
      </w:r>
      <w:r w:rsidR="008A5F46" w:rsidRPr="008A5F46">
        <w:rPr>
          <w:rFonts w:cs="Calibri"/>
          <w:szCs w:val="24"/>
          <w:lang w:val="en-GB"/>
        </w:rPr>
        <w:t>ey performance indicators</w:t>
      </w:r>
    </w:p>
    <w:p w14:paraId="601926E0" w14:textId="77777777" w:rsidR="00876069" w:rsidRDefault="00876069" w:rsidP="008A5F46">
      <w:pPr>
        <w:rPr>
          <w:szCs w:val="24"/>
        </w:rPr>
      </w:pPr>
      <w:r w:rsidRPr="0023665C">
        <w:rPr>
          <w:szCs w:val="24"/>
        </w:rPr>
        <w:t>CASA reports against 10 KPIs which are supported by performance measures and quantitative metrics</w:t>
      </w:r>
      <w:r>
        <w:rPr>
          <w:szCs w:val="24"/>
        </w:rPr>
        <w:t xml:space="preserve"> set out in the </w:t>
      </w:r>
      <w:r w:rsidR="00A63645">
        <w:rPr>
          <w:szCs w:val="24"/>
        </w:rPr>
        <w:t xml:space="preserve">CASA </w:t>
      </w:r>
      <w:r w:rsidRPr="00A63645">
        <w:rPr>
          <w:i/>
          <w:szCs w:val="24"/>
        </w:rPr>
        <w:t>Corporate Plan 2017–18</w:t>
      </w:r>
      <w:r w:rsidRPr="0023665C">
        <w:rPr>
          <w:szCs w:val="24"/>
        </w:rPr>
        <w:t xml:space="preserve">. </w:t>
      </w:r>
    </w:p>
    <w:p w14:paraId="3FF536BE" w14:textId="2D666154" w:rsidR="00876069" w:rsidRDefault="00876069" w:rsidP="008A5F46">
      <w:pPr>
        <w:rPr>
          <w:szCs w:val="24"/>
        </w:rPr>
      </w:pPr>
      <w:r>
        <w:rPr>
          <w:szCs w:val="24"/>
        </w:rPr>
        <w:t xml:space="preserve">CASA’s performance in relation to Goal 3 is measured against KPIs 9 and 10, as shown in Table </w:t>
      </w:r>
      <w:r w:rsidR="0050220E">
        <w:rPr>
          <w:szCs w:val="24"/>
        </w:rPr>
        <w:t>4</w:t>
      </w:r>
      <w:r>
        <w:rPr>
          <w:szCs w:val="24"/>
        </w:rPr>
        <w:t>.</w:t>
      </w:r>
    </w:p>
    <w:p w14:paraId="4FFABF37" w14:textId="6D3806DA" w:rsidR="00320266" w:rsidRDefault="00320266">
      <w:pPr>
        <w:spacing w:after="0"/>
        <w:rPr>
          <w:szCs w:val="24"/>
        </w:rPr>
      </w:pPr>
      <w:r>
        <w:rPr>
          <w:szCs w:val="24"/>
        </w:rPr>
        <w:br w:type="page"/>
      </w:r>
    </w:p>
    <w:p w14:paraId="3D41E8EC" w14:textId="77777777" w:rsidR="002B4A43" w:rsidRPr="00E35B2E" w:rsidRDefault="002B4A43" w:rsidP="002B4A43">
      <w:pPr>
        <w:rPr>
          <w:rFonts w:ascii="Arial Narrow" w:hAnsi="Arial Narrow"/>
          <w:color w:val="4472C4" w:themeColor="accent1"/>
          <w:sz w:val="20"/>
        </w:rPr>
      </w:pPr>
      <w:r w:rsidRPr="00E35B2E">
        <w:rPr>
          <w:rFonts w:ascii="Arial Narrow" w:hAnsi="Arial Narrow"/>
          <w:b/>
          <w:color w:val="4472C4" w:themeColor="accent1"/>
          <w:sz w:val="22"/>
          <w:szCs w:val="22"/>
          <w:u w:color="0099CC"/>
        </w:rPr>
        <w:lastRenderedPageBreak/>
        <w:t xml:space="preserve">Table </w:t>
      </w:r>
      <w:r w:rsidR="0050220E" w:rsidRPr="00E35B2E">
        <w:rPr>
          <w:rFonts w:ascii="Arial Narrow" w:hAnsi="Arial Narrow"/>
          <w:b/>
          <w:color w:val="4472C4" w:themeColor="accent1"/>
          <w:sz w:val="22"/>
          <w:szCs w:val="22"/>
          <w:u w:color="0099CC"/>
        </w:rPr>
        <w:t>4</w:t>
      </w:r>
      <w:r w:rsidRPr="00E35B2E">
        <w:rPr>
          <w:rFonts w:ascii="Arial Narrow" w:hAnsi="Arial Narrow"/>
          <w:b/>
          <w:color w:val="4472C4" w:themeColor="accent1"/>
          <w:sz w:val="22"/>
          <w:szCs w:val="22"/>
          <w:u w:color="0099CC"/>
        </w:rPr>
        <w:tab/>
      </w:r>
      <w:r w:rsidRPr="00E35B2E">
        <w:rPr>
          <w:rFonts w:ascii="Arial Narrow" w:hAnsi="Arial Narrow"/>
          <w:b/>
          <w:color w:val="4472C4" w:themeColor="accent1"/>
          <w:sz w:val="22"/>
          <w:szCs w:val="22"/>
          <w:u w:color="0099CC"/>
        </w:rPr>
        <w:tab/>
        <w:t xml:space="preserve">Performance summary against </w:t>
      </w:r>
      <w:r w:rsidR="005F6B8C" w:rsidRPr="00E35B2E">
        <w:rPr>
          <w:rFonts w:ascii="Arial Narrow" w:hAnsi="Arial Narrow"/>
          <w:b/>
          <w:color w:val="4472C4" w:themeColor="accent1"/>
          <w:sz w:val="22"/>
          <w:szCs w:val="22"/>
          <w:u w:color="0099CC"/>
        </w:rPr>
        <w:t>key performance indicator</w:t>
      </w:r>
      <w:r w:rsidRPr="00E35B2E">
        <w:rPr>
          <w:rFonts w:ascii="Arial Narrow" w:hAnsi="Arial Narrow"/>
          <w:b/>
          <w:color w:val="4472C4" w:themeColor="accent1"/>
          <w:sz w:val="22"/>
          <w:szCs w:val="22"/>
          <w:u w:color="0099CC"/>
        </w:rPr>
        <w:t>s 9 to 10, 2017–18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491"/>
        <w:gridCol w:w="4464"/>
      </w:tblGrid>
      <w:tr w:rsidR="008A5F46" w:rsidRPr="0016175C" w14:paraId="2E99B129" w14:textId="77777777" w:rsidTr="00D6772E">
        <w:trPr>
          <w:tblHeader/>
        </w:trPr>
        <w:tc>
          <w:tcPr>
            <w:tcW w:w="2346" w:type="dxa"/>
            <w:shd w:val="clear" w:color="auto" w:fill="auto"/>
          </w:tcPr>
          <w:p w14:paraId="24916DAB" w14:textId="77777777" w:rsidR="008A5F46" w:rsidRPr="0016175C" w:rsidRDefault="008A5F46" w:rsidP="00876069">
            <w:pPr>
              <w:rPr>
                <w:rFonts w:ascii="Arial Narrow" w:hAnsi="Arial Narrow"/>
                <w:b/>
                <w:sz w:val="20"/>
              </w:rPr>
            </w:pPr>
            <w:r w:rsidRPr="0016175C">
              <w:rPr>
                <w:rFonts w:ascii="Arial Narrow" w:hAnsi="Arial Narrow"/>
                <w:b/>
                <w:sz w:val="20"/>
              </w:rPr>
              <w:t>K</w:t>
            </w:r>
            <w:r w:rsidR="00876069">
              <w:rPr>
                <w:rFonts w:ascii="Arial Narrow" w:hAnsi="Arial Narrow"/>
                <w:b/>
                <w:sz w:val="20"/>
              </w:rPr>
              <w:t>ey performance indicator</w:t>
            </w:r>
          </w:p>
        </w:tc>
        <w:tc>
          <w:tcPr>
            <w:tcW w:w="2843" w:type="dxa"/>
            <w:shd w:val="clear" w:color="auto" w:fill="auto"/>
          </w:tcPr>
          <w:p w14:paraId="7A28FAFB" w14:textId="77777777" w:rsidR="008A5F46" w:rsidRPr="0016175C" w:rsidRDefault="008A5F46" w:rsidP="0016175C">
            <w:pPr>
              <w:rPr>
                <w:rFonts w:ascii="Arial Narrow" w:hAnsi="Arial Narrow"/>
                <w:b/>
                <w:sz w:val="20"/>
              </w:rPr>
            </w:pPr>
            <w:r w:rsidRPr="0016175C">
              <w:rPr>
                <w:rFonts w:ascii="Arial Narrow" w:hAnsi="Arial Narrow"/>
                <w:b/>
                <w:sz w:val="20"/>
              </w:rPr>
              <w:t>Performance measures</w:t>
            </w:r>
          </w:p>
        </w:tc>
        <w:tc>
          <w:tcPr>
            <w:tcW w:w="5125" w:type="dxa"/>
            <w:shd w:val="clear" w:color="auto" w:fill="auto"/>
          </w:tcPr>
          <w:p w14:paraId="1131626D" w14:textId="77777777" w:rsidR="008A5F46" w:rsidRPr="0016175C" w:rsidRDefault="008A5F46" w:rsidP="0016175C">
            <w:pPr>
              <w:rPr>
                <w:rFonts w:ascii="Arial Narrow" w:hAnsi="Arial Narrow"/>
                <w:b/>
                <w:sz w:val="20"/>
              </w:rPr>
            </w:pPr>
            <w:r w:rsidRPr="0016175C">
              <w:rPr>
                <w:rFonts w:ascii="Arial Narrow" w:hAnsi="Arial Narrow"/>
                <w:b/>
                <w:sz w:val="20"/>
              </w:rPr>
              <w:t xml:space="preserve">Performance summary </w:t>
            </w:r>
          </w:p>
        </w:tc>
      </w:tr>
      <w:tr w:rsidR="008A5F46" w:rsidRPr="0016175C" w14:paraId="28B14B2B" w14:textId="77777777" w:rsidTr="00426FA6">
        <w:tc>
          <w:tcPr>
            <w:tcW w:w="2346" w:type="dxa"/>
            <w:shd w:val="clear" w:color="auto" w:fill="auto"/>
          </w:tcPr>
          <w:p w14:paraId="592E4942" w14:textId="77777777" w:rsidR="008A5F46" w:rsidRPr="0016175C" w:rsidRDefault="008A5F46" w:rsidP="0016175C">
            <w:pPr>
              <w:pStyle w:val="ListParagraph"/>
              <w:spacing w:after="0"/>
              <w:ind w:left="0"/>
              <w:rPr>
                <w:rFonts w:ascii="Arial Narrow" w:hAnsi="Arial Narrow"/>
                <w:color w:val="000000"/>
                <w:sz w:val="20"/>
                <w:szCs w:val="20"/>
                <w:lang w:eastAsia="en-AU"/>
              </w:rPr>
            </w:pPr>
            <w:r w:rsidRPr="00426FA6">
              <w:rPr>
                <w:rFonts w:ascii="Arial Narrow" w:hAnsi="Arial Narrow"/>
                <w:sz w:val="20"/>
              </w:rPr>
              <w:t>9</w:t>
            </w:r>
            <w:r w:rsidR="00426FA6">
              <w:rPr>
                <w:rFonts w:ascii="Arial Narrow" w:hAnsi="Arial Narrow"/>
                <w:b/>
                <w:sz w:val="20"/>
              </w:rPr>
              <w:t>.</w:t>
            </w:r>
            <w:r w:rsidRPr="0016175C">
              <w:rPr>
                <w:rFonts w:ascii="Arial Narrow" w:hAnsi="Arial Narrow"/>
                <w:b/>
                <w:sz w:val="20"/>
              </w:rPr>
              <w:t xml:space="preserve"> </w:t>
            </w:r>
            <w:r w:rsidRPr="0016175C">
              <w:rPr>
                <w:rFonts w:ascii="Arial Narrow" w:hAnsi="Arial Narrow" w:cs="Arial"/>
                <w:sz w:val="20"/>
              </w:rPr>
              <w:t>CASA’s governance structures, finance and risk management aligned with Commonwealth better practice</w:t>
            </w:r>
          </w:p>
        </w:tc>
        <w:tc>
          <w:tcPr>
            <w:tcW w:w="2843" w:type="dxa"/>
            <w:shd w:val="clear" w:color="auto" w:fill="auto"/>
          </w:tcPr>
          <w:p w14:paraId="5FBD613C" w14:textId="77777777" w:rsidR="008A5F46" w:rsidRPr="0016175C" w:rsidRDefault="008A5F46" w:rsidP="008A5F46">
            <w:pPr>
              <w:rPr>
                <w:rFonts w:ascii="Arial Narrow" w:eastAsia="Times New Roman" w:hAnsi="Arial Narrow"/>
                <w:b/>
                <w:color w:val="000000"/>
                <w:sz w:val="20"/>
                <w:u w:val="single"/>
                <w:lang w:eastAsia="en-AU"/>
              </w:rPr>
            </w:pPr>
            <w:r w:rsidRPr="0016175C">
              <w:rPr>
                <w:rFonts w:ascii="Arial Narrow" w:eastAsia="Times New Roman" w:hAnsi="Arial Narrow"/>
                <w:color w:val="000000"/>
                <w:sz w:val="20"/>
                <w:lang w:eastAsia="en-AU"/>
              </w:rPr>
              <w:t>9a. CASA placed in the top quartile of agencies in the Comcover annual risk management benchmarking survey</w:t>
            </w:r>
            <w:r w:rsidRPr="0016175C">
              <w:rPr>
                <w:rFonts w:ascii="Arial Narrow" w:eastAsia="Times New Roman" w:hAnsi="Arial Narrow"/>
                <w:b/>
                <w:color w:val="000000"/>
                <w:sz w:val="20"/>
                <w:u w:val="single"/>
                <w:lang w:eastAsia="en-AU"/>
              </w:rPr>
              <w:t xml:space="preserve"> </w:t>
            </w:r>
          </w:p>
          <w:p w14:paraId="7F482916" w14:textId="77777777" w:rsidR="008A5F46" w:rsidRPr="0016175C" w:rsidRDefault="008A5F46" w:rsidP="008A5F46">
            <w:pPr>
              <w:rPr>
                <w:rFonts w:ascii="Arial Narrow" w:eastAsia="Times New Roman" w:hAnsi="Arial Narrow"/>
                <w:color w:val="000000"/>
                <w:sz w:val="20"/>
                <w:lang w:eastAsia="en-AU"/>
              </w:rPr>
            </w:pPr>
            <w:r w:rsidRPr="0016175C">
              <w:rPr>
                <w:rFonts w:ascii="Arial Narrow" w:eastAsia="Times New Roman" w:hAnsi="Arial Narrow"/>
                <w:color w:val="000000"/>
                <w:sz w:val="20"/>
                <w:lang w:eastAsia="en-AU"/>
              </w:rPr>
              <w:t xml:space="preserve">9b. </w:t>
            </w:r>
            <w:r w:rsidRPr="0016175C">
              <w:rPr>
                <w:rFonts w:ascii="Arial Narrow" w:hAnsi="Arial Narrow"/>
                <w:sz w:val="20"/>
              </w:rPr>
              <w:t>Being mindful of CASA’s statutory framework, alignment of governance framework and policies with Australian National Audit Office better practice</w:t>
            </w:r>
          </w:p>
          <w:p w14:paraId="0E5D3F96" w14:textId="77777777" w:rsidR="008A5F46" w:rsidRPr="0016175C" w:rsidRDefault="008A5F46" w:rsidP="008A5F46">
            <w:pPr>
              <w:rPr>
                <w:rFonts w:ascii="Arial Narrow" w:eastAsia="Times New Roman" w:hAnsi="Arial Narrow"/>
                <w:color w:val="000000"/>
                <w:sz w:val="20"/>
                <w:lang w:eastAsia="en-AU"/>
              </w:rPr>
            </w:pPr>
            <w:r w:rsidRPr="0016175C">
              <w:rPr>
                <w:rFonts w:ascii="Arial Narrow" w:eastAsia="Times New Roman" w:hAnsi="Arial Narrow"/>
                <w:color w:val="000000"/>
                <w:sz w:val="20"/>
                <w:lang w:eastAsia="en-AU"/>
              </w:rPr>
              <w:t>9d. CASA ICT will benchmark and review its operations</w:t>
            </w:r>
          </w:p>
          <w:p w14:paraId="2A5D0415" w14:textId="77777777" w:rsidR="008A5F46" w:rsidRPr="0016175C" w:rsidRDefault="008A5F46" w:rsidP="008A5F46">
            <w:pPr>
              <w:rPr>
                <w:rFonts w:ascii="Arial Narrow" w:eastAsia="Times New Roman" w:hAnsi="Arial Narrow"/>
                <w:color w:val="000000"/>
                <w:sz w:val="20"/>
                <w:lang w:eastAsia="en-AU"/>
              </w:rPr>
            </w:pPr>
            <w:r w:rsidRPr="0016175C">
              <w:rPr>
                <w:rFonts w:ascii="Arial Narrow" w:eastAsia="Times New Roman" w:hAnsi="Arial Narrow"/>
                <w:color w:val="000000"/>
                <w:sz w:val="20"/>
                <w:lang w:eastAsia="en-AU"/>
              </w:rPr>
              <w:t xml:space="preserve">9e. CASA ICT service performance will be defined and benchmarked against similar </w:t>
            </w:r>
            <w:r w:rsidR="00426FA6">
              <w:rPr>
                <w:rFonts w:ascii="Arial Narrow" w:eastAsia="Times New Roman" w:hAnsi="Arial Narrow"/>
                <w:color w:val="000000"/>
                <w:sz w:val="20"/>
                <w:lang w:eastAsia="en-AU"/>
              </w:rPr>
              <w:t>g</w:t>
            </w:r>
            <w:r w:rsidRPr="0016175C">
              <w:rPr>
                <w:rFonts w:ascii="Arial Narrow" w:eastAsia="Times New Roman" w:hAnsi="Arial Narrow"/>
                <w:color w:val="000000"/>
                <w:sz w:val="20"/>
                <w:lang w:eastAsia="en-AU"/>
              </w:rPr>
              <w:t>overnment and private sector organisations</w:t>
            </w:r>
          </w:p>
          <w:p w14:paraId="4D726202" w14:textId="77777777" w:rsidR="008A5F46" w:rsidRPr="0016175C" w:rsidRDefault="008A5F46" w:rsidP="008A5F46">
            <w:pPr>
              <w:rPr>
                <w:rFonts w:ascii="Arial Narrow" w:hAnsi="Arial Narrow" w:cs="Arial"/>
                <w:sz w:val="20"/>
              </w:rPr>
            </w:pPr>
            <w:r w:rsidRPr="0016175C">
              <w:rPr>
                <w:rFonts w:ascii="Arial Narrow" w:eastAsia="Times New Roman" w:hAnsi="Arial Narrow"/>
                <w:color w:val="000000"/>
                <w:sz w:val="20"/>
                <w:lang w:eastAsia="en-AU"/>
              </w:rPr>
              <w:t xml:space="preserve">9f. </w:t>
            </w:r>
            <w:r w:rsidRPr="0016175C">
              <w:rPr>
                <w:rFonts w:ascii="Arial Narrow" w:hAnsi="Arial Narrow"/>
                <w:sz w:val="20"/>
              </w:rPr>
              <w:t>Agreed project benefits and milestones are measured, monitored and achieved</w:t>
            </w:r>
          </w:p>
        </w:tc>
        <w:tc>
          <w:tcPr>
            <w:tcW w:w="5125" w:type="dxa"/>
            <w:shd w:val="clear" w:color="auto" w:fill="auto"/>
          </w:tcPr>
          <w:p w14:paraId="3826D266" w14:textId="77777777" w:rsidR="008A5F46" w:rsidRPr="0016175C" w:rsidRDefault="008A5F46" w:rsidP="0016175C">
            <w:pPr>
              <w:spacing w:before="120"/>
              <w:rPr>
                <w:rFonts w:ascii="Arial Narrow" w:hAnsi="Arial Narrow"/>
                <w:sz w:val="20"/>
              </w:rPr>
            </w:pPr>
            <w:r w:rsidRPr="0016175C">
              <w:rPr>
                <w:rFonts w:ascii="Arial Narrow" w:hAnsi="Arial Narrow"/>
                <w:sz w:val="20"/>
              </w:rPr>
              <w:t>Following completion of the Comcover annual risk benchmarking survey, CASA achieved a Comcover assessment rating of ‘Advanced’ for 2017, maintaining the organisation’s position within the top quartile of Commonwealth agencies. CASA’s new governance committee structure is maturing and contributing to a more consistent and robust analysis of risk across the organisation.</w:t>
            </w:r>
          </w:p>
          <w:p w14:paraId="44626D91" w14:textId="77777777" w:rsidR="008A5F46" w:rsidRPr="0016175C" w:rsidRDefault="008A5F46" w:rsidP="008A5F46">
            <w:pPr>
              <w:rPr>
                <w:rFonts w:ascii="Arial Narrow" w:hAnsi="Arial Narrow"/>
                <w:sz w:val="20"/>
              </w:rPr>
            </w:pPr>
            <w:r w:rsidRPr="0016175C">
              <w:rPr>
                <w:rFonts w:ascii="Arial Narrow" w:hAnsi="Arial Narrow"/>
                <w:sz w:val="20"/>
              </w:rPr>
              <w:t>CASA’s financial statements for 2016–17 were finalised on 25 August 2017. The ANAO provided an unmodified opinion of the statements.</w:t>
            </w:r>
          </w:p>
          <w:p w14:paraId="0F123DB4" w14:textId="77777777" w:rsidR="008A5F46" w:rsidRPr="0016175C" w:rsidRDefault="008A5F46" w:rsidP="008A5F46">
            <w:pPr>
              <w:rPr>
                <w:rFonts w:ascii="Arial Narrow" w:hAnsi="Arial Narrow"/>
                <w:sz w:val="20"/>
              </w:rPr>
            </w:pPr>
            <w:r w:rsidRPr="0016175C">
              <w:rPr>
                <w:rFonts w:ascii="Arial Narrow" w:hAnsi="Arial Narrow"/>
                <w:sz w:val="20"/>
              </w:rPr>
              <w:t>CASA has no ANAO active audit recommendations. Interim audits performed by RSM Australia found no issues in the Finance, People and Culture</w:t>
            </w:r>
            <w:r w:rsidR="00426FA6">
              <w:rPr>
                <w:rFonts w:ascii="Arial Narrow" w:hAnsi="Arial Narrow"/>
                <w:sz w:val="20"/>
              </w:rPr>
              <w:t>,</w:t>
            </w:r>
            <w:r w:rsidRPr="0016175C">
              <w:rPr>
                <w:rFonts w:ascii="Arial Narrow" w:hAnsi="Arial Narrow"/>
                <w:sz w:val="20"/>
              </w:rPr>
              <w:t xml:space="preserve"> or Information Technology branches. No interim report was produced.</w:t>
            </w:r>
          </w:p>
          <w:p w14:paraId="49D5D6B1" w14:textId="77777777" w:rsidR="008A5F46" w:rsidRPr="0016175C" w:rsidRDefault="008A5F46" w:rsidP="008A5F46">
            <w:pPr>
              <w:rPr>
                <w:rFonts w:ascii="Arial Narrow" w:hAnsi="Arial Narrow"/>
                <w:sz w:val="20"/>
              </w:rPr>
            </w:pPr>
            <w:r w:rsidRPr="0016175C">
              <w:rPr>
                <w:rFonts w:ascii="Arial Narrow" w:hAnsi="Arial Narrow"/>
                <w:sz w:val="20"/>
              </w:rPr>
              <w:t xml:space="preserve">CASA’s ICT governance arrangements are aligned with CASA’s broader governance processes. Formal benchmarking will occur in 2018–19. </w:t>
            </w:r>
          </w:p>
          <w:p w14:paraId="2B9A15E6" w14:textId="77777777" w:rsidR="008A5F46" w:rsidRPr="0016175C" w:rsidRDefault="008A5F46" w:rsidP="008A5F46">
            <w:pPr>
              <w:rPr>
                <w:rFonts w:ascii="Arial Narrow" w:hAnsi="Arial Narrow"/>
                <w:sz w:val="20"/>
              </w:rPr>
            </w:pPr>
            <w:r w:rsidRPr="0016175C">
              <w:rPr>
                <w:rFonts w:ascii="Arial Narrow" w:hAnsi="Arial Narrow"/>
                <w:sz w:val="20"/>
              </w:rPr>
              <w:t>CASA maintained system availability within agreed service levels in 2017–18, excluding vendor-specific data centre outages in late January and early February 2018.</w:t>
            </w:r>
          </w:p>
          <w:p w14:paraId="5146EAFA" w14:textId="77777777" w:rsidR="008A5F46" w:rsidRPr="0016175C" w:rsidRDefault="008A5F46" w:rsidP="008A5F46">
            <w:pPr>
              <w:rPr>
                <w:rFonts w:ascii="Arial Narrow" w:hAnsi="Arial Narrow" w:cs="Arial"/>
                <w:sz w:val="20"/>
              </w:rPr>
            </w:pPr>
            <w:r w:rsidRPr="0016175C">
              <w:rPr>
                <w:rFonts w:ascii="Arial Narrow" w:hAnsi="Arial Narrow"/>
                <w:sz w:val="20"/>
              </w:rPr>
              <w:t>CASA significantly improved project oversight and assurance in 2017–18.</w:t>
            </w:r>
          </w:p>
        </w:tc>
      </w:tr>
      <w:tr w:rsidR="008A5F46" w:rsidRPr="0016175C" w14:paraId="07900107" w14:textId="77777777" w:rsidTr="00426FA6">
        <w:tc>
          <w:tcPr>
            <w:tcW w:w="2346" w:type="dxa"/>
            <w:shd w:val="clear" w:color="auto" w:fill="auto"/>
          </w:tcPr>
          <w:p w14:paraId="349D7C00" w14:textId="77777777" w:rsidR="008A5F46" w:rsidRPr="0016175C" w:rsidRDefault="002B4A43" w:rsidP="0016175C">
            <w:pPr>
              <w:spacing w:after="0"/>
              <w:rPr>
                <w:rFonts w:ascii="Arial Narrow" w:eastAsia="Times New Roman" w:hAnsi="Arial Narrow"/>
                <w:b/>
                <w:sz w:val="20"/>
              </w:rPr>
            </w:pPr>
            <w:r w:rsidRPr="00426FA6">
              <w:rPr>
                <w:rFonts w:ascii="Arial Narrow" w:eastAsia="Times New Roman" w:hAnsi="Arial Narrow"/>
                <w:sz w:val="20"/>
              </w:rPr>
              <w:t>10</w:t>
            </w:r>
            <w:r w:rsidR="00426FA6">
              <w:rPr>
                <w:rFonts w:ascii="Arial Narrow" w:eastAsia="Times New Roman" w:hAnsi="Arial Narrow"/>
                <w:sz w:val="20"/>
              </w:rPr>
              <w:t>.</w:t>
            </w:r>
            <w:r w:rsidRPr="0016175C">
              <w:rPr>
                <w:rFonts w:ascii="Arial Narrow" w:eastAsia="Times New Roman" w:hAnsi="Arial Narrow"/>
                <w:b/>
                <w:sz w:val="20"/>
              </w:rPr>
              <w:t xml:space="preserve"> </w:t>
            </w:r>
            <w:r w:rsidRPr="0016175C">
              <w:rPr>
                <w:rFonts w:ascii="Arial Narrow" w:eastAsia="Times New Roman" w:hAnsi="Arial Narrow" w:cs="Arial"/>
                <w:sz w:val="20"/>
              </w:rPr>
              <w:t>CASA maintains the capability and capacity to effectively deliver aviation safety regulation</w:t>
            </w:r>
          </w:p>
        </w:tc>
        <w:tc>
          <w:tcPr>
            <w:tcW w:w="2843" w:type="dxa"/>
            <w:shd w:val="clear" w:color="auto" w:fill="auto"/>
          </w:tcPr>
          <w:p w14:paraId="18AADB80" w14:textId="77777777" w:rsidR="002B4A43" w:rsidRPr="0016175C" w:rsidRDefault="002B4A43" w:rsidP="002B4A43">
            <w:pPr>
              <w:rPr>
                <w:rFonts w:ascii="Arial Narrow" w:eastAsia="Times New Roman" w:hAnsi="Arial Narrow"/>
                <w:color w:val="000000"/>
                <w:sz w:val="20"/>
                <w:lang w:eastAsia="en-AU"/>
              </w:rPr>
            </w:pPr>
            <w:r w:rsidRPr="0016175C">
              <w:rPr>
                <w:rFonts w:ascii="Arial Narrow" w:eastAsia="Times New Roman" w:hAnsi="Arial Narrow"/>
                <w:color w:val="000000"/>
                <w:sz w:val="20"/>
                <w:lang w:eastAsia="en-AU"/>
              </w:rPr>
              <w:t xml:space="preserve">10a. Maintain the current high level of employee engagement (75% or above) as reported every two years </w:t>
            </w:r>
          </w:p>
          <w:p w14:paraId="6DB38C9F" w14:textId="77777777" w:rsidR="008A5F46" w:rsidRPr="0016175C" w:rsidRDefault="002B4A43" w:rsidP="002B4A43">
            <w:pPr>
              <w:rPr>
                <w:rFonts w:ascii="Arial Narrow" w:hAnsi="Arial Narrow" w:cs="Arial"/>
                <w:sz w:val="20"/>
              </w:rPr>
            </w:pPr>
            <w:r w:rsidRPr="0016175C">
              <w:rPr>
                <w:rFonts w:ascii="Arial Narrow" w:eastAsia="Times New Roman" w:hAnsi="Arial Narrow"/>
                <w:color w:val="000000"/>
                <w:sz w:val="20"/>
                <w:lang w:eastAsia="en-AU"/>
              </w:rPr>
              <w:t xml:space="preserve">10b. Staff trained in accordance with the Regulatory and Technical Training Framework </w:t>
            </w:r>
          </w:p>
        </w:tc>
        <w:tc>
          <w:tcPr>
            <w:tcW w:w="5125" w:type="dxa"/>
            <w:shd w:val="clear" w:color="auto" w:fill="auto"/>
          </w:tcPr>
          <w:p w14:paraId="1C26A8C6" w14:textId="77777777" w:rsidR="002B4A43" w:rsidRPr="0016175C" w:rsidRDefault="002B4A43" w:rsidP="0016175C">
            <w:pPr>
              <w:spacing w:before="120"/>
              <w:rPr>
                <w:rFonts w:ascii="Arial Narrow" w:hAnsi="Arial Narrow"/>
                <w:sz w:val="20"/>
              </w:rPr>
            </w:pPr>
            <w:r w:rsidRPr="0016175C">
              <w:rPr>
                <w:rFonts w:ascii="Arial Narrow" w:hAnsi="Arial Narrow"/>
                <w:sz w:val="20"/>
              </w:rPr>
              <w:t>Average staffing levels remained within 5</w:t>
            </w:r>
            <w:r w:rsidR="004069BE">
              <w:rPr>
                <w:rFonts w:ascii="Arial Narrow" w:hAnsi="Arial Narrow"/>
                <w:sz w:val="20"/>
              </w:rPr>
              <w:t>%</w:t>
            </w:r>
            <w:r w:rsidRPr="0016175C">
              <w:rPr>
                <w:rFonts w:ascii="Arial Narrow" w:hAnsi="Arial Narrow"/>
                <w:sz w:val="20"/>
              </w:rPr>
              <w:t xml:space="preserve"> of budgeted staffing levels throughout 2017–18.</w:t>
            </w:r>
          </w:p>
          <w:p w14:paraId="122574E5" w14:textId="77777777" w:rsidR="002B4A43" w:rsidRPr="0016175C" w:rsidRDefault="002B4A43" w:rsidP="0016175C">
            <w:pPr>
              <w:spacing w:before="120"/>
              <w:rPr>
                <w:rFonts w:ascii="Arial Narrow" w:hAnsi="Arial Narrow"/>
                <w:sz w:val="20"/>
              </w:rPr>
            </w:pPr>
            <w:r w:rsidRPr="0016175C">
              <w:rPr>
                <w:rFonts w:ascii="Arial Narrow" w:hAnsi="Arial Narrow"/>
                <w:sz w:val="20"/>
              </w:rPr>
              <w:t>On 30 June 2018, average staffing levels were within 1</w:t>
            </w:r>
            <w:r w:rsidR="004069BE">
              <w:rPr>
                <w:rFonts w:ascii="Arial Narrow" w:hAnsi="Arial Narrow"/>
                <w:sz w:val="20"/>
              </w:rPr>
              <w:t>%</w:t>
            </w:r>
            <w:r w:rsidRPr="0016175C">
              <w:rPr>
                <w:rFonts w:ascii="Arial Narrow" w:hAnsi="Arial Narrow"/>
                <w:sz w:val="20"/>
              </w:rPr>
              <w:t xml:space="preserve"> of the 2017–18 Portfolio Budget Statements resourcing estimate: the actual average staffing level was 798.98, against an estimate of 805. Capability gaps will be measured in the second half of 2018–19.</w:t>
            </w:r>
          </w:p>
          <w:p w14:paraId="42023B2D" w14:textId="77777777" w:rsidR="002B4A43" w:rsidRPr="0016175C" w:rsidRDefault="002B4A43" w:rsidP="0016175C">
            <w:pPr>
              <w:spacing w:before="120"/>
              <w:rPr>
                <w:rFonts w:ascii="Arial Narrow" w:hAnsi="Arial Narrow"/>
                <w:sz w:val="20"/>
              </w:rPr>
            </w:pPr>
            <w:r w:rsidRPr="0016175C">
              <w:rPr>
                <w:rFonts w:ascii="Arial Narrow" w:hAnsi="Arial Narrow"/>
                <w:sz w:val="20"/>
              </w:rPr>
              <w:t xml:space="preserve">CASA conducted its second stakeholder relationship survey, </w:t>
            </w:r>
            <w:r w:rsidRPr="0016175C">
              <w:rPr>
                <w:rFonts w:ascii="Arial Narrow" w:hAnsi="Arial Narrow"/>
                <w:i/>
                <w:sz w:val="20"/>
              </w:rPr>
              <w:t>Measuring our Performance,</w:t>
            </w:r>
            <w:r w:rsidRPr="0016175C">
              <w:rPr>
                <w:rFonts w:ascii="Arial Narrow" w:hAnsi="Arial Narrow"/>
                <w:sz w:val="20"/>
              </w:rPr>
              <w:t xml:space="preserve"> in April and May 2018. A total of 1,168 participants completed the survey. The results are expected to be published early in 2018–19. </w:t>
            </w:r>
          </w:p>
          <w:p w14:paraId="6AA4F9D9" w14:textId="77777777" w:rsidR="002B4A43" w:rsidRPr="0016175C" w:rsidRDefault="002B4A43" w:rsidP="0016175C">
            <w:pPr>
              <w:spacing w:before="120"/>
              <w:rPr>
                <w:rFonts w:ascii="Arial Narrow" w:hAnsi="Arial Narrow"/>
                <w:sz w:val="20"/>
              </w:rPr>
            </w:pPr>
            <w:r w:rsidRPr="0016175C">
              <w:rPr>
                <w:rFonts w:ascii="Arial Narrow" w:hAnsi="Arial Narrow"/>
                <w:sz w:val="20"/>
              </w:rPr>
              <w:t>Reports on completion rates for regulatory and technical training commenced in February 2018 and were sent to managers on a quarterly basis to enable them to monitor the progress of their inspectors against the mandatory training for their roles and, where appropriate, act to ensure that all mandatory training is completed.</w:t>
            </w:r>
          </w:p>
          <w:p w14:paraId="5611E521" w14:textId="77777777" w:rsidR="008A5F46" w:rsidRPr="0016175C" w:rsidRDefault="002B4A43" w:rsidP="002B4A43">
            <w:pPr>
              <w:rPr>
                <w:rFonts w:ascii="Arial Narrow" w:hAnsi="Arial Narrow" w:cs="Arial"/>
                <w:sz w:val="20"/>
              </w:rPr>
            </w:pPr>
            <w:r w:rsidRPr="0016175C">
              <w:rPr>
                <w:rFonts w:ascii="Arial Narrow" w:hAnsi="Arial Narrow"/>
                <w:sz w:val="20"/>
              </w:rPr>
              <w:t>The list of industry personnel waiting to attend CASA airworthiness courses to obtain an instrument of appointment or delegation as an airworthiness delegate has decreased from approximately 300 to 12 since October 2016. This is due to the delivery of several airworthiness courses in multiple locations for joint CASA–industry participation.</w:t>
            </w:r>
          </w:p>
        </w:tc>
      </w:tr>
    </w:tbl>
    <w:bookmarkEnd w:id="52"/>
    <w:p w14:paraId="3A841B72" w14:textId="77777777" w:rsidR="00F84A72" w:rsidRPr="006C0823" w:rsidRDefault="00F84A72" w:rsidP="00F84A72">
      <w:pPr>
        <w:pStyle w:val="Heading3"/>
        <w:rPr>
          <w:lang w:val="en-GB"/>
        </w:rPr>
      </w:pPr>
      <w:r w:rsidRPr="006C0823">
        <w:rPr>
          <w:lang w:val="en-GB"/>
        </w:rPr>
        <w:lastRenderedPageBreak/>
        <w:t>Looking forward</w:t>
      </w:r>
    </w:p>
    <w:p w14:paraId="791DBD33" w14:textId="77777777" w:rsidR="00F84A72" w:rsidRPr="004E3ACF" w:rsidRDefault="00F84A72" w:rsidP="00F84A72">
      <w:pPr>
        <w:pStyle w:val="Bullet"/>
      </w:pPr>
      <w:r w:rsidRPr="004E3ACF">
        <w:t xml:space="preserve">CASA will continue </w:t>
      </w:r>
      <w:r>
        <w:t xml:space="preserve">to </w:t>
      </w:r>
      <w:r w:rsidRPr="004E3ACF">
        <w:t>rationalis</w:t>
      </w:r>
      <w:r>
        <w:t>e</w:t>
      </w:r>
      <w:r w:rsidRPr="004E3ACF">
        <w:t xml:space="preserve"> legacy applications </w:t>
      </w:r>
      <w:r>
        <w:t>by</w:t>
      </w:r>
      <w:r w:rsidRPr="004E3ACF">
        <w:t xml:space="preserve"> building additional surveillance and case management capability into CASA’s EAP (European Aviation Processing) permissions and licensing system.</w:t>
      </w:r>
    </w:p>
    <w:p w14:paraId="04F0571A" w14:textId="77777777" w:rsidR="00F84A72" w:rsidRPr="004E3ACF" w:rsidRDefault="00F84A72" w:rsidP="00F84A72">
      <w:pPr>
        <w:pStyle w:val="Bullet"/>
      </w:pPr>
      <w:r>
        <w:t>CASA’s use of c</w:t>
      </w:r>
      <w:r w:rsidRPr="004E3ACF">
        <w:t xml:space="preserve">loud </w:t>
      </w:r>
      <w:r>
        <w:t xml:space="preserve">computing </w:t>
      </w:r>
      <w:r w:rsidRPr="004E3ACF">
        <w:t xml:space="preserve">technologies will be expanded through the digital program in support of the </w:t>
      </w:r>
      <w:r>
        <w:t>S</w:t>
      </w:r>
      <w:r w:rsidRPr="004E3ACF">
        <w:t xml:space="preserve">ervice </w:t>
      </w:r>
      <w:r>
        <w:t>D</w:t>
      </w:r>
      <w:r w:rsidRPr="004E3ACF">
        <w:t xml:space="preserve">elivery </w:t>
      </w:r>
      <w:r>
        <w:t>T</w:t>
      </w:r>
      <w:r w:rsidRPr="004E3ACF">
        <w:t>ransformation program.</w:t>
      </w:r>
    </w:p>
    <w:p w14:paraId="134A2071" w14:textId="77777777" w:rsidR="00F84A72" w:rsidRPr="004E3ACF" w:rsidRDefault="00F84A72" w:rsidP="00F84A72">
      <w:pPr>
        <w:pStyle w:val="Bullet"/>
      </w:pPr>
      <w:r w:rsidRPr="004E3ACF">
        <w:t xml:space="preserve">Improvements will be made to CASA’s business intelligence and analytics capability to include </w:t>
      </w:r>
      <w:r w:rsidR="000D757A" w:rsidRPr="000D757A">
        <w:t xml:space="preserve">the ability for CASA business areas to access data </w:t>
      </w:r>
      <w:r w:rsidR="004069BE">
        <w:t>for</w:t>
      </w:r>
      <w:r w:rsidR="000D757A" w:rsidRPr="000D757A">
        <w:t xml:space="preserve"> use</w:t>
      </w:r>
      <w:r w:rsidR="004069BE">
        <w:t xml:space="preserve"> in</w:t>
      </w:r>
      <w:r w:rsidR="000D757A" w:rsidRPr="000D757A">
        <w:t xml:space="preserve"> interactive dashboard reports</w:t>
      </w:r>
      <w:r w:rsidRPr="000D757A">
        <w:t>.</w:t>
      </w:r>
    </w:p>
    <w:p w14:paraId="1DCB5809" w14:textId="77777777" w:rsidR="00F84A72" w:rsidRPr="00652C98" w:rsidRDefault="00F84A72" w:rsidP="00F84A72">
      <w:pPr>
        <w:pStyle w:val="Bullet"/>
      </w:pPr>
      <w:r w:rsidRPr="004E3ACF">
        <w:t>CASA will maintain and modernise existing ICT capability through a refresh</w:t>
      </w:r>
      <w:r>
        <w:t>ment</w:t>
      </w:r>
      <w:r w:rsidRPr="004E3ACF">
        <w:t xml:space="preserve"> program that includes updating hardware components, </w:t>
      </w:r>
      <w:r>
        <w:t xml:space="preserve">updating and enhancing </w:t>
      </w:r>
      <w:r w:rsidRPr="004E3ACF">
        <w:t xml:space="preserve">software, and </w:t>
      </w:r>
      <w:r>
        <w:t xml:space="preserve">improving </w:t>
      </w:r>
      <w:r w:rsidRPr="004E3ACF">
        <w:t>security</w:t>
      </w:r>
      <w:r w:rsidRPr="004E3ACF">
        <w:rPr>
          <w:rFonts w:eastAsia="Malgun Gothic"/>
          <w:lang w:eastAsia="ko-KR"/>
        </w:rPr>
        <w:t>.</w:t>
      </w:r>
    </w:p>
    <w:p w14:paraId="1CFD019A" w14:textId="77777777" w:rsidR="00F84A72" w:rsidRPr="00C42480" w:rsidRDefault="00F84A72" w:rsidP="00F84A72">
      <w:pPr>
        <w:pStyle w:val="Bullet"/>
        <w:rPr>
          <w:rFonts w:ascii="Times New Roman" w:hAnsi="Times New Roman"/>
          <w:lang w:eastAsia="en-GB"/>
        </w:rPr>
      </w:pPr>
      <w:r w:rsidRPr="00C42480">
        <w:t>From 2 July 2018, CASA will deliver client service delivery improvements incorporating a ‘digital first’ approach through the establishment of a digital services platform and the introduction of a client portal that allows participants to apply for an aviation registration number online.</w:t>
      </w:r>
    </w:p>
    <w:p w14:paraId="31332A7E" w14:textId="77777777" w:rsidR="00F84A72" w:rsidRPr="00C42480" w:rsidRDefault="00F84A72" w:rsidP="00F84A72">
      <w:pPr>
        <w:pStyle w:val="Bullet"/>
      </w:pPr>
      <w:r w:rsidRPr="00C42480">
        <w:t xml:space="preserve">CASA’s </w:t>
      </w:r>
      <w:r>
        <w:t>S</w:t>
      </w:r>
      <w:r w:rsidRPr="00C42480">
        <w:t xml:space="preserve">ervice </w:t>
      </w:r>
      <w:r>
        <w:t>D</w:t>
      </w:r>
      <w:r w:rsidRPr="00C42480">
        <w:t xml:space="preserve">elivery </w:t>
      </w:r>
      <w:r>
        <w:t>T</w:t>
      </w:r>
      <w:r w:rsidRPr="00C42480">
        <w:t xml:space="preserve">ransformation program of work will continue through 2018–19. The next services to be transformed will be for clients seeking </w:t>
      </w:r>
      <w:r>
        <w:t xml:space="preserve">RPAS </w:t>
      </w:r>
      <w:r w:rsidRPr="00C42480">
        <w:t xml:space="preserve">services. The transformed services and experiences will </w:t>
      </w:r>
      <w:r w:rsidRPr="00896616">
        <w:t>replace t</w:t>
      </w:r>
      <w:r w:rsidRPr="00C42480">
        <w:t xml:space="preserve">he existing manual, forms-based transactions for issuing a remote pilot licence or a remotely piloted aircraft operator certificate and for registering a drone. </w:t>
      </w:r>
    </w:p>
    <w:p w14:paraId="12F1EA6F" w14:textId="77777777" w:rsidR="00F84A72" w:rsidRPr="00C42480" w:rsidRDefault="00F84A72" w:rsidP="00F84A72">
      <w:pPr>
        <w:pStyle w:val="Bullet"/>
      </w:pPr>
      <w:r w:rsidRPr="00C42480">
        <w:t>CASA will launch a new diversity and inclusion strategy in 2018–19 and implement the resulting initiatives over a three-year period. The strategy will seek to support CASA in expanding the diversity of its workforce and emphasise the importance of inclusion to achieving organisational success.</w:t>
      </w:r>
    </w:p>
    <w:p w14:paraId="65BB62D0" w14:textId="77777777" w:rsidR="00F84A72" w:rsidRPr="004E3ACF" w:rsidRDefault="00F84A72" w:rsidP="00F84A72">
      <w:pPr>
        <w:pStyle w:val="Bullet"/>
      </w:pPr>
      <w:r>
        <w:t>CASA will complete the implementation of a revised information management framework.</w:t>
      </w:r>
    </w:p>
    <w:p w14:paraId="60CAB222" w14:textId="77777777" w:rsidR="00973675" w:rsidRPr="004E3ACF" w:rsidRDefault="00973675" w:rsidP="00973675">
      <w:pPr>
        <w:pStyle w:val="Heading2"/>
        <w:rPr>
          <w:lang w:val="en-GB"/>
        </w:rPr>
      </w:pPr>
      <w:r w:rsidRPr="004E3ACF">
        <w:rPr>
          <w:lang w:val="en-GB"/>
        </w:rPr>
        <w:t>Regulator Performance Framework</w:t>
      </w:r>
    </w:p>
    <w:p w14:paraId="5B20A3C2" w14:textId="77777777" w:rsidR="00973675" w:rsidRPr="004E3ACF" w:rsidRDefault="00973675" w:rsidP="00973675">
      <w:pPr>
        <w:rPr>
          <w:iCs/>
          <w:szCs w:val="24"/>
        </w:rPr>
      </w:pPr>
      <w:r w:rsidRPr="004E3ACF">
        <w:rPr>
          <w:iCs/>
          <w:szCs w:val="24"/>
        </w:rPr>
        <w:t xml:space="preserve">Consistent with the requirements of the Government’s </w:t>
      </w:r>
      <w:r w:rsidRPr="004E3ACF">
        <w:t>Regulator Performance Framework,</w:t>
      </w:r>
      <w:r w:rsidRPr="004E3ACF">
        <w:rPr>
          <w:iCs/>
          <w:szCs w:val="24"/>
        </w:rPr>
        <w:t xml:space="preserve"> CASA established an external performance validation panel in June 2016. The panel provides CASA with advice on its performance targets as outlined in CASA’s corporate plan.</w:t>
      </w:r>
    </w:p>
    <w:p w14:paraId="0E37286A" w14:textId="77777777" w:rsidR="00973675" w:rsidRPr="004E3ACF" w:rsidRDefault="00973675" w:rsidP="00973675">
      <w:pPr>
        <w:rPr>
          <w:iCs/>
          <w:szCs w:val="24"/>
        </w:rPr>
      </w:pPr>
      <w:r w:rsidRPr="004E3ACF">
        <w:rPr>
          <w:iCs/>
          <w:szCs w:val="24"/>
        </w:rPr>
        <w:t>The panel comprises a representative from the Department of Infrastructure, Regional Development and Cities, a representative from a comparable regulator (the Australian Maritime Safety Authority), a CASA representative and four industry representatives.</w:t>
      </w:r>
    </w:p>
    <w:p w14:paraId="7516234D" w14:textId="77777777" w:rsidR="00973675" w:rsidRPr="004E3ACF" w:rsidRDefault="00973675" w:rsidP="00973675">
      <w:pPr>
        <w:rPr>
          <w:iCs/>
          <w:szCs w:val="24"/>
        </w:rPr>
      </w:pPr>
      <w:r w:rsidRPr="004E3ACF">
        <w:rPr>
          <w:iCs/>
          <w:szCs w:val="24"/>
        </w:rPr>
        <w:t xml:space="preserve">In support of the CASA Board, the role of the panel is to: </w:t>
      </w:r>
    </w:p>
    <w:p w14:paraId="6D553509" w14:textId="77777777" w:rsidR="00973675" w:rsidRPr="004E3ACF" w:rsidRDefault="00973675" w:rsidP="00973675">
      <w:pPr>
        <w:pStyle w:val="Bullet"/>
      </w:pPr>
      <w:r w:rsidRPr="004E3ACF">
        <w:t>assess the appropriateness of, and monitor, key performance measures for CASA</w:t>
      </w:r>
    </w:p>
    <w:p w14:paraId="78E0820B" w14:textId="77777777" w:rsidR="00973675" w:rsidRPr="004E3ACF" w:rsidRDefault="00973675" w:rsidP="00973675">
      <w:pPr>
        <w:pStyle w:val="Bullet"/>
      </w:pPr>
      <w:r w:rsidRPr="004E3ACF">
        <w:t>review the relevance of the evidence used to support the performance measures</w:t>
      </w:r>
    </w:p>
    <w:p w14:paraId="57E9CFDD" w14:textId="77777777" w:rsidR="00973675" w:rsidRPr="004E3ACF" w:rsidRDefault="00973675" w:rsidP="00973675">
      <w:pPr>
        <w:pStyle w:val="BulletLast"/>
      </w:pPr>
      <w:r w:rsidRPr="004E3ACF">
        <w:t>monitor the appropriateness of the regulatory service standards and the measurement of performance against those standards.</w:t>
      </w:r>
    </w:p>
    <w:p w14:paraId="3FD83278" w14:textId="77777777" w:rsidR="00973675" w:rsidRPr="004E3ACF" w:rsidRDefault="00973675" w:rsidP="00973675">
      <w:pPr>
        <w:pStyle w:val="Bullet"/>
        <w:numPr>
          <w:ilvl w:val="0"/>
          <w:numId w:val="0"/>
        </w:numPr>
      </w:pPr>
      <w:r w:rsidRPr="004E3ACF">
        <w:t>The external performance validation panel met on 14 November 2017 and 13 March 2018 in addition to providing written advice and comments.</w:t>
      </w:r>
    </w:p>
    <w:p w14:paraId="6414EF9F" w14:textId="77777777" w:rsidR="00973675" w:rsidRPr="004E3ACF" w:rsidRDefault="00973675" w:rsidP="00973675">
      <w:pPr>
        <w:rPr>
          <w:iCs/>
          <w:szCs w:val="24"/>
        </w:rPr>
      </w:pPr>
      <w:r w:rsidRPr="004E3ACF">
        <w:rPr>
          <w:iCs/>
          <w:szCs w:val="24"/>
        </w:rPr>
        <w:lastRenderedPageBreak/>
        <w:t xml:space="preserve">In accordance with the Regulator Performance Framework, CASA prepared a self-assessment report on its performance for 2016–17 in December 2017. The report was provided to the panel for review before it was submitted to the Minister in early 2018. The panel considered </w:t>
      </w:r>
      <w:r>
        <w:rPr>
          <w:iCs/>
          <w:szCs w:val="24"/>
        </w:rPr>
        <w:t xml:space="preserve">that </w:t>
      </w:r>
      <w:r w:rsidRPr="004E3ACF">
        <w:rPr>
          <w:iCs/>
          <w:szCs w:val="24"/>
        </w:rPr>
        <w:t xml:space="preserve">CASA’s second self-assessment report provided a detailed and balanced assessment of performance and was a significant improvement when compared to its first report. </w:t>
      </w:r>
    </w:p>
    <w:p w14:paraId="12399249" w14:textId="77777777" w:rsidR="00973675" w:rsidRPr="006C0823" w:rsidRDefault="00973675" w:rsidP="00973675">
      <w:pPr>
        <w:rPr>
          <w:iCs/>
          <w:szCs w:val="24"/>
        </w:rPr>
      </w:pPr>
      <w:r w:rsidRPr="004E3ACF">
        <w:rPr>
          <w:iCs/>
          <w:szCs w:val="24"/>
        </w:rPr>
        <w:t>CASA will provide its 2017–18 self-assessment report to the Minister separately from this annual report.</w:t>
      </w:r>
    </w:p>
    <w:p w14:paraId="36BBD5FC" w14:textId="1EDDE361" w:rsidR="00E2713F" w:rsidRPr="00687E4A" w:rsidRDefault="004A69A4" w:rsidP="005626C0">
      <w:pPr>
        <w:pStyle w:val="Heading0noTOC"/>
        <w:rPr>
          <w:rFonts w:eastAsia="Times New Roman"/>
        </w:rPr>
      </w:pPr>
      <w:r w:rsidRPr="006C0823">
        <w:t xml:space="preserve"> </w:t>
      </w:r>
      <w:bookmarkEnd w:id="45"/>
      <w:r w:rsidR="00E2713F" w:rsidRPr="00687E4A">
        <w:t xml:space="preserve">Cameo </w:t>
      </w:r>
    </w:p>
    <w:p w14:paraId="5F0CFE76" w14:textId="77777777" w:rsidR="003130A5" w:rsidRPr="00687E4A" w:rsidRDefault="00DF69C2" w:rsidP="003130A5">
      <w:pPr>
        <w:pStyle w:val="Heading1noTOC"/>
        <w:rPr>
          <w:lang w:val="en-GB"/>
        </w:rPr>
      </w:pPr>
      <w:r w:rsidRPr="00687E4A">
        <w:rPr>
          <w:lang w:val="en-GB"/>
        </w:rPr>
        <w:t>Ramping up international inspection training</w:t>
      </w:r>
    </w:p>
    <w:p w14:paraId="108ACD83" w14:textId="77777777" w:rsidR="006A4FEB" w:rsidRPr="007742B3" w:rsidRDefault="006A4FEB" w:rsidP="006A4FEB">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As part of a working arrangement with the European Aviation Safety Agency (EASA), CASA has greater access to international-standard ramp inspection training and data.</w:t>
      </w:r>
    </w:p>
    <w:p w14:paraId="37FAC97F" w14:textId="77777777" w:rsidR="006A4FEB" w:rsidRPr="007742B3" w:rsidRDefault="006A4FEB" w:rsidP="006A4FEB">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In January 2017, CASA signed a working arrangement with EASA to participate in the E</w:t>
      </w:r>
      <w:r w:rsidR="00A31370">
        <w:rPr>
          <w:color w:val="212121"/>
          <w:spacing w:val="3"/>
          <w:szCs w:val="24"/>
          <w:lang w:val="en-AU" w:eastAsia="en-AU"/>
        </w:rPr>
        <w:t xml:space="preserve">uropean </w:t>
      </w:r>
      <w:r w:rsidRPr="007742B3">
        <w:rPr>
          <w:color w:val="212121"/>
          <w:spacing w:val="3"/>
          <w:szCs w:val="24"/>
          <w:lang w:val="en-AU" w:eastAsia="en-AU"/>
        </w:rPr>
        <w:t>U</w:t>
      </w:r>
      <w:r w:rsidR="00A31370">
        <w:rPr>
          <w:color w:val="212121"/>
          <w:spacing w:val="3"/>
          <w:szCs w:val="24"/>
          <w:lang w:val="en-AU" w:eastAsia="en-AU"/>
        </w:rPr>
        <w:t>nion</w:t>
      </w:r>
      <w:r w:rsidRPr="007742B3">
        <w:rPr>
          <w:color w:val="212121"/>
          <w:spacing w:val="3"/>
          <w:szCs w:val="24"/>
          <w:lang w:val="en-AU" w:eastAsia="en-AU"/>
        </w:rPr>
        <w:t xml:space="preserve"> Safety Assessment of Foreign Aircraft (SAFA) program, an international surveillance program which provides for ramp inspections of foreign aircraft against International Civil Aviation Organization standards. </w:t>
      </w:r>
    </w:p>
    <w:p w14:paraId="2B10DBBD" w14:textId="77777777" w:rsidR="006A4FEB" w:rsidRPr="007742B3" w:rsidRDefault="006A4FEB" w:rsidP="006A4FEB">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As part of the arrangement, four CASA inspectors undertook ramp inspection training in mid-2017.</w:t>
      </w:r>
    </w:p>
    <w:p w14:paraId="40CAA9E4" w14:textId="77777777" w:rsidR="006A4FEB" w:rsidRPr="007742B3" w:rsidRDefault="006A4FEB" w:rsidP="006A4FEB">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Theor</w:t>
      </w:r>
      <w:r>
        <w:rPr>
          <w:color w:val="212121"/>
          <w:spacing w:val="3"/>
          <w:szCs w:val="24"/>
          <w:lang w:val="en-AU" w:eastAsia="en-AU"/>
        </w:rPr>
        <w:t>etical</w:t>
      </w:r>
      <w:r w:rsidRPr="007742B3">
        <w:rPr>
          <w:color w:val="212121"/>
          <w:spacing w:val="3"/>
          <w:szCs w:val="24"/>
          <w:lang w:val="en-AU" w:eastAsia="en-AU"/>
        </w:rPr>
        <w:t xml:space="preserve"> and practical training of inspectors must be conducted by an EASA</w:t>
      </w:r>
      <w:r>
        <w:rPr>
          <w:color w:val="212121"/>
          <w:spacing w:val="3"/>
          <w:szCs w:val="24"/>
          <w:lang w:val="en-AU" w:eastAsia="en-AU"/>
        </w:rPr>
        <w:t>-a</w:t>
      </w:r>
      <w:r w:rsidRPr="007742B3">
        <w:rPr>
          <w:color w:val="212121"/>
          <w:spacing w:val="3"/>
          <w:szCs w:val="24"/>
          <w:lang w:val="en-AU" w:eastAsia="en-AU"/>
        </w:rPr>
        <w:t xml:space="preserve">pproved </w:t>
      </w:r>
      <w:r>
        <w:rPr>
          <w:color w:val="212121"/>
          <w:spacing w:val="3"/>
          <w:szCs w:val="24"/>
          <w:lang w:val="en-AU" w:eastAsia="en-AU"/>
        </w:rPr>
        <w:t>t</w:t>
      </w:r>
      <w:r w:rsidRPr="007742B3">
        <w:rPr>
          <w:color w:val="212121"/>
          <w:spacing w:val="3"/>
          <w:szCs w:val="24"/>
          <w:lang w:val="en-AU" w:eastAsia="en-AU"/>
        </w:rPr>
        <w:t xml:space="preserve">raining </w:t>
      </w:r>
      <w:r>
        <w:rPr>
          <w:color w:val="212121"/>
          <w:spacing w:val="3"/>
          <w:szCs w:val="24"/>
          <w:lang w:val="en-AU" w:eastAsia="en-AU"/>
        </w:rPr>
        <w:t>o</w:t>
      </w:r>
      <w:r w:rsidRPr="007742B3">
        <w:rPr>
          <w:color w:val="212121"/>
          <w:spacing w:val="3"/>
          <w:szCs w:val="24"/>
          <w:lang w:val="en-AU" w:eastAsia="en-AU"/>
        </w:rPr>
        <w:t>rganisation</w:t>
      </w:r>
      <w:r>
        <w:rPr>
          <w:color w:val="212121"/>
          <w:spacing w:val="3"/>
          <w:szCs w:val="24"/>
          <w:lang w:val="en-AU" w:eastAsia="en-AU"/>
        </w:rPr>
        <w:t>. Q</w:t>
      </w:r>
      <w:r w:rsidRPr="007742B3">
        <w:rPr>
          <w:color w:val="212121"/>
          <w:spacing w:val="3"/>
          <w:szCs w:val="24"/>
          <w:lang w:val="en-AU" w:eastAsia="en-AU"/>
        </w:rPr>
        <w:t>ualified EASA senior inspectors provid</w:t>
      </w:r>
      <w:r>
        <w:rPr>
          <w:color w:val="212121"/>
          <w:spacing w:val="3"/>
          <w:szCs w:val="24"/>
          <w:lang w:val="en-AU" w:eastAsia="en-AU"/>
        </w:rPr>
        <w:t>e</w:t>
      </w:r>
      <w:r w:rsidRPr="007742B3">
        <w:rPr>
          <w:color w:val="212121"/>
          <w:spacing w:val="3"/>
          <w:szCs w:val="24"/>
          <w:lang w:val="en-AU" w:eastAsia="en-AU"/>
        </w:rPr>
        <w:t xml:space="preserve"> trainees with one-on-one training on a minimum of 12 ramp inspections.</w:t>
      </w:r>
    </w:p>
    <w:p w14:paraId="39E46D90" w14:textId="77777777" w:rsidR="006A4FEB" w:rsidRPr="007742B3" w:rsidRDefault="006A4FEB" w:rsidP="006A4FEB">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To qualify as a ramp inspector under the program</w:t>
      </w:r>
      <w:r>
        <w:rPr>
          <w:color w:val="212121"/>
          <w:spacing w:val="3"/>
          <w:szCs w:val="24"/>
          <w:lang w:val="en-AU" w:eastAsia="en-AU"/>
        </w:rPr>
        <w:t>,</w:t>
      </w:r>
      <w:r w:rsidRPr="007742B3">
        <w:rPr>
          <w:color w:val="212121"/>
          <w:spacing w:val="3"/>
          <w:szCs w:val="24"/>
          <w:lang w:val="en-AU" w:eastAsia="en-AU"/>
        </w:rPr>
        <w:t xml:space="preserve"> a candidate must have relevant experience </w:t>
      </w:r>
      <w:r>
        <w:rPr>
          <w:color w:val="212121"/>
          <w:spacing w:val="3"/>
          <w:szCs w:val="24"/>
          <w:lang w:val="en-AU" w:eastAsia="en-AU"/>
        </w:rPr>
        <w:t>in a range of</w:t>
      </w:r>
      <w:r w:rsidRPr="007742B3">
        <w:rPr>
          <w:color w:val="212121"/>
          <w:spacing w:val="3"/>
          <w:szCs w:val="24"/>
          <w:lang w:val="en-AU" w:eastAsia="en-AU"/>
        </w:rPr>
        <w:t xml:space="preserve"> inspection items</w:t>
      </w:r>
      <w:r w:rsidR="006F007E">
        <w:rPr>
          <w:color w:val="212121"/>
          <w:spacing w:val="3"/>
          <w:szCs w:val="24"/>
          <w:lang w:val="en-AU" w:eastAsia="en-AU"/>
        </w:rPr>
        <w:t>,</w:t>
      </w:r>
      <w:r w:rsidRPr="007742B3">
        <w:rPr>
          <w:color w:val="212121"/>
          <w:spacing w:val="3"/>
          <w:szCs w:val="24"/>
          <w:lang w:val="en-AU" w:eastAsia="en-AU"/>
        </w:rPr>
        <w:t xml:space="preserve"> </w:t>
      </w:r>
      <w:r w:rsidR="003646E5">
        <w:rPr>
          <w:color w:val="212121"/>
          <w:spacing w:val="3"/>
          <w:szCs w:val="24"/>
          <w:lang w:val="en-AU" w:eastAsia="en-AU"/>
        </w:rPr>
        <w:t>whic</w:t>
      </w:r>
      <w:r w:rsidR="003646E5" w:rsidRPr="007742B3">
        <w:rPr>
          <w:color w:val="212121"/>
          <w:spacing w:val="3"/>
          <w:szCs w:val="24"/>
          <w:lang w:val="en-AU" w:eastAsia="en-AU"/>
        </w:rPr>
        <w:t>h include checks on pilot licences, procedures and manuals, cargo carried in the aircraft</w:t>
      </w:r>
      <w:r w:rsidR="003646E5">
        <w:rPr>
          <w:color w:val="212121"/>
          <w:spacing w:val="3"/>
          <w:szCs w:val="24"/>
          <w:lang w:val="en-AU" w:eastAsia="en-AU"/>
        </w:rPr>
        <w:t>,</w:t>
      </w:r>
      <w:r w:rsidR="003646E5" w:rsidRPr="007742B3">
        <w:rPr>
          <w:color w:val="212121"/>
          <w:spacing w:val="3"/>
          <w:szCs w:val="24"/>
          <w:lang w:val="en-AU" w:eastAsia="en-AU"/>
        </w:rPr>
        <w:t xml:space="preserve"> and the technical condition of the aircraft and safety equipment</w:t>
      </w:r>
      <w:r w:rsidR="003646E5">
        <w:rPr>
          <w:color w:val="212121"/>
          <w:spacing w:val="3"/>
          <w:szCs w:val="24"/>
          <w:lang w:val="en-AU" w:eastAsia="en-AU"/>
        </w:rPr>
        <w:t>.</w:t>
      </w:r>
    </w:p>
    <w:p w14:paraId="0B4C1012" w14:textId="77777777" w:rsidR="006A4FEB" w:rsidRPr="007742B3" w:rsidRDefault="006A4FEB" w:rsidP="006A4FEB">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Training for the four inspectors was conducted at the Joint Aviation Authorities Training Organisation in Amsterdam</w:t>
      </w:r>
      <w:r>
        <w:rPr>
          <w:color w:val="212121"/>
          <w:spacing w:val="3"/>
          <w:szCs w:val="24"/>
          <w:lang w:val="en-AU" w:eastAsia="en-AU"/>
        </w:rPr>
        <w:t>. O</w:t>
      </w:r>
      <w:r w:rsidRPr="007742B3">
        <w:rPr>
          <w:color w:val="212121"/>
          <w:spacing w:val="3"/>
          <w:szCs w:val="24"/>
          <w:lang w:val="en-AU" w:eastAsia="en-AU"/>
        </w:rPr>
        <w:t xml:space="preserve">n-the-job training </w:t>
      </w:r>
      <w:r>
        <w:rPr>
          <w:color w:val="212121"/>
          <w:spacing w:val="3"/>
          <w:szCs w:val="24"/>
          <w:lang w:val="en-AU" w:eastAsia="en-AU"/>
        </w:rPr>
        <w:t xml:space="preserve">was </w:t>
      </w:r>
      <w:r w:rsidRPr="007742B3">
        <w:rPr>
          <w:color w:val="212121"/>
          <w:spacing w:val="3"/>
          <w:szCs w:val="24"/>
          <w:lang w:val="en-AU" w:eastAsia="en-AU"/>
        </w:rPr>
        <w:t>undertaken with the Netherlands Civil Aviation Authority and Luftfahrt-Bundesamt (</w:t>
      </w:r>
      <w:r>
        <w:rPr>
          <w:color w:val="212121"/>
          <w:spacing w:val="3"/>
          <w:szCs w:val="24"/>
          <w:lang w:val="en-AU" w:eastAsia="en-AU"/>
        </w:rPr>
        <w:t xml:space="preserve">the </w:t>
      </w:r>
      <w:r w:rsidRPr="007742B3">
        <w:rPr>
          <w:color w:val="212121"/>
          <w:spacing w:val="3"/>
          <w:szCs w:val="24"/>
          <w:lang w:val="en-AU" w:eastAsia="en-AU"/>
        </w:rPr>
        <w:t>German Civil Aviation Authority).</w:t>
      </w:r>
    </w:p>
    <w:p w14:paraId="00114574" w14:textId="77777777" w:rsidR="006A4FEB" w:rsidRPr="007742B3" w:rsidRDefault="006A4FEB" w:rsidP="006A4FEB">
      <w:pPr>
        <w:shd w:val="clear" w:color="auto" w:fill="FFFFFF"/>
        <w:spacing w:after="150"/>
        <w:textAlignment w:val="top"/>
        <w:rPr>
          <w:color w:val="212121"/>
          <w:spacing w:val="3"/>
          <w:szCs w:val="24"/>
          <w:lang w:val="en-AU" w:eastAsia="en-AU"/>
        </w:rPr>
      </w:pPr>
      <w:bookmarkStart w:id="53" w:name="_Hlk520813580"/>
      <w:r w:rsidRPr="007742B3">
        <w:rPr>
          <w:color w:val="212121"/>
          <w:spacing w:val="3"/>
          <w:szCs w:val="24"/>
          <w:lang w:val="en-AU" w:eastAsia="en-AU"/>
        </w:rPr>
        <w:t>CASA was represented by Miles Gore-Brown</w:t>
      </w:r>
      <w:r>
        <w:rPr>
          <w:color w:val="212121"/>
          <w:spacing w:val="3"/>
          <w:szCs w:val="24"/>
          <w:lang w:val="en-AU" w:eastAsia="en-AU"/>
        </w:rPr>
        <w:t xml:space="preserve"> (</w:t>
      </w:r>
      <w:r w:rsidRPr="007742B3">
        <w:rPr>
          <w:color w:val="212121"/>
          <w:spacing w:val="3"/>
          <w:szCs w:val="24"/>
          <w:lang w:val="en-AU" w:eastAsia="en-AU"/>
        </w:rPr>
        <w:t>flying operations inspector</w:t>
      </w:r>
      <w:r>
        <w:rPr>
          <w:color w:val="212121"/>
          <w:spacing w:val="3"/>
          <w:szCs w:val="24"/>
          <w:lang w:val="en-AU" w:eastAsia="en-AU"/>
        </w:rPr>
        <w:t>)</w:t>
      </w:r>
      <w:r w:rsidRPr="007742B3">
        <w:rPr>
          <w:color w:val="212121"/>
          <w:spacing w:val="3"/>
          <w:szCs w:val="24"/>
          <w:lang w:val="en-AU" w:eastAsia="en-AU"/>
        </w:rPr>
        <w:t xml:space="preserve">, Werner Lushington </w:t>
      </w:r>
      <w:r>
        <w:rPr>
          <w:color w:val="212121"/>
          <w:spacing w:val="3"/>
          <w:szCs w:val="24"/>
          <w:lang w:val="en-AU" w:eastAsia="en-AU"/>
        </w:rPr>
        <w:t>(</w:t>
      </w:r>
      <w:r w:rsidRPr="007742B3">
        <w:rPr>
          <w:color w:val="212121"/>
          <w:spacing w:val="3"/>
          <w:szCs w:val="24"/>
          <w:lang w:val="en-AU" w:eastAsia="en-AU"/>
        </w:rPr>
        <w:t>airworthiness inspector</w:t>
      </w:r>
      <w:r>
        <w:rPr>
          <w:color w:val="212121"/>
          <w:spacing w:val="3"/>
          <w:szCs w:val="24"/>
          <w:lang w:val="en-AU" w:eastAsia="en-AU"/>
        </w:rPr>
        <w:t>)</w:t>
      </w:r>
      <w:r w:rsidRPr="007742B3">
        <w:rPr>
          <w:color w:val="212121"/>
          <w:spacing w:val="3"/>
          <w:szCs w:val="24"/>
          <w:lang w:val="en-AU" w:eastAsia="en-AU"/>
        </w:rPr>
        <w:t xml:space="preserve">, Allison Ingham </w:t>
      </w:r>
      <w:r>
        <w:rPr>
          <w:color w:val="212121"/>
          <w:spacing w:val="3"/>
          <w:szCs w:val="24"/>
          <w:lang w:val="en-AU" w:eastAsia="en-AU"/>
        </w:rPr>
        <w:t>(</w:t>
      </w:r>
      <w:r w:rsidRPr="007742B3">
        <w:rPr>
          <w:color w:val="212121"/>
          <w:spacing w:val="3"/>
          <w:szCs w:val="24"/>
          <w:lang w:val="en-AU" w:eastAsia="en-AU"/>
        </w:rPr>
        <w:t>safety systems inspector</w:t>
      </w:r>
      <w:r>
        <w:rPr>
          <w:color w:val="212121"/>
          <w:spacing w:val="3"/>
          <w:szCs w:val="24"/>
          <w:lang w:val="en-AU" w:eastAsia="en-AU"/>
        </w:rPr>
        <w:t>)</w:t>
      </w:r>
      <w:r w:rsidRPr="007742B3">
        <w:rPr>
          <w:color w:val="212121"/>
          <w:spacing w:val="3"/>
          <w:szCs w:val="24"/>
          <w:lang w:val="en-AU" w:eastAsia="en-AU"/>
        </w:rPr>
        <w:t xml:space="preserve"> and Grant Hamilton </w:t>
      </w:r>
      <w:r>
        <w:rPr>
          <w:color w:val="212121"/>
          <w:spacing w:val="3"/>
          <w:szCs w:val="24"/>
          <w:lang w:val="en-AU" w:eastAsia="en-AU"/>
        </w:rPr>
        <w:t>(</w:t>
      </w:r>
      <w:r w:rsidRPr="007742B3">
        <w:rPr>
          <w:color w:val="212121"/>
          <w:spacing w:val="3"/>
          <w:szCs w:val="24"/>
          <w:lang w:val="en-AU" w:eastAsia="en-AU"/>
        </w:rPr>
        <w:t>Manager International Operations</w:t>
      </w:r>
      <w:r>
        <w:rPr>
          <w:color w:val="212121"/>
          <w:spacing w:val="3"/>
          <w:szCs w:val="24"/>
          <w:lang w:val="en-AU" w:eastAsia="en-AU"/>
        </w:rPr>
        <w:t>)</w:t>
      </w:r>
      <w:r w:rsidRPr="007742B3">
        <w:rPr>
          <w:color w:val="212121"/>
          <w:spacing w:val="3"/>
          <w:szCs w:val="24"/>
          <w:lang w:val="en-AU" w:eastAsia="en-AU"/>
        </w:rPr>
        <w:t xml:space="preserve">. </w:t>
      </w:r>
    </w:p>
    <w:bookmarkEnd w:id="53"/>
    <w:p w14:paraId="31A22E7C" w14:textId="77777777" w:rsidR="006A4FEB" w:rsidRPr="007742B3" w:rsidRDefault="006A4FEB" w:rsidP="006A4FEB">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In addition to their on-the-job training, the CASA inspectors were given information on SAFA database processes and procedures.</w:t>
      </w:r>
    </w:p>
    <w:p w14:paraId="35DE1F7E" w14:textId="77777777" w:rsidR="006A4FEB" w:rsidRPr="007742B3" w:rsidRDefault="006A4FEB" w:rsidP="006A4FEB">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During the theoretical training course</w:t>
      </w:r>
      <w:r w:rsidR="00D51428">
        <w:rPr>
          <w:color w:val="212121"/>
          <w:spacing w:val="3"/>
          <w:szCs w:val="24"/>
          <w:lang w:val="en-AU" w:eastAsia="en-AU"/>
        </w:rPr>
        <w:t>,</w:t>
      </w:r>
      <w:r w:rsidRPr="007742B3">
        <w:rPr>
          <w:color w:val="212121"/>
          <w:spacing w:val="3"/>
          <w:szCs w:val="24"/>
          <w:lang w:val="en-AU" w:eastAsia="en-AU"/>
        </w:rPr>
        <w:t xml:space="preserve"> CASA’s inspectors were able to build relationships and compare experiences with inspectors from the Netherlands, including Aruba and Curacao, and Kenya, Israel and Macau. </w:t>
      </w:r>
    </w:p>
    <w:p w14:paraId="256B0116" w14:textId="77777777" w:rsidR="006A4FEB" w:rsidRPr="007742B3" w:rsidRDefault="006A4FEB" w:rsidP="006A4FEB">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 xml:space="preserve">Airline </w:t>
      </w:r>
      <w:r>
        <w:rPr>
          <w:color w:val="212121"/>
          <w:spacing w:val="3"/>
          <w:szCs w:val="24"/>
          <w:lang w:val="en-AU" w:eastAsia="en-AU"/>
        </w:rPr>
        <w:t>o</w:t>
      </w:r>
      <w:r w:rsidRPr="007742B3">
        <w:rPr>
          <w:color w:val="212121"/>
          <w:spacing w:val="3"/>
          <w:szCs w:val="24"/>
          <w:lang w:val="en-AU" w:eastAsia="en-AU"/>
        </w:rPr>
        <w:t xml:space="preserve">perators inspected during the on-the-job training component included a number of airlines currently operating to Australia, such as Thai Airways, Air India, Garuda Indonesia, United Airlines and Air China, and airlines that do not operate to </w:t>
      </w:r>
      <w:r w:rsidRPr="007742B3">
        <w:rPr>
          <w:color w:val="212121"/>
          <w:spacing w:val="3"/>
          <w:szCs w:val="24"/>
          <w:lang w:val="en-AU" w:eastAsia="en-AU"/>
        </w:rPr>
        <w:lastRenderedPageBreak/>
        <w:t>Australia, such as Saudi Arabian Airlines, Air Malta, easyJet, Air Astana and Mahan Air.</w:t>
      </w:r>
    </w:p>
    <w:p w14:paraId="15157A71" w14:textId="77777777" w:rsidR="006A4FEB" w:rsidRPr="007742B3" w:rsidRDefault="006A4FEB" w:rsidP="006A4FEB">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 xml:space="preserve">CASA now has internationally qualified inspectors who can conduct ramp inspections on foreign operators as part of an internationally recognised program and in a standardised manner. </w:t>
      </w:r>
    </w:p>
    <w:p w14:paraId="74070588" w14:textId="34F9B716" w:rsidR="006A4FEB" w:rsidRDefault="006A4FEB" w:rsidP="006A4FEB">
      <w:pPr>
        <w:pStyle w:val="BulletLast"/>
        <w:numPr>
          <w:ilvl w:val="0"/>
          <w:numId w:val="0"/>
        </w:numPr>
        <w:rPr>
          <w:color w:val="212121"/>
          <w:spacing w:val="3"/>
          <w:szCs w:val="24"/>
          <w:lang w:val="en-AU" w:eastAsia="en-AU"/>
        </w:rPr>
      </w:pPr>
      <w:r w:rsidRPr="007742B3">
        <w:rPr>
          <w:color w:val="212121"/>
          <w:spacing w:val="3"/>
          <w:szCs w:val="24"/>
          <w:lang w:val="en-AU" w:eastAsia="en-AU"/>
        </w:rPr>
        <w:t>Ramp inspections conducted in Australia on foreign operators will now be entered into the centralised SAFA database managed by EASA, providing other countries with valuable information on operators and contributing data for analysis.</w:t>
      </w:r>
    </w:p>
    <w:p w14:paraId="6AF19D9B" w14:textId="64A85117" w:rsidR="005626C0" w:rsidRPr="005626C0" w:rsidRDefault="005626C0" w:rsidP="005626C0">
      <w:pPr>
        <w:pStyle w:val="Heading0noTOC"/>
        <w:rPr>
          <w:rFonts w:eastAsia="Times New Roman"/>
        </w:rPr>
      </w:pPr>
      <w:r w:rsidRPr="00687E4A">
        <w:t>Cameo</w:t>
      </w:r>
    </w:p>
    <w:p w14:paraId="6DFB1B1F" w14:textId="77777777" w:rsidR="003130A5" w:rsidRPr="00687E4A" w:rsidRDefault="00DF69C2" w:rsidP="003130A5">
      <w:pPr>
        <w:pStyle w:val="Heading1noTOC"/>
        <w:rPr>
          <w:lang w:val="en-GB"/>
        </w:rPr>
      </w:pPr>
      <w:r w:rsidRPr="00687E4A">
        <w:rPr>
          <w:lang w:val="en-GB"/>
        </w:rPr>
        <w:t>CASA recognised for role in unique project</w:t>
      </w:r>
    </w:p>
    <w:p w14:paraId="554C7822" w14:textId="77777777" w:rsidR="006A4FEB" w:rsidRPr="007742B3" w:rsidRDefault="006A4FEB" w:rsidP="006A4FEB">
      <w:pPr>
        <w:rPr>
          <w:lang w:val="en-AU" w:eastAsia="en-AU"/>
        </w:rPr>
      </w:pPr>
      <w:r w:rsidRPr="007742B3">
        <w:rPr>
          <w:lang w:val="en-AU" w:eastAsia="en-AU"/>
        </w:rPr>
        <w:t>CASA staff involved in a unique multi-agency airspace project were recognised at a special morning tea function in May 2018.</w:t>
      </w:r>
    </w:p>
    <w:p w14:paraId="71A9A490" w14:textId="77777777" w:rsidR="006A4FEB" w:rsidRPr="007742B3" w:rsidRDefault="006A4FEB" w:rsidP="006A4FEB">
      <w:pPr>
        <w:rPr>
          <w:spacing w:val="3"/>
          <w:lang w:val="en-AU" w:eastAsia="en-AU"/>
        </w:rPr>
      </w:pPr>
      <w:r w:rsidRPr="007742B3">
        <w:rPr>
          <w:spacing w:val="3"/>
          <w:lang w:val="en-AU" w:eastAsia="en-AU"/>
        </w:rPr>
        <w:t>The protective airspace project for the 2018 Commonwealth Games involved CASA staff from areas including the Office of Airspace Regulation,</w:t>
      </w:r>
      <w:r w:rsidR="00D51428">
        <w:rPr>
          <w:spacing w:val="3"/>
          <w:lang w:val="en-AU" w:eastAsia="en-AU"/>
        </w:rPr>
        <w:t xml:space="preserve"> the</w:t>
      </w:r>
      <w:r w:rsidRPr="007742B3">
        <w:rPr>
          <w:spacing w:val="3"/>
          <w:lang w:val="en-AU" w:eastAsia="en-AU"/>
        </w:rPr>
        <w:t xml:space="preserve"> </w:t>
      </w:r>
      <w:r w:rsidRPr="00D51428">
        <w:rPr>
          <w:spacing w:val="3"/>
          <w:lang w:val="en-AU" w:eastAsia="en-AU"/>
        </w:rPr>
        <w:t>Legal and Regulatory Affairs</w:t>
      </w:r>
      <w:r w:rsidR="00D51428" w:rsidRPr="00D51428">
        <w:rPr>
          <w:spacing w:val="3"/>
          <w:lang w:val="en-AU" w:eastAsia="en-AU"/>
        </w:rPr>
        <w:t xml:space="preserve"> Division</w:t>
      </w:r>
      <w:r w:rsidRPr="00D51428">
        <w:rPr>
          <w:spacing w:val="3"/>
          <w:lang w:val="en-AU" w:eastAsia="en-AU"/>
        </w:rPr>
        <w:t>, the Stakeholder Engagement Division an</w:t>
      </w:r>
      <w:r w:rsidRPr="007742B3">
        <w:rPr>
          <w:spacing w:val="3"/>
          <w:lang w:val="en-AU" w:eastAsia="en-AU"/>
        </w:rPr>
        <w:t>d the Remotely Piloted Aircraft Systems Branch.</w:t>
      </w:r>
    </w:p>
    <w:p w14:paraId="141B1DF4" w14:textId="77777777" w:rsidR="006A4FEB" w:rsidRPr="007742B3" w:rsidRDefault="006A4FEB" w:rsidP="006A4FEB">
      <w:pPr>
        <w:rPr>
          <w:spacing w:val="3"/>
          <w:lang w:val="en-AU" w:eastAsia="en-AU"/>
        </w:rPr>
      </w:pPr>
      <w:r w:rsidRPr="007742B3">
        <w:rPr>
          <w:spacing w:val="3"/>
          <w:lang w:val="en-AU" w:eastAsia="en-AU"/>
        </w:rPr>
        <w:t>Shane Carmody, C</w:t>
      </w:r>
      <w:r w:rsidR="00B56F3A">
        <w:rPr>
          <w:spacing w:val="3"/>
          <w:lang w:val="en-AU" w:eastAsia="en-AU"/>
        </w:rPr>
        <w:t xml:space="preserve">hief </w:t>
      </w:r>
      <w:r w:rsidRPr="007742B3">
        <w:rPr>
          <w:spacing w:val="3"/>
          <w:lang w:val="en-AU" w:eastAsia="en-AU"/>
        </w:rPr>
        <w:t>E</w:t>
      </w:r>
      <w:r w:rsidR="00B56F3A">
        <w:rPr>
          <w:spacing w:val="3"/>
          <w:lang w:val="en-AU" w:eastAsia="en-AU"/>
        </w:rPr>
        <w:t xml:space="preserve">xecutive </w:t>
      </w:r>
      <w:r w:rsidRPr="007742B3">
        <w:rPr>
          <w:spacing w:val="3"/>
          <w:lang w:val="en-AU" w:eastAsia="en-AU"/>
        </w:rPr>
        <w:t>O</w:t>
      </w:r>
      <w:r w:rsidR="00B56F3A">
        <w:rPr>
          <w:spacing w:val="3"/>
          <w:lang w:val="en-AU" w:eastAsia="en-AU"/>
        </w:rPr>
        <w:t>fficer</w:t>
      </w:r>
      <w:r w:rsidRPr="007742B3">
        <w:rPr>
          <w:spacing w:val="3"/>
          <w:lang w:val="en-AU" w:eastAsia="en-AU"/>
        </w:rPr>
        <w:t xml:space="preserve"> and Director of Aviation Safety, attended the morning tea</w:t>
      </w:r>
      <w:r>
        <w:rPr>
          <w:spacing w:val="3"/>
          <w:lang w:val="en-AU" w:eastAsia="en-AU"/>
        </w:rPr>
        <w:t>,</w:t>
      </w:r>
      <w:r w:rsidRPr="007742B3">
        <w:rPr>
          <w:spacing w:val="3"/>
          <w:lang w:val="en-AU" w:eastAsia="en-AU"/>
        </w:rPr>
        <w:t xml:space="preserve"> where staff were presented with individual pins and a special plaque from the Queensland Police Service in recognition of CASA</w:t>
      </w:r>
      <w:r>
        <w:rPr>
          <w:spacing w:val="3"/>
          <w:lang w:val="en-AU" w:eastAsia="en-AU"/>
        </w:rPr>
        <w:t>’</w:t>
      </w:r>
      <w:r w:rsidRPr="007742B3">
        <w:rPr>
          <w:spacing w:val="3"/>
          <w:lang w:val="en-AU" w:eastAsia="en-AU"/>
        </w:rPr>
        <w:t>s work.</w:t>
      </w:r>
    </w:p>
    <w:p w14:paraId="6F58D402" w14:textId="77777777" w:rsidR="006A4FEB" w:rsidRPr="007742B3" w:rsidRDefault="006A4FEB" w:rsidP="006A4FEB">
      <w:pPr>
        <w:rPr>
          <w:spacing w:val="3"/>
          <w:lang w:val="en-AU" w:eastAsia="en-AU"/>
        </w:rPr>
      </w:pPr>
      <w:r w:rsidRPr="007742B3">
        <w:rPr>
          <w:spacing w:val="3"/>
          <w:lang w:val="en-AU" w:eastAsia="en-AU"/>
        </w:rPr>
        <w:t>Queensland Police Service Assistant Commissioner Peter Crawford presented the plaque and thanked CASA for contributing to the success of the Commonwealth Games.</w:t>
      </w:r>
    </w:p>
    <w:p w14:paraId="3DCA3DAC" w14:textId="77777777" w:rsidR="006A4FEB" w:rsidRPr="007742B3" w:rsidRDefault="006A4FEB" w:rsidP="006A4FEB">
      <w:pPr>
        <w:rPr>
          <w:spacing w:val="3"/>
          <w:lang w:val="en-AU" w:eastAsia="en-AU"/>
        </w:rPr>
      </w:pPr>
      <w:r w:rsidRPr="007742B3">
        <w:rPr>
          <w:spacing w:val="3"/>
          <w:lang w:val="en-AU" w:eastAsia="en-AU"/>
        </w:rPr>
        <w:t>This was CASA’s second development and implementation of a multi-agency remotely piloted aircraft (drone) protective airspace solution, the first being for the ASEAN–Australia Special Summit held in Australia in April 2018.</w:t>
      </w:r>
    </w:p>
    <w:p w14:paraId="12ACCD86" w14:textId="77777777" w:rsidR="006A4FEB" w:rsidRPr="007742B3" w:rsidRDefault="006A4FEB" w:rsidP="006A4FEB">
      <w:pPr>
        <w:rPr>
          <w:spacing w:val="3"/>
          <w:lang w:val="en-AU" w:eastAsia="en-AU"/>
        </w:rPr>
      </w:pPr>
      <w:r w:rsidRPr="007742B3">
        <w:rPr>
          <w:spacing w:val="3"/>
          <w:lang w:val="en-AU" w:eastAsia="en-AU"/>
        </w:rPr>
        <w:t>The protective airspace project took more than 12 months of liaison and stakeholder engagement with representatives from the Department of Home Affairs, Airservices Australia, the Department of Defence, the Australian Federal Police and the Queensland Police Service.</w:t>
      </w:r>
    </w:p>
    <w:p w14:paraId="0A553F96" w14:textId="77777777" w:rsidR="006A4FEB" w:rsidRPr="007742B3" w:rsidRDefault="006A4FEB" w:rsidP="006A4FEB">
      <w:pPr>
        <w:rPr>
          <w:spacing w:val="3"/>
          <w:lang w:val="en-AU" w:eastAsia="en-AU"/>
        </w:rPr>
      </w:pPr>
      <w:r w:rsidRPr="007742B3">
        <w:rPr>
          <w:spacing w:val="3"/>
          <w:lang w:val="en-AU" w:eastAsia="en-AU"/>
        </w:rPr>
        <w:t xml:space="preserve">The Office of Airspace Regulation developed 17 specific remotely piloted aircraft temporary restricted areas, as well as temporary restricted areas for piloted aircraft, in conjunction with Airservices Australia, the Department of Defence and relevant police forces. </w:t>
      </w:r>
    </w:p>
    <w:p w14:paraId="03750FEC" w14:textId="77777777" w:rsidR="006A4FEB" w:rsidRPr="007742B3" w:rsidRDefault="006A4FEB" w:rsidP="006A4FEB">
      <w:pPr>
        <w:rPr>
          <w:spacing w:val="3"/>
          <w:lang w:val="en-AU" w:eastAsia="en-AU"/>
        </w:rPr>
      </w:pPr>
      <w:r w:rsidRPr="007742B3">
        <w:rPr>
          <w:spacing w:val="3"/>
          <w:lang w:val="en-AU" w:eastAsia="en-AU"/>
        </w:rPr>
        <w:t xml:space="preserve">The team from the Legal and Regulatory Affairs </w:t>
      </w:r>
      <w:r w:rsidR="00D51428">
        <w:rPr>
          <w:spacing w:val="3"/>
          <w:lang w:val="en-AU" w:eastAsia="en-AU"/>
        </w:rPr>
        <w:t>D</w:t>
      </w:r>
      <w:r w:rsidRPr="007742B3">
        <w:rPr>
          <w:spacing w:val="3"/>
          <w:lang w:val="en-AU" w:eastAsia="en-AU"/>
        </w:rPr>
        <w:t>ivision, with input from other areas in CASA, developed at short notice a Civil Aviation Regulation 288 delegation, working extended hours to ensure</w:t>
      </w:r>
      <w:r>
        <w:rPr>
          <w:spacing w:val="3"/>
          <w:lang w:val="en-AU" w:eastAsia="en-AU"/>
        </w:rPr>
        <w:t xml:space="preserve"> that</w:t>
      </w:r>
      <w:r w:rsidRPr="007742B3">
        <w:rPr>
          <w:spacing w:val="3"/>
          <w:lang w:val="en-AU" w:eastAsia="en-AU"/>
        </w:rPr>
        <w:t xml:space="preserve"> the delegation was ready before the games.</w:t>
      </w:r>
    </w:p>
    <w:p w14:paraId="3CF08D94" w14:textId="77777777" w:rsidR="006A4FEB" w:rsidRPr="007742B3" w:rsidRDefault="006A4FEB" w:rsidP="006A4FEB">
      <w:pPr>
        <w:rPr>
          <w:spacing w:val="3"/>
          <w:lang w:val="en-AU" w:eastAsia="en-AU"/>
        </w:rPr>
      </w:pPr>
      <w:r w:rsidRPr="007742B3">
        <w:rPr>
          <w:spacing w:val="3"/>
          <w:lang w:val="en-AU" w:eastAsia="en-AU"/>
        </w:rPr>
        <w:t xml:space="preserve">The Stakeholder Engagement </w:t>
      </w:r>
      <w:r w:rsidRPr="00E37EB9">
        <w:rPr>
          <w:spacing w:val="3"/>
          <w:lang w:val="en-AU" w:eastAsia="en-AU"/>
        </w:rPr>
        <w:t>Division, in consultation</w:t>
      </w:r>
      <w:r w:rsidRPr="007742B3">
        <w:rPr>
          <w:spacing w:val="3"/>
          <w:lang w:val="en-AU" w:eastAsia="en-AU"/>
        </w:rPr>
        <w:t xml:space="preserve"> with other areas within CASA and other agencies, also developed a multifaceted communication strategy to ensure timely and wide distribution of relevant airspace information to a broad audience. </w:t>
      </w:r>
    </w:p>
    <w:p w14:paraId="73742D1F" w14:textId="77777777" w:rsidR="006A4FEB" w:rsidRPr="007742B3" w:rsidRDefault="006A4FEB" w:rsidP="006A4FEB">
      <w:pPr>
        <w:rPr>
          <w:lang w:val="en-AU" w:eastAsia="en-AU"/>
        </w:rPr>
      </w:pPr>
      <w:r w:rsidRPr="007742B3">
        <w:rPr>
          <w:lang w:val="en-AU" w:eastAsia="en-AU"/>
        </w:rPr>
        <w:t xml:space="preserve">Communication material included maps on the CASA website highlighting the restrictions in place during the games; social media and targeted advertising at </w:t>
      </w:r>
      <w:r w:rsidRPr="007742B3">
        <w:rPr>
          <w:lang w:val="en-AU" w:eastAsia="en-AU"/>
        </w:rPr>
        <w:lastRenderedPageBreak/>
        <w:t>Brisbane and Gold Coast airports, hotels, registered clubs</w:t>
      </w:r>
      <w:r>
        <w:rPr>
          <w:lang w:val="en-AU" w:eastAsia="en-AU"/>
        </w:rPr>
        <w:t>,</w:t>
      </w:r>
      <w:r w:rsidRPr="007742B3">
        <w:rPr>
          <w:lang w:val="en-AU" w:eastAsia="en-AU"/>
        </w:rPr>
        <w:t xml:space="preserve"> pubs and shopping centres; and 30,000 postcards promoting the tagline ‘Play it safe these games, leave your drone at home’</w:t>
      </w:r>
      <w:r w:rsidR="00E118C7">
        <w:rPr>
          <w:lang w:val="en-AU" w:eastAsia="en-AU"/>
        </w:rPr>
        <w:t>.</w:t>
      </w:r>
    </w:p>
    <w:p w14:paraId="4AF3ED9B" w14:textId="77777777" w:rsidR="006A4FEB" w:rsidRPr="007742B3" w:rsidRDefault="006A4FEB" w:rsidP="006A4FEB">
      <w:pPr>
        <w:rPr>
          <w:lang w:val="en-AU"/>
        </w:rPr>
      </w:pPr>
      <w:r w:rsidRPr="007742B3">
        <w:rPr>
          <w:spacing w:val="3"/>
          <w:lang w:val="en-AU" w:eastAsia="en-AU"/>
        </w:rPr>
        <w:t>The project was a success: there were only a limited number of airspace incursions by remotely piloted aircraft</w:t>
      </w:r>
      <w:r>
        <w:rPr>
          <w:spacing w:val="3"/>
          <w:lang w:val="en-AU" w:eastAsia="en-AU"/>
        </w:rPr>
        <w:t>,</w:t>
      </w:r>
      <w:r w:rsidRPr="007742B3">
        <w:rPr>
          <w:spacing w:val="3"/>
          <w:lang w:val="en-AU" w:eastAsia="en-AU"/>
        </w:rPr>
        <w:t xml:space="preserve"> and no piloted aircraft breached the temporary restricted areas.</w:t>
      </w:r>
    </w:p>
    <w:p w14:paraId="0AEF2A27" w14:textId="77777777" w:rsidR="0033583D" w:rsidRPr="00974632" w:rsidRDefault="0033583D" w:rsidP="00974632">
      <w:pPr>
        <w:rPr>
          <w:szCs w:val="24"/>
        </w:rPr>
      </w:pPr>
    </w:p>
    <w:p w14:paraId="324D8216" w14:textId="77777777" w:rsidR="00E2713F" w:rsidRPr="00687E4A" w:rsidRDefault="00E2713F">
      <w:pPr>
        <w:pStyle w:val="Heading0Part"/>
      </w:pPr>
      <w:bookmarkStart w:id="54" w:name="_Toc306031124"/>
      <w:bookmarkStart w:id="55" w:name="_Toc523924881"/>
      <w:r w:rsidRPr="00687E4A">
        <w:t>Part 3: Corporate governance and management</w:t>
      </w:r>
      <w:bookmarkEnd w:id="54"/>
      <w:bookmarkEnd w:id="55"/>
    </w:p>
    <w:p w14:paraId="6284453B" w14:textId="77777777" w:rsidR="00E2713F" w:rsidRPr="00687E4A" w:rsidRDefault="00E2713F">
      <w:r w:rsidRPr="00687E4A">
        <w:t>CASA has a range of measures in place to ensure that it meets its commitment to be publicly accountable for its actions and provides a safe and rewarding work environment for its staff. This part of the report details CASA’s corporate governance arrangements, organisational structure and people, and describes the initiatives CASA takes to engage effectively with the wider aviation community.</w:t>
      </w:r>
    </w:p>
    <w:p w14:paraId="0760CDF7" w14:textId="77777777" w:rsidR="00E2713F" w:rsidRPr="00687E4A" w:rsidRDefault="00E2713F">
      <w:pPr>
        <w:pStyle w:val="BulletIntro"/>
        <w:rPr>
          <w:lang w:val="en-GB"/>
        </w:rPr>
      </w:pPr>
      <w:r w:rsidRPr="00687E4A">
        <w:rPr>
          <w:lang w:val="en-GB"/>
        </w:rPr>
        <w:t>In this part:</w:t>
      </w:r>
    </w:p>
    <w:p w14:paraId="27CA34EE" w14:textId="77777777" w:rsidR="00E2713F" w:rsidRPr="00687E4A" w:rsidRDefault="00E2713F">
      <w:pPr>
        <w:pStyle w:val="Bullet"/>
      </w:pPr>
      <w:r w:rsidRPr="00687E4A">
        <w:t>Corporate governance</w:t>
      </w:r>
    </w:p>
    <w:p w14:paraId="135D4AC8" w14:textId="77777777" w:rsidR="00E2713F" w:rsidRPr="00687E4A" w:rsidRDefault="00E2713F">
      <w:pPr>
        <w:pStyle w:val="Bullet"/>
      </w:pPr>
      <w:r w:rsidRPr="00687E4A">
        <w:t>People management</w:t>
      </w:r>
    </w:p>
    <w:p w14:paraId="7D0A9698" w14:textId="77777777" w:rsidR="00E2713F" w:rsidRPr="00687E4A" w:rsidRDefault="00E2713F">
      <w:pPr>
        <w:pStyle w:val="Bullet"/>
      </w:pPr>
      <w:r w:rsidRPr="00687E4A">
        <w:t>Work health and safety</w:t>
      </w:r>
    </w:p>
    <w:p w14:paraId="1A40516A" w14:textId="77777777" w:rsidR="00E2713F" w:rsidRPr="00687E4A" w:rsidRDefault="00E2713F">
      <w:pPr>
        <w:pStyle w:val="Bullet"/>
      </w:pPr>
      <w:r w:rsidRPr="00687E4A">
        <w:t>Disability reporting</w:t>
      </w:r>
    </w:p>
    <w:p w14:paraId="307FFD4A" w14:textId="77777777" w:rsidR="00E2713F" w:rsidRPr="00687E4A" w:rsidRDefault="00E2713F">
      <w:pPr>
        <w:pStyle w:val="Bullet"/>
      </w:pPr>
      <w:r w:rsidRPr="00687E4A">
        <w:t>External engagement</w:t>
      </w:r>
    </w:p>
    <w:p w14:paraId="3924D90C" w14:textId="77777777" w:rsidR="00E2713F" w:rsidRPr="00687E4A" w:rsidRDefault="00E2713F">
      <w:pPr>
        <w:pStyle w:val="BulletLast"/>
      </w:pPr>
      <w:r w:rsidRPr="00687E4A">
        <w:t>External scrutiny</w:t>
      </w:r>
    </w:p>
    <w:p w14:paraId="55A7810B" w14:textId="2515AD3B" w:rsidR="00860F8E" w:rsidRPr="00687E4A" w:rsidRDefault="00860F8E" w:rsidP="00860F8E">
      <w:pPr>
        <w:pStyle w:val="Heading1"/>
        <w:rPr>
          <w:lang w:val="en-GB"/>
        </w:rPr>
      </w:pPr>
      <w:bookmarkStart w:id="56" w:name="_Toc522537156"/>
      <w:bookmarkStart w:id="57" w:name="_Toc523924882"/>
      <w:bookmarkStart w:id="58" w:name="_Toc267471736"/>
      <w:bookmarkStart w:id="59" w:name="_Toc267485853"/>
      <w:bookmarkStart w:id="60" w:name="_Toc268006400"/>
      <w:r w:rsidRPr="00687E4A">
        <w:rPr>
          <w:lang w:val="en-GB"/>
        </w:rPr>
        <w:t>Corporate governance</w:t>
      </w:r>
      <w:bookmarkEnd w:id="56"/>
      <w:bookmarkEnd w:id="57"/>
      <w:r w:rsidRPr="00687E4A">
        <w:rPr>
          <w:lang w:val="en-GB"/>
        </w:rPr>
        <w:t xml:space="preserve"> </w:t>
      </w:r>
    </w:p>
    <w:p w14:paraId="160E5B1D" w14:textId="77777777" w:rsidR="00860F8E" w:rsidRPr="00687E4A" w:rsidRDefault="00860F8E" w:rsidP="00860F8E">
      <w:r w:rsidRPr="00687E4A">
        <w:t>CASA’s governance framework provides the context within which the organisation operates to achieve its objectives, ensuring transparent, ethical and accountable evidence-based decision-making, and effectively managing risk and key stakeholder relationships.</w:t>
      </w:r>
    </w:p>
    <w:p w14:paraId="3FCA3264" w14:textId="77777777" w:rsidR="00860F8E" w:rsidRPr="00687E4A" w:rsidRDefault="00860F8E" w:rsidP="00860F8E">
      <w:r w:rsidRPr="00687E4A">
        <w:t xml:space="preserve">CASA’s governance system is firmly aligned with the </w:t>
      </w:r>
      <w:r w:rsidRPr="00687E4A">
        <w:rPr>
          <w:i/>
        </w:rPr>
        <w:t>Civil Aviation Act 1988</w:t>
      </w:r>
      <w:r w:rsidRPr="00687E4A">
        <w:t xml:space="preserve"> and fully reflects all Commonwealth legislation and policies directly affecting CASA. The system incorporates governing and management arrangements; policy setting</w:t>
      </w:r>
      <w:r>
        <w:t>s</w:t>
      </w:r>
      <w:r w:rsidRPr="00687E4A">
        <w:t>; internal and external communication; risk management and auditing arrangements; quality assurance; and the appointment and management of delegates and authorised persons.</w:t>
      </w:r>
    </w:p>
    <w:p w14:paraId="4AFBEB69" w14:textId="77777777" w:rsidR="00860F8E" w:rsidRPr="00687E4A" w:rsidRDefault="00860F8E" w:rsidP="00860F8E">
      <w:pPr>
        <w:pStyle w:val="Heading2noTOC"/>
        <w:rPr>
          <w:lang w:val="en-GB"/>
        </w:rPr>
      </w:pPr>
      <w:r w:rsidRPr="00687E4A">
        <w:rPr>
          <w:lang w:val="en-GB"/>
        </w:rPr>
        <w:t>Enabling legislation</w:t>
      </w:r>
    </w:p>
    <w:p w14:paraId="3D83071E" w14:textId="77777777" w:rsidR="00860F8E" w:rsidRPr="00687E4A" w:rsidRDefault="00860F8E" w:rsidP="00860F8E">
      <w:r w:rsidRPr="00687E4A">
        <w:t>CASA was established on 6 July 1995 as an independent statutory authority by an amendment to the Civil Aviation Act</w:t>
      </w:r>
      <w:r w:rsidRPr="00E62BA3">
        <w:t>.</w:t>
      </w:r>
    </w:p>
    <w:p w14:paraId="66B4D9EB" w14:textId="77777777" w:rsidR="00860F8E" w:rsidRPr="00687E4A" w:rsidRDefault="00860F8E" w:rsidP="00860F8E">
      <w:r w:rsidRPr="00687E4A">
        <w:t>Under section 9 of the Civil Aviation Act, CASA’s primary function is to regulate the safety of civil air operations in Australia and the operation of Australian aircraft overseas.</w:t>
      </w:r>
    </w:p>
    <w:p w14:paraId="43190C46" w14:textId="77777777" w:rsidR="00860F8E" w:rsidRPr="00687E4A" w:rsidRDefault="00860F8E" w:rsidP="00860F8E">
      <w:r w:rsidRPr="00687E4A">
        <w:lastRenderedPageBreak/>
        <w:t>CASA’s other safety-related functions include encouraging a greater acceptance by the aviation industry of its obligation to maintain high standards of aviation safety by providing comprehensive safety education and training and accurate and timely advice, and by fostering awareness of the importance of aviation safety and compliance with relevant legislation.</w:t>
      </w:r>
    </w:p>
    <w:p w14:paraId="32F8B598" w14:textId="77777777" w:rsidR="00860F8E" w:rsidRPr="00687E4A" w:rsidRDefault="00860F8E" w:rsidP="00860F8E">
      <w:r w:rsidRPr="00687E4A">
        <w:t xml:space="preserve">CASA also has the functions of cooperating with the </w:t>
      </w:r>
      <w:r>
        <w:t>Australian Transport Safety Bureau (</w:t>
      </w:r>
      <w:r w:rsidRPr="00687E4A">
        <w:t>ATSB</w:t>
      </w:r>
      <w:r>
        <w:t>)</w:t>
      </w:r>
      <w:r w:rsidRPr="00687E4A">
        <w:t xml:space="preserve">, implementing aspects of the Australia–New Zealand mutual recognition agreements, and administering elements of the insurance and financial arrangements required under the </w:t>
      </w:r>
      <w:r w:rsidRPr="00687E4A">
        <w:rPr>
          <w:i/>
        </w:rPr>
        <w:t>Civil Aviation (Carriers’ Liability) Act 1959</w:t>
      </w:r>
      <w:r w:rsidRPr="00687E4A">
        <w:t>.</w:t>
      </w:r>
    </w:p>
    <w:p w14:paraId="0A5B4BBC" w14:textId="77777777" w:rsidR="00860F8E" w:rsidRPr="00687E4A" w:rsidRDefault="00860F8E" w:rsidP="00860F8E">
      <w:r w:rsidRPr="00687E4A">
        <w:t>CASA exercises its powers under the Civil Aviation Act and through the Civil Aviation Regulations 1988, Civil Aviation Safety Regulations 1998, Civil Aviation Orders, Manuals of Standards and other legislative instruments. CASA also publishes advisory and guidance materials related to air safety.</w:t>
      </w:r>
    </w:p>
    <w:p w14:paraId="6B7511A8" w14:textId="77777777" w:rsidR="00860F8E" w:rsidRPr="00687E4A" w:rsidRDefault="00860F8E" w:rsidP="00860F8E">
      <w:r w:rsidRPr="00687E4A">
        <w:t xml:space="preserve">CASA has specified obligations under the </w:t>
      </w:r>
      <w:r w:rsidRPr="00687E4A">
        <w:rPr>
          <w:i/>
        </w:rPr>
        <w:t>Airspace Act 2007</w:t>
      </w:r>
      <w:r w:rsidRPr="00687E4A">
        <w:t xml:space="preserve">, the </w:t>
      </w:r>
      <w:r w:rsidRPr="00687E4A">
        <w:rPr>
          <w:i/>
        </w:rPr>
        <w:t>Transport Safety Investigation Act 2003</w:t>
      </w:r>
      <w:r w:rsidRPr="00687E4A">
        <w:t xml:space="preserve"> and the </w:t>
      </w:r>
      <w:r w:rsidRPr="00687E4A">
        <w:rPr>
          <w:i/>
        </w:rPr>
        <w:t>Aviation Transport Security Act 2004</w:t>
      </w:r>
      <w:r w:rsidRPr="00687E4A">
        <w:t>.</w:t>
      </w:r>
    </w:p>
    <w:p w14:paraId="05335A3D" w14:textId="77777777" w:rsidR="00860F8E" w:rsidRPr="00687E4A" w:rsidRDefault="00860F8E" w:rsidP="00860F8E">
      <w:r w:rsidRPr="00687E4A">
        <w:t xml:space="preserve">CASA is accountable as a corporate Commonwealth entity under the </w:t>
      </w:r>
      <w:r w:rsidRPr="006C0823">
        <w:rPr>
          <w:i/>
          <w:iCs/>
        </w:rPr>
        <w:t>Public Governance, Performance and Accountability Act 2013</w:t>
      </w:r>
      <w:r w:rsidRPr="006C0823">
        <w:rPr>
          <w:iCs/>
        </w:rPr>
        <w:t xml:space="preserve"> </w:t>
      </w:r>
      <w:r>
        <w:rPr>
          <w:iCs/>
        </w:rPr>
        <w:t>(</w:t>
      </w:r>
      <w:r w:rsidRPr="00687E4A">
        <w:t>PGPA Act</w:t>
      </w:r>
      <w:r>
        <w:t>)</w:t>
      </w:r>
      <w:r w:rsidRPr="00687E4A">
        <w:t>. CASA has annual reporting responsibilities under section 46 of the PGPA Act and sections 44 and 49 of the Civil Aviation Act. CASA also has a range of reporting and other responsibilities under legislation generally applicable to Commonwealth government authorities.</w:t>
      </w:r>
    </w:p>
    <w:p w14:paraId="1E19818C" w14:textId="77777777" w:rsidR="00860F8E" w:rsidRPr="00687E4A" w:rsidRDefault="00860F8E" w:rsidP="00860F8E">
      <w:pPr>
        <w:pStyle w:val="Heading2noTOC"/>
        <w:rPr>
          <w:lang w:val="en-GB"/>
        </w:rPr>
      </w:pPr>
      <w:r w:rsidRPr="00687E4A">
        <w:rPr>
          <w:lang w:val="en-GB"/>
        </w:rPr>
        <w:t>Portfolio structure and responsible minister</w:t>
      </w:r>
    </w:p>
    <w:p w14:paraId="538B91DA" w14:textId="77777777" w:rsidR="00860F8E" w:rsidRPr="00687E4A" w:rsidRDefault="00860F8E" w:rsidP="00860F8E">
      <w:r w:rsidRPr="00687E4A">
        <w:t xml:space="preserve">CASA is a statutory authority within the </w:t>
      </w:r>
      <w:r w:rsidR="006F007E">
        <w:t>Transport,</w:t>
      </w:r>
      <w:r w:rsidRPr="00687E4A">
        <w:t xml:space="preserve"> Regional Development </w:t>
      </w:r>
      <w:r w:rsidR="006F007E">
        <w:t xml:space="preserve">and Cities </w:t>
      </w:r>
      <w:r w:rsidRPr="00687E4A">
        <w:t xml:space="preserve">portfolio. The </w:t>
      </w:r>
      <w:r>
        <w:t>m</w:t>
      </w:r>
      <w:r w:rsidRPr="00687E4A">
        <w:t>inister responsible for CASA is the Hon Michael McCormack MP, Minister for Infrastructure</w:t>
      </w:r>
      <w:r w:rsidR="00CC3FFD">
        <w:t>,</w:t>
      </w:r>
      <w:r w:rsidRPr="00687E4A">
        <w:t xml:space="preserve"> Transport</w:t>
      </w:r>
      <w:r w:rsidR="00CC3FFD">
        <w:t xml:space="preserve"> and Regional Development</w:t>
      </w:r>
      <w:r w:rsidRPr="00687E4A">
        <w:t>.</w:t>
      </w:r>
      <w:r>
        <w:t xml:space="preserve"> The Hon Darren Chester MP was the </w:t>
      </w:r>
      <w:r w:rsidR="00CC3FFD">
        <w:t xml:space="preserve">responsible minister </w:t>
      </w:r>
      <w:r>
        <w:t>from 18 February 2016 to 20 December 2017 and the Hon Barnaby Joyce MP held the position from 20 December 2017 to 26 February 2018.</w:t>
      </w:r>
    </w:p>
    <w:p w14:paraId="2C6748AA" w14:textId="77777777" w:rsidR="00860F8E" w:rsidRPr="00687E4A" w:rsidRDefault="00860F8E" w:rsidP="00860F8E">
      <w:pPr>
        <w:pStyle w:val="Heading2"/>
      </w:pPr>
      <w:r w:rsidRPr="00687E4A">
        <w:t xml:space="preserve">Ministerial directions </w:t>
      </w:r>
    </w:p>
    <w:p w14:paraId="115B6DE3" w14:textId="77777777" w:rsidR="00860F8E" w:rsidRPr="00687E4A" w:rsidRDefault="00860F8E" w:rsidP="00860F8E">
      <w:r w:rsidRPr="00687E4A">
        <w:t xml:space="preserve">On 21 March 2017, the Minister for Infrastructure and Transport issued a notice of strategic direction under section 12A of the Civil Aviation Act, in the form of a Statement of Expectations for the Board of CASA. The Statement of Expectations is the formal and public written expression of the Minister’s expectations concerning the operations and performance of CASA for the period from 27 March 2017 to 30 June 2019. </w:t>
      </w:r>
    </w:p>
    <w:p w14:paraId="7B9365EB" w14:textId="77777777" w:rsidR="00860F8E" w:rsidRPr="00687E4A" w:rsidRDefault="00860F8E" w:rsidP="00860F8E">
      <w:r w:rsidRPr="00687E4A">
        <w:t>The Minister’s expectations are reflected in the corporate plan for 2017–18, which was endorsed by the Board in line with its functions under section 53 of the Civil Aviation Act</w:t>
      </w:r>
      <w:r w:rsidRPr="00687E4A">
        <w:rPr>
          <w:i/>
          <w:iCs/>
        </w:rPr>
        <w:t>.</w:t>
      </w:r>
    </w:p>
    <w:p w14:paraId="60B9DB02" w14:textId="77777777" w:rsidR="00860F8E" w:rsidRDefault="00860F8E" w:rsidP="00860F8E">
      <w:r w:rsidRPr="00687E4A">
        <w:t xml:space="preserve">Under section 19 of the PGPA Act, CASA is required to give the Minister for Infrastructure and Transport or the Finance Minister reports, documents and information on its activities. In 2017–18, this included a report on CASA’s compliance with the requirements of the public governance, performance and accountability framework and regular reports on CASA’s performance. </w:t>
      </w:r>
    </w:p>
    <w:p w14:paraId="5513D8A2" w14:textId="77777777" w:rsidR="00860F8E" w:rsidRPr="00687E4A" w:rsidRDefault="00860F8E" w:rsidP="00860F8E">
      <w:r>
        <w:t xml:space="preserve">On 16 August 2017, the Minister for Finance signed </w:t>
      </w:r>
      <w:r w:rsidRPr="006F007E">
        <w:rPr>
          <w:iCs/>
        </w:rPr>
        <w:t>Public Governance, Performance and Accountability (Charging for Regulatory Activities) Order 2017</w:t>
      </w:r>
      <w:r>
        <w:t xml:space="preserve"> which requires </w:t>
      </w:r>
      <w:r>
        <w:lastRenderedPageBreak/>
        <w:t>CASA to apply certain policies relating to charging for regulatory activities. This order came into effect on 24 August 2017.</w:t>
      </w:r>
    </w:p>
    <w:p w14:paraId="756A90D2" w14:textId="77777777" w:rsidR="00860F8E" w:rsidRPr="00687E4A" w:rsidRDefault="00860F8E" w:rsidP="00860F8E">
      <w:pPr>
        <w:pStyle w:val="Heading2"/>
        <w:rPr>
          <w:lang w:val="en-GB"/>
        </w:rPr>
      </w:pPr>
      <w:r w:rsidRPr="00687E4A">
        <w:rPr>
          <w:lang w:val="en-GB"/>
        </w:rPr>
        <w:t>CASA Board</w:t>
      </w:r>
    </w:p>
    <w:p w14:paraId="1442BD8E" w14:textId="77777777" w:rsidR="00860F8E" w:rsidRPr="00687E4A" w:rsidRDefault="00860F8E" w:rsidP="00860F8E">
      <w:r w:rsidRPr="00687E4A">
        <w:t>The CASA Board was established under Part VII of the</w:t>
      </w:r>
      <w:r w:rsidRPr="00687E4A">
        <w:rPr>
          <w:i/>
          <w:iCs/>
        </w:rPr>
        <w:t xml:space="preserve"> </w:t>
      </w:r>
      <w:r w:rsidRPr="00687E4A">
        <w:t>Civil Aviation Act. The Board comprises a Chair</w:t>
      </w:r>
      <w:r>
        <w:t>;</w:t>
      </w:r>
      <w:r w:rsidRPr="00687E4A">
        <w:t xml:space="preserve"> a Deputy Chair</w:t>
      </w:r>
      <w:r>
        <w:t>;</w:t>
      </w:r>
      <w:r w:rsidRPr="00687E4A">
        <w:t xml:space="preserve"> the C</w:t>
      </w:r>
      <w:r>
        <w:t xml:space="preserve">hief </w:t>
      </w:r>
      <w:r w:rsidRPr="00687E4A">
        <w:t>E</w:t>
      </w:r>
      <w:r>
        <w:t xml:space="preserve">xecutive </w:t>
      </w:r>
      <w:r w:rsidRPr="00687E4A">
        <w:t>O</w:t>
      </w:r>
      <w:r>
        <w:t>fficer</w:t>
      </w:r>
      <w:r w:rsidR="00A37963">
        <w:t xml:space="preserve"> and </w:t>
      </w:r>
      <w:r w:rsidRPr="00687E4A">
        <w:t>D</w:t>
      </w:r>
      <w:r>
        <w:t>irector of Aviation Safety (CEO/D</w:t>
      </w:r>
      <w:r w:rsidRPr="00687E4A">
        <w:t>AS</w:t>
      </w:r>
      <w:r>
        <w:t>),</w:t>
      </w:r>
      <w:r w:rsidRPr="00687E4A">
        <w:t xml:space="preserve"> as an ex-officio member</w:t>
      </w:r>
      <w:r>
        <w:t>;</w:t>
      </w:r>
      <w:r w:rsidRPr="00687E4A">
        <w:t xml:space="preserve"> and up to four other members. At 30 June 2018, the Board comprised the maximum seven members, although the Minister had yet to appoint a Deputy Chair.</w:t>
      </w:r>
    </w:p>
    <w:p w14:paraId="5F6EAE66" w14:textId="77777777" w:rsidR="00860F8E" w:rsidRPr="00687E4A" w:rsidRDefault="00860F8E" w:rsidP="00860F8E">
      <w:pPr>
        <w:pStyle w:val="BulletIntro"/>
        <w:rPr>
          <w:szCs w:val="24"/>
          <w:lang w:val="en-GB"/>
        </w:rPr>
      </w:pPr>
      <w:r w:rsidRPr="00687E4A">
        <w:rPr>
          <w:szCs w:val="24"/>
          <w:lang w:val="en-GB"/>
        </w:rPr>
        <w:t>The functions of the Board are to:</w:t>
      </w:r>
    </w:p>
    <w:p w14:paraId="342579A3" w14:textId="77777777" w:rsidR="00860F8E" w:rsidRPr="00687E4A" w:rsidRDefault="00860F8E" w:rsidP="00860F8E">
      <w:pPr>
        <w:pStyle w:val="Bullet"/>
        <w:rPr>
          <w:szCs w:val="24"/>
        </w:rPr>
      </w:pPr>
      <w:r w:rsidRPr="00687E4A">
        <w:rPr>
          <w:szCs w:val="24"/>
        </w:rPr>
        <w:t>decide CASA’s objectives, strategies and policies</w:t>
      </w:r>
    </w:p>
    <w:p w14:paraId="1CB8425A" w14:textId="77777777" w:rsidR="00860F8E" w:rsidRPr="00687E4A" w:rsidRDefault="00860F8E" w:rsidP="00860F8E">
      <w:pPr>
        <w:pStyle w:val="Bullet"/>
        <w:rPr>
          <w:szCs w:val="24"/>
        </w:rPr>
      </w:pPr>
      <w:r w:rsidRPr="00687E4A">
        <w:rPr>
          <w:szCs w:val="24"/>
        </w:rPr>
        <w:t>ensure that CASA performs its functions in a proper, efficient and effective manner</w:t>
      </w:r>
    </w:p>
    <w:p w14:paraId="63D62BE4" w14:textId="77777777" w:rsidR="00860F8E" w:rsidRPr="00687E4A" w:rsidRDefault="00860F8E" w:rsidP="00860F8E">
      <w:pPr>
        <w:pStyle w:val="BulletLast"/>
        <w:rPr>
          <w:szCs w:val="24"/>
        </w:rPr>
      </w:pPr>
      <w:r w:rsidRPr="00687E4A">
        <w:rPr>
          <w:szCs w:val="24"/>
        </w:rPr>
        <w:t>ensure that CASA complies with specified ministerial directions.</w:t>
      </w:r>
    </w:p>
    <w:p w14:paraId="2A5EC8AF" w14:textId="77777777" w:rsidR="00860F8E" w:rsidRPr="00687E4A" w:rsidRDefault="00860F8E" w:rsidP="00860F8E">
      <w:r w:rsidRPr="00687E4A">
        <w:t>The Board puts in place strategies, policies and directions to guide the CEO/DAS and staff in their conduct of CASA’s day-to-day business.</w:t>
      </w:r>
    </w:p>
    <w:p w14:paraId="1145A8E9" w14:textId="77777777" w:rsidR="00860F8E" w:rsidRPr="00687E4A" w:rsidRDefault="00860F8E" w:rsidP="00860F8E">
      <w:pPr>
        <w:pStyle w:val="Heading3"/>
        <w:rPr>
          <w:lang w:val="en-GB"/>
        </w:rPr>
      </w:pPr>
      <w:r w:rsidRPr="00687E4A">
        <w:rPr>
          <w:lang w:val="en-GB"/>
        </w:rPr>
        <w:t>Board members</w:t>
      </w:r>
    </w:p>
    <w:p w14:paraId="386DA320" w14:textId="77777777" w:rsidR="00860F8E" w:rsidRPr="00687E4A" w:rsidRDefault="00860F8E" w:rsidP="00860F8E">
      <w:r w:rsidRPr="00687E4A">
        <w:t xml:space="preserve">With the exception of the CEO/DAS, Board members are appointed on a part-time basis by the Minister for terms of up to three years, subject to possible reappointment. In appointing Board members, the Minister must ensure there is an appropriate balance of professional expertise and experience but need not ensure that particular sectors of the aviation industry are represented. </w:t>
      </w:r>
    </w:p>
    <w:p w14:paraId="6117CA1B" w14:textId="77777777" w:rsidR="00860F8E" w:rsidRPr="00687E4A" w:rsidRDefault="00860F8E" w:rsidP="00860F8E">
      <w:r w:rsidRPr="00687E4A">
        <w:t>The Director of Aviation Safety is appointed under Part VIIA of the Civil Aviation Act</w:t>
      </w:r>
      <w:r w:rsidRPr="00687E4A">
        <w:rPr>
          <w:i/>
          <w:iCs/>
        </w:rPr>
        <w:t>.</w:t>
      </w:r>
      <w:r w:rsidRPr="00687E4A">
        <w:t xml:space="preserve"> After consulting the Minister, the Board appoints the Director for a term of up to five years, subject to possible reappointment. The Director manages CASA subject to the directions of, and in accordance with policies determined by, the Board. </w:t>
      </w:r>
    </w:p>
    <w:p w14:paraId="68B15296" w14:textId="77777777" w:rsidR="00860F8E" w:rsidRPr="00687E4A" w:rsidRDefault="00860F8E" w:rsidP="00860F8E">
      <w:r w:rsidRPr="00687E4A">
        <w:t>Mr Shane Carmody occupied the role of CEO/DAS for the full 2017–18 period.</w:t>
      </w:r>
    </w:p>
    <w:p w14:paraId="75BA2A18" w14:textId="77777777" w:rsidR="00860F8E" w:rsidRPr="00687E4A" w:rsidRDefault="00860F8E" w:rsidP="00860F8E">
      <w:r w:rsidRPr="00687E4A">
        <w:t>Two new Board members were appointed in 2017–18</w:t>
      </w:r>
      <w:r>
        <w:t>,</w:t>
      </w:r>
      <w:r w:rsidRPr="00687E4A">
        <w:t xml:space="preserve"> </w:t>
      </w:r>
      <w:r>
        <w:t>for</w:t>
      </w:r>
      <w:r w:rsidRPr="00687E4A">
        <w:t xml:space="preserve"> three-year terms</w:t>
      </w:r>
      <w:r>
        <w:t>:</w:t>
      </w:r>
      <w:r w:rsidRPr="00687E4A">
        <w:t xml:space="preserve"> Ms Jane McAloon</w:t>
      </w:r>
      <w:r>
        <w:t>, on</w:t>
      </w:r>
      <w:r w:rsidRPr="00687E4A">
        <w:t xml:space="preserve"> 2 January 2018</w:t>
      </w:r>
      <w:r>
        <w:t>;</w:t>
      </w:r>
      <w:r w:rsidRPr="00687E4A">
        <w:t xml:space="preserve"> and Mr Mark Rindfleish</w:t>
      </w:r>
      <w:r>
        <w:t>,</w:t>
      </w:r>
      <w:r w:rsidRPr="00687E4A">
        <w:t xml:space="preserve"> </w:t>
      </w:r>
      <w:r>
        <w:t>on</w:t>
      </w:r>
      <w:r w:rsidRPr="00687E4A">
        <w:t xml:space="preserve"> 16 April 2018. </w:t>
      </w:r>
      <w:r>
        <w:t>Ms Anita Taylor was reappointed, for a term that will expire on 1 March 2020.</w:t>
      </w:r>
    </w:p>
    <w:p w14:paraId="01EDC040" w14:textId="77777777" w:rsidR="00860F8E" w:rsidRPr="00687E4A" w:rsidRDefault="00860F8E" w:rsidP="00860F8E">
      <w:r w:rsidRPr="00687E4A">
        <w:t xml:space="preserve">Table </w:t>
      </w:r>
      <w:r w:rsidR="0050220E">
        <w:t>5</w:t>
      </w:r>
      <w:r w:rsidR="0050220E" w:rsidRPr="00687E4A">
        <w:t xml:space="preserve"> </w:t>
      </w:r>
      <w:r w:rsidRPr="00687E4A">
        <w:t>summarises the qualifications and experience of the Board members at 30 June 2018.</w:t>
      </w:r>
    </w:p>
    <w:p w14:paraId="18F50F86" w14:textId="77777777" w:rsidR="00860F8E" w:rsidRPr="00687E4A" w:rsidRDefault="00860F8E" w:rsidP="00860F8E">
      <w:pPr>
        <w:pStyle w:val="TableName"/>
      </w:pPr>
      <w:r w:rsidRPr="00687E4A">
        <w:lastRenderedPageBreak/>
        <w:t xml:space="preserve">Table </w:t>
      </w:r>
      <w:r w:rsidR="0050220E">
        <w:t>5</w:t>
      </w:r>
      <w:r w:rsidRPr="00687E4A">
        <w:tab/>
        <w:t>CASA Board members at 30 June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2126"/>
        <w:gridCol w:w="6890"/>
      </w:tblGrid>
      <w:tr w:rsidR="00860F8E" w:rsidRPr="00687E4A" w14:paraId="0B011375" w14:textId="77777777" w:rsidTr="00A86663">
        <w:tc>
          <w:tcPr>
            <w:tcW w:w="2157" w:type="dxa"/>
          </w:tcPr>
          <w:p w14:paraId="0C614AF9" w14:textId="77777777" w:rsidR="00860F8E" w:rsidRPr="00687E4A" w:rsidRDefault="00860F8E" w:rsidP="00EF6063">
            <w:pPr>
              <w:pStyle w:val="TableHeading"/>
              <w:rPr>
                <w:rFonts w:eastAsia="Times New Roman"/>
              </w:rPr>
            </w:pPr>
            <w:r w:rsidRPr="00687E4A">
              <w:rPr>
                <w:rFonts w:eastAsia="Times New Roman"/>
              </w:rPr>
              <w:t>Mr Jeff Boyd</w:t>
            </w:r>
          </w:p>
          <w:p w14:paraId="0B85DAEC" w14:textId="77777777" w:rsidR="00860F8E" w:rsidRPr="00687E4A" w:rsidRDefault="00860F8E" w:rsidP="00EF6063">
            <w:pPr>
              <w:pStyle w:val="TableHeading"/>
              <w:rPr>
                <w:rFonts w:eastAsia="Times New Roman"/>
              </w:rPr>
            </w:pPr>
            <w:r w:rsidRPr="00687E4A">
              <w:rPr>
                <w:rFonts w:eastAsia="Times New Roman"/>
              </w:rPr>
              <w:t>Chair</w:t>
            </w:r>
          </w:p>
          <w:p w14:paraId="292C4682" w14:textId="77777777" w:rsidR="00860F8E" w:rsidRPr="00687E4A" w:rsidRDefault="00860F8E" w:rsidP="00EF6063">
            <w:pPr>
              <w:pStyle w:val="TableHeading"/>
              <w:rPr>
                <w:rFonts w:eastAsia="Times New Roman"/>
              </w:rPr>
            </w:pPr>
            <w:r w:rsidRPr="00687E4A">
              <w:rPr>
                <w:rFonts w:eastAsia="Times New Roman"/>
              </w:rPr>
              <w:t>First appointed:</w:t>
            </w:r>
          </w:p>
          <w:p w14:paraId="2299BA9A" w14:textId="77777777" w:rsidR="00860F8E" w:rsidRPr="00687E4A" w:rsidRDefault="00860F8E" w:rsidP="00EF6063">
            <w:pPr>
              <w:pStyle w:val="TableText"/>
              <w:rPr>
                <w:rFonts w:eastAsia="Times New Roman"/>
              </w:rPr>
            </w:pPr>
            <w:r w:rsidRPr="00687E4A">
              <w:rPr>
                <w:rFonts w:eastAsia="Times New Roman"/>
              </w:rPr>
              <w:t>1 July 2014</w:t>
            </w:r>
          </w:p>
          <w:p w14:paraId="7E986375" w14:textId="77777777" w:rsidR="00860F8E" w:rsidRPr="00687E4A" w:rsidRDefault="00860F8E" w:rsidP="00EF6063">
            <w:pPr>
              <w:pStyle w:val="TableText"/>
              <w:rPr>
                <w:rFonts w:eastAsia="Times New Roman"/>
              </w:rPr>
            </w:pPr>
            <w:r w:rsidRPr="00687E4A">
              <w:rPr>
                <w:rFonts w:eastAsia="Times New Roman"/>
              </w:rPr>
              <w:t>Non-executive member</w:t>
            </w:r>
          </w:p>
        </w:tc>
        <w:tc>
          <w:tcPr>
            <w:tcW w:w="7085" w:type="dxa"/>
          </w:tcPr>
          <w:p w14:paraId="372C8494" w14:textId="77777777" w:rsidR="00860F8E" w:rsidRPr="00687E4A" w:rsidRDefault="00860F8E" w:rsidP="00EF6063">
            <w:pPr>
              <w:keepNext/>
              <w:spacing w:before="80" w:after="80" w:line="276" w:lineRule="auto"/>
              <w:rPr>
                <w:rFonts w:ascii="Arial Narrow" w:hAnsi="Arial Narrow"/>
                <w:sz w:val="20"/>
              </w:rPr>
            </w:pPr>
            <w:r w:rsidRPr="00687E4A">
              <w:rPr>
                <w:rFonts w:ascii="Arial Narrow" w:hAnsi="Arial Narrow"/>
                <w:sz w:val="20"/>
              </w:rPr>
              <w:t>Mr Jeff Boyd has qualifications as a licensed aircraft maintenance engineer, commercial pilot and company director.</w:t>
            </w:r>
          </w:p>
          <w:p w14:paraId="41E6EC05" w14:textId="77777777" w:rsidR="00860F8E" w:rsidRPr="00687E4A" w:rsidRDefault="00860F8E" w:rsidP="00EF6063">
            <w:pPr>
              <w:keepNext/>
              <w:spacing w:before="80" w:after="80" w:line="276" w:lineRule="auto"/>
              <w:rPr>
                <w:rFonts w:ascii="Arial Narrow" w:hAnsi="Arial Narrow"/>
                <w:sz w:val="20"/>
              </w:rPr>
            </w:pPr>
            <w:r w:rsidRPr="00687E4A">
              <w:rPr>
                <w:rFonts w:ascii="Arial Narrow" w:hAnsi="Arial Narrow"/>
                <w:sz w:val="20"/>
              </w:rPr>
              <w:t xml:space="preserve">Mr Boyd commenced his career in aviation in 1980 as an aircraft maintenance engineer, before qualifying as a commercial pilot and also working as the chief engineer with a regional airline. </w:t>
            </w:r>
          </w:p>
          <w:p w14:paraId="52F955E1" w14:textId="77777777" w:rsidR="00860F8E" w:rsidRPr="00687E4A" w:rsidRDefault="00860F8E" w:rsidP="00EF6063">
            <w:pPr>
              <w:keepNext/>
              <w:spacing w:before="80" w:after="80" w:line="276" w:lineRule="auto"/>
              <w:rPr>
                <w:rFonts w:ascii="Arial Narrow" w:hAnsi="Arial Narrow"/>
                <w:sz w:val="20"/>
              </w:rPr>
            </w:pPr>
            <w:r w:rsidRPr="00687E4A">
              <w:rPr>
                <w:rFonts w:ascii="Arial Narrow" w:hAnsi="Arial Narrow"/>
                <w:sz w:val="20"/>
              </w:rPr>
              <w:t xml:space="preserve">In 1994, with his wife, Lara Corry-Boyd, he gained an air operator certificate as a charter operator and established Brindabella Airlines. Mr Boyd and his wife grew this business to include regular public transport operations, a flying training school and aircraft maintenance and engineering. In 2002, Brindabella Airlines gained Qantas affiliate status and commenced services from Canberra to Newcastle, Albury and Wagga Wagga. Mr Boyd sold the airline in 2011. At that time it operated over 7,000 regular public transport flights per year to 10 regional and capital city airports. </w:t>
            </w:r>
          </w:p>
          <w:p w14:paraId="42607F51" w14:textId="77777777" w:rsidR="00860F8E" w:rsidRPr="00687E4A" w:rsidRDefault="00860F8E" w:rsidP="00EF6063">
            <w:pPr>
              <w:pStyle w:val="TableText"/>
              <w:rPr>
                <w:rFonts w:eastAsia="Times New Roman"/>
              </w:rPr>
            </w:pPr>
            <w:r w:rsidRPr="00687E4A">
              <w:t>In 2008, Mr Boyd was a finalist in the Ernst &amp; Young Entrepreneur of the Year Award. He has served as a member of the Reserve Bank Small Business Advisory Board, a director and Chairman of the Regional Aviation Association of Australia (RAAA), Chairman of the RAAA Technical Working Group, a director of the Australian Aviation Hall of Fame, and a director of Jetfast Aviation Pty Ltd.</w:t>
            </w:r>
          </w:p>
        </w:tc>
      </w:tr>
      <w:tr w:rsidR="00860F8E" w:rsidRPr="00687E4A" w14:paraId="79B2C4D3" w14:textId="77777777" w:rsidTr="00A86663">
        <w:tc>
          <w:tcPr>
            <w:tcW w:w="2157" w:type="dxa"/>
          </w:tcPr>
          <w:p w14:paraId="4354187D" w14:textId="77777777" w:rsidR="00860F8E" w:rsidRPr="00687E4A" w:rsidRDefault="00860F8E" w:rsidP="00EF6063">
            <w:pPr>
              <w:pStyle w:val="TableHeading"/>
              <w:keepNext w:val="0"/>
              <w:rPr>
                <w:rFonts w:eastAsia="Times New Roman"/>
              </w:rPr>
            </w:pPr>
            <w:r w:rsidRPr="00687E4A">
              <w:rPr>
                <w:rFonts w:eastAsia="Times New Roman"/>
              </w:rPr>
              <w:t>Ms Anita Taylor</w:t>
            </w:r>
          </w:p>
          <w:p w14:paraId="0C3C5AF7" w14:textId="77777777" w:rsidR="00860F8E" w:rsidRPr="00687E4A" w:rsidRDefault="00860F8E" w:rsidP="00EF6063">
            <w:pPr>
              <w:pStyle w:val="TableHeading"/>
              <w:rPr>
                <w:rFonts w:eastAsia="Times New Roman"/>
              </w:rPr>
            </w:pPr>
            <w:r w:rsidRPr="00687E4A">
              <w:rPr>
                <w:rFonts w:eastAsia="Times New Roman"/>
              </w:rPr>
              <w:t>First appointed:</w:t>
            </w:r>
          </w:p>
          <w:p w14:paraId="027A6A42" w14:textId="77777777" w:rsidR="00860F8E" w:rsidRDefault="00860F8E" w:rsidP="00EF6063">
            <w:pPr>
              <w:pStyle w:val="TableText"/>
              <w:rPr>
                <w:rFonts w:eastAsia="Times New Roman"/>
              </w:rPr>
            </w:pPr>
            <w:r w:rsidRPr="00687E4A">
              <w:rPr>
                <w:rFonts w:eastAsia="Times New Roman"/>
              </w:rPr>
              <w:t>3 December 2014</w:t>
            </w:r>
          </w:p>
          <w:p w14:paraId="2D4B261E" w14:textId="77777777" w:rsidR="00860F8E" w:rsidRPr="00E32735" w:rsidRDefault="00860F8E" w:rsidP="00EF6063">
            <w:pPr>
              <w:pStyle w:val="TableText"/>
              <w:rPr>
                <w:rFonts w:eastAsia="Times New Roman"/>
                <w:b/>
              </w:rPr>
            </w:pPr>
            <w:r w:rsidRPr="00E32735">
              <w:rPr>
                <w:rFonts w:eastAsia="Times New Roman"/>
                <w:b/>
              </w:rPr>
              <w:t>Reappointed:</w:t>
            </w:r>
          </w:p>
          <w:p w14:paraId="370212F6" w14:textId="77777777" w:rsidR="00860F8E" w:rsidRPr="00687E4A" w:rsidRDefault="00860F8E" w:rsidP="00EF6063">
            <w:pPr>
              <w:pStyle w:val="TableText"/>
              <w:rPr>
                <w:rFonts w:eastAsia="Times New Roman"/>
              </w:rPr>
            </w:pPr>
            <w:r>
              <w:rPr>
                <w:rFonts w:eastAsia="Times New Roman"/>
              </w:rPr>
              <w:t>18 December 2017</w:t>
            </w:r>
          </w:p>
          <w:p w14:paraId="659E2B7A" w14:textId="77777777" w:rsidR="00860F8E" w:rsidRPr="00687E4A" w:rsidRDefault="00860F8E" w:rsidP="00EF6063">
            <w:pPr>
              <w:pStyle w:val="TableText"/>
              <w:rPr>
                <w:rFonts w:eastAsia="Times New Roman"/>
              </w:rPr>
            </w:pPr>
            <w:r w:rsidRPr="00687E4A">
              <w:t>Non-executive member</w:t>
            </w:r>
          </w:p>
        </w:tc>
        <w:tc>
          <w:tcPr>
            <w:tcW w:w="7085" w:type="dxa"/>
          </w:tcPr>
          <w:p w14:paraId="7FF6C56D" w14:textId="77777777" w:rsidR="00860F8E" w:rsidRPr="00687E4A" w:rsidRDefault="00860F8E" w:rsidP="00EF6063">
            <w:pPr>
              <w:keepNext/>
              <w:spacing w:before="80" w:after="80"/>
              <w:rPr>
                <w:rFonts w:ascii="Arial Narrow" w:hAnsi="Arial Narrow"/>
                <w:sz w:val="20"/>
              </w:rPr>
            </w:pPr>
            <w:r w:rsidRPr="00687E4A">
              <w:rPr>
                <w:rFonts w:ascii="Arial Narrow" w:hAnsi="Arial Narrow"/>
                <w:sz w:val="20"/>
              </w:rPr>
              <w:t>Ms Anita Taylor is a chartered accountant with mediation, psychology and governance qualifications. She has a Bachelor of Science (Psychology) and a Bachelor of Commerce (Accounting). Ms Taylor is also a glider pilot.</w:t>
            </w:r>
          </w:p>
          <w:p w14:paraId="3900EC32" w14:textId="77777777" w:rsidR="00860F8E" w:rsidRPr="00687E4A" w:rsidRDefault="00860F8E" w:rsidP="00EF6063">
            <w:pPr>
              <w:keepNext/>
              <w:spacing w:before="80" w:after="80"/>
              <w:rPr>
                <w:rFonts w:ascii="Arial Narrow" w:hAnsi="Arial Narrow"/>
                <w:sz w:val="20"/>
              </w:rPr>
            </w:pPr>
            <w:r w:rsidRPr="00687E4A">
              <w:rPr>
                <w:rFonts w:ascii="Arial Narrow" w:hAnsi="Arial Narrow"/>
                <w:sz w:val="20"/>
              </w:rPr>
              <w:t>Ms Taylor is Chair of the CASA Board Audit Committee. She is an experienced company director and chairperson, having previously served on financial, education, sports administration, agricultural and development boards. She has also served on committees of community and not-for-profit organisations, and on public and listed companies.</w:t>
            </w:r>
          </w:p>
          <w:p w14:paraId="73720EE8" w14:textId="77777777" w:rsidR="00860F8E" w:rsidRPr="00687E4A" w:rsidRDefault="00860F8E" w:rsidP="00EF6063">
            <w:pPr>
              <w:pStyle w:val="TableText"/>
              <w:rPr>
                <w:rFonts w:eastAsia="Times New Roman"/>
              </w:rPr>
            </w:pPr>
            <w:r w:rsidRPr="00687E4A">
              <w:t>Ms Taylor and her husband run a superfine merino and Angus cattle property in regional New South Wales.</w:t>
            </w:r>
          </w:p>
        </w:tc>
      </w:tr>
      <w:tr w:rsidR="00860F8E" w:rsidRPr="00687E4A" w14:paraId="6C9BCB0A" w14:textId="77777777" w:rsidTr="00A86663">
        <w:tc>
          <w:tcPr>
            <w:tcW w:w="2157" w:type="dxa"/>
          </w:tcPr>
          <w:p w14:paraId="5A35DE3E" w14:textId="77777777" w:rsidR="00860F8E" w:rsidRPr="00687E4A" w:rsidRDefault="00860F8E" w:rsidP="00EF6063">
            <w:pPr>
              <w:pStyle w:val="TableHeading"/>
              <w:keepNext w:val="0"/>
              <w:rPr>
                <w:rFonts w:eastAsia="Times New Roman"/>
              </w:rPr>
            </w:pPr>
            <w:r w:rsidRPr="00687E4A">
              <w:rPr>
                <w:rFonts w:eastAsia="Times New Roman"/>
              </w:rPr>
              <w:t>Ms Philippa Stone</w:t>
            </w:r>
          </w:p>
          <w:p w14:paraId="5F9BD9A5" w14:textId="77777777" w:rsidR="00860F8E" w:rsidRPr="00687E4A" w:rsidRDefault="00860F8E" w:rsidP="00EF6063">
            <w:pPr>
              <w:pStyle w:val="TableHeading"/>
              <w:rPr>
                <w:rFonts w:eastAsia="Times New Roman"/>
              </w:rPr>
            </w:pPr>
            <w:r w:rsidRPr="00687E4A">
              <w:rPr>
                <w:rFonts w:eastAsia="Times New Roman"/>
              </w:rPr>
              <w:t>First appointed:</w:t>
            </w:r>
          </w:p>
          <w:p w14:paraId="78F98912" w14:textId="77777777" w:rsidR="00860F8E" w:rsidRPr="00687E4A" w:rsidRDefault="00860F8E" w:rsidP="00EF6063">
            <w:pPr>
              <w:pStyle w:val="TableText"/>
              <w:rPr>
                <w:rFonts w:eastAsia="Times New Roman"/>
              </w:rPr>
            </w:pPr>
            <w:r w:rsidRPr="00687E4A">
              <w:rPr>
                <w:rFonts w:eastAsia="Times New Roman"/>
              </w:rPr>
              <w:t>1 October 2015</w:t>
            </w:r>
          </w:p>
          <w:p w14:paraId="180C7A97" w14:textId="77777777" w:rsidR="00860F8E" w:rsidRPr="00687E4A" w:rsidRDefault="00860F8E" w:rsidP="00EF6063">
            <w:pPr>
              <w:pStyle w:val="TableText"/>
              <w:rPr>
                <w:rFonts w:eastAsia="Times New Roman"/>
              </w:rPr>
            </w:pPr>
            <w:r w:rsidRPr="00687E4A">
              <w:t>Non-executive member</w:t>
            </w:r>
          </w:p>
        </w:tc>
        <w:tc>
          <w:tcPr>
            <w:tcW w:w="7085" w:type="dxa"/>
          </w:tcPr>
          <w:p w14:paraId="31C7C0DB" w14:textId="77777777" w:rsidR="00860F8E" w:rsidRPr="00687E4A" w:rsidRDefault="00860F8E" w:rsidP="00EF6063">
            <w:pPr>
              <w:rPr>
                <w:rFonts w:ascii="Arial Narrow" w:hAnsi="Arial Narrow" w:cs="Arial"/>
                <w:sz w:val="20"/>
              </w:rPr>
            </w:pPr>
            <w:r w:rsidRPr="00687E4A">
              <w:rPr>
                <w:rFonts w:ascii="Arial Narrow" w:hAnsi="Arial Narrow" w:cs="Arial"/>
                <w:sz w:val="20"/>
              </w:rPr>
              <w:t>Ms Philippa Stone has honours degrees in Arts and Law from the University of Sydney. She is a partner of Herbert Smith Freehills, a major international law firm, and is Joint Global Head of the firm’s Capital Markets group, where she specialises in equity raisings and mergers and acquisitions, including a number of major transactions in the aviation sector.</w:t>
            </w:r>
          </w:p>
          <w:p w14:paraId="573E6EC5" w14:textId="77777777" w:rsidR="00860F8E" w:rsidRPr="00687E4A" w:rsidRDefault="00860F8E" w:rsidP="00EF6063">
            <w:pPr>
              <w:rPr>
                <w:rFonts w:ascii="Arial Narrow" w:hAnsi="Arial Narrow" w:cs="Arial"/>
                <w:sz w:val="20"/>
              </w:rPr>
            </w:pPr>
            <w:r w:rsidRPr="00687E4A">
              <w:rPr>
                <w:rFonts w:ascii="Arial Narrow" w:hAnsi="Arial Narrow" w:cs="Arial"/>
                <w:sz w:val="20"/>
              </w:rPr>
              <w:t xml:space="preserve">Ms Stone has been a guest lecturer at the University of New South Wales on corporate control transactions and at Sydney University on capital markets transactions. She is on the Law Council of Australia’s Corporations Law Committee. Ms Stone was a member of the Commonwealth Government’s Business Regulation Advisory Group on the CLERP 9 reforms and other Corporations Law simplification changes, and a member of the Australian Securities Exchange’s Appeals Tribunal. </w:t>
            </w:r>
          </w:p>
          <w:p w14:paraId="112C53E9" w14:textId="77777777" w:rsidR="00860F8E" w:rsidRPr="00687E4A" w:rsidRDefault="00860F8E" w:rsidP="00EF6063">
            <w:pPr>
              <w:pStyle w:val="TableText"/>
              <w:rPr>
                <w:rFonts w:eastAsia="Times New Roman"/>
              </w:rPr>
            </w:pPr>
            <w:r w:rsidRPr="00687E4A">
              <w:rPr>
                <w:rFonts w:cs="Arial"/>
              </w:rPr>
              <w:t>Ms Stone has been a member of the International Air Services Commission, and prior to that was a non-executive director of Airservices Australia.</w:t>
            </w:r>
          </w:p>
        </w:tc>
      </w:tr>
      <w:tr w:rsidR="00860F8E" w:rsidRPr="00687E4A" w14:paraId="49261B76" w14:textId="77777777" w:rsidTr="00A86663">
        <w:tc>
          <w:tcPr>
            <w:tcW w:w="2157" w:type="dxa"/>
          </w:tcPr>
          <w:p w14:paraId="2FC91DB8" w14:textId="77777777" w:rsidR="00860F8E" w:rsidRPr="00687E4A" w:rsidRDefault="00860F8E" w:rsidP="00EF6063">
            <w:pPr>
              <w:spacing w:before="80" w:after="80"/>
              <w:rPr>
                <w:rFonts w:ascii="Arial Narrow" w:hAnsi="Arial Narrow"/>
                <w:b/>
                <w:sz w:val="20"/>
              </w:rPr>
            </w:pPr>
            <w:r w:rsidRPr="00687E4A">
              <w:rPr>
                <w:rFonts w:ascii="Arial Narrow" w:hAnsi="Arial Narrow"/>
                <w:b/>
                <w:sz w:val="20"/>
              </w:rPr>
              <w:t xml:space="preserve">Ms Cheryl Cartwright </w:t>
            </w:r>
          </w:p>
          <w:p w14:paraId="5185E2A6" w14:textId="77777777" w:rsidR="00860F8E" w:rsidRPr="00687E4A" w:rsidRDefault="00860F8E" w:rsidP="00EF6063">
            <w:pPr>
              <w:keepNext/>
              <w:spacing w:before="80" w:after="80"/>
              <w:rPr>
                <w:rFonts w:ascii="Arial Narrow" w:hAnsi="Arial Narrow"/>
                <w:b/>
                <w:sz w:val="20"/>
              </w:rPr>
            </w:pPr>
            <w:r w:rsidRPr="00687E4A">
              <w:rPr>
                <w:rFonts w:ascii="Arial Narrow" w:hAnsi="Arial Narrow"/>
                <w:b/>
                <w:sz w:val="20"/>
              </w:rPr>
              <w:t>First appointed:</w:t>
            </w:r>
          </w:p>
          <w:p w14:paraId="1854ED19" w14:textId="77777777" w:rsidR="00860F8E" w:rsidRPr="00687E4A" w:rsidRDefault="00860F8E" w:rsidP="00EF6063">
            <w:pPr>
              <w:keepNext/>
              <w:spacing w:before="80" w:after="80"/>
              <w:rPr>
                <w:rFonts w:ascii="Arial Narrow" w:hAnsi="Arial Narrow"/>
                <w:sz w:val="20"/>
              </w:rPr>
            </w:pPr>
            <w:r w:rsidRPr="00687E4A">
              <w:rPr>
                <w:rFonts w:ascii="Arial Narrow" w:hAnsi="Arial Narrow"/>
                <w:sz w:val="20"/>
              </w:rPr>
              <w:t>17 April 2017</w:t>
            </w:r>
          </w:p>
          <w:p w14:paraId="0D18960D" w14:textId="77777777" w:rsidR="00860F8E" w:rsidRPr="00687E4A" w:rsidRDefault="00860F8E" w:rsidP="00EF6063">
            <w:pPr>
              <w:spacing w:before="80" w:after="80"/>
              <w:rPr>
                <w:rFonts w:ascii="Arial Narrow" w:hAnsi="Arial Narrow"/>
                <w:b/>
                <w:sz w:val="20"/>
              </w:rPr>
            </w:pPr>
            <w:r w:rsidRPr="00687E4A">
              <w:rPr>
                <w:rFonts w:ascii="Arial Narrow" w:hAnsi="Arial Narrow"/>
                <w:sz w:val="20"/>
              </w:rPr>
              <w:t>Non-executive member</w:t>
            </w:r>
          </w:p>
        </w:tc>
        <w:tc>
          <w:tcPr>
            <w:tcW w:w="7085" w:type="dxa"/>
          </w:tcPr>
          <w:p w14:paraId="03412C85" w14:textId="77777777" w:rsidR="00860F8E" w:rsidRPr="00687E4A" w:rsidRDefault="00860F8E" w:rsidP="00EF6063">
            <w:pPr>
              <w:pStyle w:val="TableText"/>
            </w:pPr>
            <w:r w:rsidRPr="00687E4A">
              <w:t xml:space="preserve">Ms Cheryl Cartwright has more than three decades experience in media, politics and industry associations, including senior management roles. She has a strong focus on strategy and governance, including not-for-profit boards. </w:t>
            </w:r>
          </w:p>
          <w:p w14:paraId="76559BD7" w14:textId="77777777" w:rsidR="00860F8E" w:rsidRPr="00687E4A" w:rsidRDefault="00860F8E" w:rsidP="00EF6063">
            <w:pPr>
              <w:pStyle w:val="TableText"/>
            </w:pPr>
            <w:r w:rsidRPr="00687E4A">
              <w:t>Ms Cartwright’s media experience covers print, radio and television. She has been a political and media advis</w:t>
            </w:r>
            <w:r>
              <w:t>o</w:t>
            </w:r>
            <w:r w:rsidRPr="00687E4A">
              <w:t xml:space="preserve">r and was chief of staff to a senior cabinet minister. </w:t>
            </w:r>
          </w:p>
          <w:p w14:paraId="4D4889C8" w14:textId="77777777" w:rsidR="00860F8E" w:rsidRPr="00687E4A" w:rsidRDefault="00860F8E" w:rsidP="00EF6063">
            <w:pPr>
              <w:pStyle w:val="TableText"/>
            </w:pPr>
            <w:r w:rsidRPr="00687E4A">
              <w:t xml:space="preserve">From 2005 to 2017, Ms Cartwright was Chief Executive of the Australian Pipelines and Gas Association. She worked closely with the board to redefine and energise the association, dramatically increasing its size and influence and raising its profile. </w:t>
            </w:r>
          </w:p>
          <w:p w14:paraId="72DAA62E" w14:textId="77777777" w:rsidR="00860F8E" w:rsidRPr="00687E4A" w:rsidRDefault="00860F8E" w:rsidP="00EF6063">
            <w:pPr>
              <w:pStyle w:val="TableText"/>
              <w:rPr>
                <w:color w:val="FF0000"/>
              </w:rPr>
            </w:pPr>
            <w:r w:rsidRPr="00687E4A">
              <w:t>Ms Cartwright brings comprehensive experience in communications, messaging, strategic planning and corporate governance to the CASA Board.</w:t>
            </w:r>
          </w:p>
        </w:tc>
      </w:tr>
      <w:tr w:rsidR="00860F8E" w:rsidRPr="00687E4A" w14:paraId="7A8210EA" w14:textId="77777777" w:rsidTr="00A86663">
        <w:tc>
          <w:tcPr>
            <w:tcW w:w="2157" w:type="dxa"/>
          </w:tcPr>
          <w:p w14:paraId="55F8554F" w14:textId="77777777" w:rsidR="00860F8E" w:rsidRPr="00687E4A" w:rsidRDefault="00860F8E" w:rsidP="00EF6063">
            <w:pPr>
              <w:spacing w:before="80" w:after="80"/>
              <w:rPr>
                <w:rFonts w:ascii="Arial Narrow" w:hAnsi="Arial Narrow"/>
                <w:b/>
                <w:sz w:val="20"/>
                <w:lang w:val="en-AU"/>
              </w:rPr>
            </w:pPr>
            <w:r w:rsidRPr="00687E4A">
              <w:rPr>
                <w:rFonts w:ascii="Arial Narrow" w:hAnsi="Arial Narrow"/>
                <w:b/>
                <w:sz w:val="20"/>
              </w:rPr>
              <w:lastRenderedPageBreak/>
              <w:t xml:space="preserve">Ms </w:t>
            </w:r>
            <w:r w:rsidRPr="00687E4A">
              <w:rPr>
                <w:rFonts w:ascii="Arial Narrow" w:hAnsi="Arial Narrow"/>
                <w:b/>
                <w:sz w:val="20"/>
                <w:lang w:val="en-AU"/>
              </w:rPr>
              <w:t>Jane McAloon</w:t>
            </w:r>
          </w:p>
          <w:p w14:paraId="32ED9091" w14:textId="77777777" w:rsidR="00860F8E" w:rsidRPr="00687E4A" w:rsidRDefault="00860F8E" w:rsidP="00EF6063">
            <w:pPr>
              <w:spacing w:before="80" w:after="80"/>
              <w:rPr>
                <w:rFonts w:ascii="Arial Narrow" w:hAnsi="Arial Narrow"/>
                <w:b/>
                <w:sz w:val="20"/>
                <w:lang w:val="en-AU"/>
              </w:rPr>
            </w:pPr>
            <w:r w:rsidRPr="00687E4A">
              <w:rPr>
                <w:rFonts w:ascii="Arial Narrow" w:hAnsi="Arial Narrow"/>
                <w:b/>
                <w:sz w:val="20"/>
                <w:lang w:val="en-AU"/>
              </w:rPr>
              <w:t>First appointed:</w:t>
            </w:r>
          </w:p>
          <w:p w14:paraId="5ECFCE7C" w14:textId="77777777" w:rsidR="00860F8E" w:rsidRPr="00687E4A" w:rsidRDefault="00860F8E" w:rsidP="00EF6063">
            <w:pPr>
              <w:spacing w:before="80" w:after="80"/>
              <w:rPr>
                <w:rFonts w:ascii="Arial Narrow" w:hAnsi="Arial Narrow"/>
                <w:sz w:val="20"/>
                <w:lang w:val="en-AU"/>
              </w:rPr>
            </w:pPr>
            <w:r w:rsidRPr="00687E4A">
              <w:rPr>
                <w:rFonts w:ascii="Arial Narrow" w:hAnsi="Arial Narrow"/>
                <w:sz w:val="20"/>
                <w:lang w:val="en-AU"/>
              </w:rPr>
              <w:t>2 January 2018</w:t>
            </w:r>
          </w:p>
          <w:p w14:paraId="653153A5" w14:textId="77777777" w:rsidR="00860F8E" w:rsidRPr="00687E4A" w:rsidRDefault="00860F8E" w:rsidP="00EF6063">
            <w:pPr>
              <w:keepNext/>
              <w:spacing w:before="80" w:after="80"/>
              <w:rPr>
                <w:rFonts w:eastAsia="Times New Roman"/>
                <w:b/>
              </w:rPr>
            </w:pPr>
            <w:r w:rsidRPr="00687E4A">
              <w:rPr>
                <w:rFonts w:ascii="Arial Narrow" w:hAnsi="Arial Narrow"/>
                <w:sz w:val="20"/>
                <w:lang w:val="en-AU"/>
              </w:rPr>
              <w:t>Non-executive member</w:t>
            </w:r>
            <w:r w:rsidRPr="00687E4A">
              <w:rPr>
                <w:rFonts w:ascii="Arial Narrow" w:hAnsi="Arial Narrow"/>
                <w:b/>
                <w:sz w:val="20"/>
              </w:rPr>
              <w:t xml:space="preserve"> </w:t>
            </w:r>
          </w:p>
          <w:p w14:paraId="3062D0A9" w14:textId="77777777" w:rsidR="00860F8E" w:rsidRPr="00687E4A" w:rsidRDefault="00860F8E" w:rsidP="00EF6063">
            <w:pPr>
              <w:pStyle w:val="TableHeading"/>
              <w:keepNext w:val="0"/>
              <w:rPr>
                <w:rFonts w:eastAsia="Times New Roman"/>
                <w:b w:val="0"/>
              </w:rPr>
            </w:pPr>
          </w:p>
        </w:tc>
        <w:tc>
          <w:tcPr>
            <w:tcW w:w="7085" w:type="dxa"/>
          </w:tcPr>
          <w:p w14:paraId="59EBB690" w14:textId="77777777" w:rsidR="00860F8E" w:rsidRDefault="00860F8E" w:rsidP="00EF6063">
            <w:pPr>
              <w:keepNext/>
              <w:spacing w:before="80" w:after="80"/>
              <w:rPr>
                <w:rFonts w:ascii="Arial Narrow" w:hAnsi="Arial Narrow"/>
                <w:sz w:val="20"/>
                <w:lang w:val="en"/>
              </w:rPr>
            </w:pPr>
            <w:r w:rsidRPr="00687E4A">
              <w:rPr>
                <w:rFonts w:ascii="Arial Narrow" w:hAnsi="Arial Narrow"/>
                <w:sz w:val="20"/>
                <w:lang w:val="en"/>
              </w:rPr>
              <w:t xml:space="preserve">Ms Jane McAloon </w:t>
            </w:r>
            <w:r>
              <w:rPr>
                <w:rFonts w:ascii="Arial Narrow" w:hAnsi="Arial Narrow"/>
                <w:sz w:val="20"/>
                <w:lang w:val="en"/>
              </w:rPr>
              <w:t xml:space="preserve">has </w:t>
            </w:r>
            <w:r w:rsidRPr="006B5968">
              <w:rPr>
                <w:rFonts w:ascii="Arial Narrow" w:hAnsi="Arial Narrow"/>
                <w:sz w:val="20"/>
                <w:lang w:val="en"/>
              </w:rPr>
              <w:t xml:space="preserve">a Bachelor of Laws and </w:t>
            </w:r>
            <w:r>
              <w:rPr>
                <w:rFonts w:ascii="Arial Narrow" w:hAnsi="Arial Narrow"/>
                <w:sz w:val="20"/>
                <w:lang w:val="en"/>
              </w:rPr>
              <w:t xml:space="preserve">a </w:t>
            </w:r>
            <w:r w:rsidRPr="006B5968">
              <w:rPr>
                <w:rFonts w:ascii="Arial Narrow" w:hAnsi="Arial Narrow"/>
                <w:sz w:val="20"/>
                <w:lang w:val="en"/>
              </w:rPr>
              <w:t>Bachelor of Economics (Hons) from Monash University, and a Graduate Diploma in Corporate Governance</w:t>
            </w:r>
            <w:r>
              <w:rPr>
                <w:rFonts w:ascii="Arial Narrow" w:hAnsi="Arial Narrow"/>
                <w:sz w:val="20"/>
                <w:lang w:val="en"/>
              </w:rPr>
              <w:t>. She</w:t>
            </w:r>
            <w:r w:rsidRPr="006B5968">
              <w:rPr>
                <w:rFonts w:ascii="Arial Narrow" w:hAnsi="Arial Narrow"/>
                <w:sz w:val="20"/>
                <w:lang w:val="en"/>
              </w:rPr>
              <w:t xml:space="preserve"> is a </w:t>
            </w:r>
            <w:r>
              <w:rPr>
                <w:rFonts w:ascii="Arial Narrow" w:hAnsi="Arial Narrow"/>
                <w:sz w:val="20"/>
                <w:lang w:val="en"/>
              </w:rPr>
              <w:t>f</w:t>
            </w:r>
            <w:r w:rsidRPr="006B5968">
              <w:rPr>
                <w:rFonts w:ascii="Arial Narrow" w:hAnsi="Arial Narrow"/>
                <w:sz w:val="20"/>
                <w:lang w:val="en"/>
              </w:rPr>
              <w:t xml:space="preserve">ellow of the Australian Institute of Company Directors and </w:t>
            </w:r>
            <w:r>
              <w:rPr>
                <w:rFonts w:ascii="Arial Narrow" w:hAnsi="Arial Narrow"/>
                <w:sz w:val="20"/>
                <w:lang w:val="en"/>
              </w:rPr>
              <w:t xml:space="preserve">of </w:t>
            </w:r>
            <w:r w:rsidRPr="006B5968">
              <w:rPr>
                <w:rFonts w:ascii="Arial Narrow" w:hAnsi="Arial Narrow"/>
                <w:sz w:val="20"/>
                <w:lang w:val="en"/>
              </w:rPr>
              <w:t>the Governance Institute of Australia.</w:t>
            </w:r>
          </w:p>
          <w:p w14:paraId="42C7A3FB" w14:textId="77777777" w:rsidR="00860F8E" w:rsidRPr="00687E4A" w:rsidRDefault="00860F8E" w:rsidP="00EF6063">
            <w:pPr>
              <w:keepNext/>
              <w:spacing w:before="80" w:after="80"/>
              <w:rPr>
                <w:rFonts w:ascii="Arial Narrow" w:hAnsi="Arial Narrow"/>
                <w:sz w:val="20"/>
                <w:lang w:val="en"/>
              </w:rPr>
            </w:pPr>
            <w:r w:rsidRPr="00687E4A">
              <w:rPr>
                <w:rFonts w:ascii="Arial Narrow" w:hAnsi="Arial Narrow"/>
                <w:sz w:val="20"/>
                <w:lang w:val="en"/>
              </w:rPr>
              <w:t xml:space="preserve">Ms McAloon has been in the natural resources, energy, infrastructure and utility industries for over 25 years. </w:t>
            </w:r>
            <w:r>
              <w:rPr>
                <w:rFonts w:ascii="Arial Narrow" w:hAnsi="Arial Narrow"/>
                <w:sz w:val="20"/>
                <w:lang w:val="en"/>
              </w:rPr>
              <w:t xml:space="preserve">She is a senior advisor with Gresham, </w:t>
            </w:r>
            <w:r w:rsidRPr="00687E4A">
              <w:rPr>
                <w:rFonts w:ascii="Arial Narrow" w:hAnsi="Arial Narrow"/>
                <w:sz w:val="20"/>
                <w:lang w:val="en-AU"/>
              </w:rPr>
              <w:t>a leading independent Australian-owned advisory and funds management business</w:t>
            </w:r>
            <w:r>
              <w:rPr>
                <w:rFonts w:ascii="Arial Narrow" w:hAnsi="Arial Narrow"/>
                <w:sz w:val="20"/>
                <w:lang w:val="en-AU"/>
              </w:rPr>
              <w:t xml:space="preserve">. </w:t>
            </w:r>
            <w:r w:rsidRPr="00687E4A">
              <w:rPr>
                <w:rFonts w:ascii="Arial Narrow" w:hAnsi="Arial Narrow"/>
                <w:sz w:val="20"/>
                <w:lang w:val="en"/>
              </w:rPr>
              <w:t>She was an executive at BHP Billiton for nine years</w:t>
            </w:r>
            <w:r>
              <w:rPr>
                <w:rFonts w:ascii="Arial Narrow" w:hAnsi="Arial Narrow"/>
                <w:sz w:val="20"/>
                <w:lang w:val="en"/>
              </w:rPr>
              <w:t>,</w:t>
            </w:r>
            <w:r w:rsidRPr="00687E4A">
              <w:rPr>
                <w:rFonts w:ascii="Arial Narrow" w:hAnsi="Arial Narrow"/>
                <w:sz w:val="20"/>
                <w:lang w:val="en"/>
              </w:rPr>
              <w:t xml:space="preserve"> work</w:t>
            </w:r>
            <w:r>
              <w:rPr>
                <w:rFonts w:ascii="Arial Narrow" w:hAnsi="Arial Narrow"/>
                <w:sz w:val="20"/>
                <w:lang w:val="en"/>
              </w:rPr>
              <w:t>ing</w:t>
            </w:r>
            <w:r w:rsidRPr="00687E4A">
              <w:rPr>
                <w:rFonts w:ascii="Arial Narrow" w:hAnsi="Arial Narrow"/>
                <w:sz w:val="20"/>
                <w:lang w:val="en"/>
              </w:rPr>
              <w:t xml:space="preserve"> on key strategic issues, corporate transactions, a</w:t>
            </w:r>
            <w:r>
              <w:rPr>
                <w:rFonts w:ascii="Arial Narrow" w:hAnsi="Arial Narrow"/>
                <w:sz w:val="20"/>
                <w:lang w:val="en"/>
              </w:rPr>
              <w:t>nd</w:t>
            </w:r>
            <w:r w:rsidRPr="00687E4A">
              <w:rPr>
                <w:rFonts w:ascii="Arial Narrow" w:hAnsi="Arial Narrow"/>
                <w:sz w:val="20"/>
                <w:lang w:val="en"/>
              </w:rPr>
              <w:t xml:space="preserve"> market, regulatory and reputational matters. </w:t>
            </w:r>
            <w:r>
              <w:rPr>
                <w:rFonts w:ascii="Arial Narrow" w:hAnsi="Arial Narrow"/>
                <w:sz w:val="20"/>
                <w:lang w:val="en"/>
              </w:rPr>
              <w:t xml:space="preserve">Before joining BHP Billiton </w:t>
            </w:r>
            <w:r w:rsidRPr="00687E4A">
              <w:rPr>
                <w:rFonts w:ascii="Arial Narrow" w:hAnsi="Arial Narrow"/>
                <w:sz w:val="20"/>
                <w:lang w:val="en"/>
              </w:rPr>
              <w:t>she was an executive at AGL</w:t>
            </w:r>
            <w:r>
              <w:rPr>
                <w:rFonts w:ascii="Arial Narrow" w:hAnsi="Arial Narrow"/>
                <w:sz w:val="20"/>
                <w:lang w:val="en"/>
              </w:rPr>
              <w:t xml:space="preserve">, held </w:t>
            </w:r>
            <w:r w:rsidRPr="00687E4A">
              <w:rPr>
                <w:rFonts w:ascii="Arial Narrow" w:hAnsi="Arial Narrow"/>
                <w:sz w:val="20"/>
                <w:lang w:val="en"/>
              </w:rPr>
              <w:t xml:space="preserve">leadership roles </w:t>
            </w:r>
            <w:r>
              <w:rPr>
                <w:rFonts w:ascii="Arial Narrow" w:hAnsi="Arial Narrow"/>
                <w:sz w:val="20"/>
                <w:lang w:val="en"/>
              </w:rPr>
              <w:t xml:space="preserve">in </w:t>
            </w:r>
            <w:r w:rsidRPr="00687E4A">
              <w:rPr>
                <w:rFonts w:ascii="Arial Narrow" w:hAnsi="Arial Narrow"/>
                <w:sz w:val="20"/>
                <w:lang w:val="en"/>
              </w:rPr>
              <w:t>the N</w:t>
            </w:r>
            <w:r>
              <w:rPr>
                <w:rFonts w:ascii="Arial Narrow" w:hAnsi="Arial Narrow"/>
                <w:sz w:val="20"/>
                <w:lang w:val="en"/>
              </w:rPr>
              <w:t xml:space="preserve">ew </w:t>
            </w:r>
            <w:r w:rsidRPr="00687E4A">
              <w:rPr>
                <w:rFonts w:ascii="Arial Narrow" w:hAnsi="Arial Narrow"/>
                <w:sz w:val="20"/>
                <w:lang w:val="en"/>
              </w:rPr>
              <w:t>S</w:t>
            </w:r>
            <w:r>
              <w:rPr>
                <w:rFonts w:ascii="Arial Narrow" w:hAnsi="Arial Narrow"/>
                <w:sz w:val="20"/>
                <w:lang w:val="en"/>
              </w:rPr>
              <w:t xml:space="preserve">outh </w:t>
            </w:r>
            <w:r w:rsidRPr="00687E4A">
              <w:rPr>
                <w:rFonts w:ascii="Arial Narrow" w:hAnsi="Arial Narrow"/>
                <w:sz w:val="20"/>
                <w:lang w:val="en"/>
              </w:rPr>
              <w:t>W</w:t>
            </w:r>
            <w:r>
              <w:rPr>
                <w:rFonts w:ascii="Arial Narrow" w:hAnsi="Arial Narrow"/>
                <w:sz w:val="20"/>
                <w:lang w:val="en"/>
              </w:rPr>
              <w:t>ales</w:t>
            </w:r>
            <w:r w:rsidRPr="00687E4A">
              <w:rPr>
                <w:rFonts w:ascii="Arial Narrow" w:hAnsi="Arial Narrow"/>
                <w:sz w:val="20"/>
                <w:lang w:val="en"/>
              </w:rPr>
              <w:t xml:space="preserve"> Government Cabinet Office</w:t>
            </w:r>
            <w:r>
              <w:rPr>
                <w:rFonts w:ascii="Arial Narrow" w:hAnsi="Arial Narrow"/>
                <w:sz w:val="20"/>
                <w:lang w:val="en"/>
              </w:rPr>
              <w:t xml:space="preserve"> and various d</w:t>
            </w:r>
            <w:r w:rsidRPr="00687E4A">
              <w:rPr>
                <w:rFonts w:ascii="Arial Narrow" w:hAnsi="Arial Narrow"/>
                <w:sz w:val="20"/>
                <w:lang w:val="en"/>
              </w:rPr>
              <w:t>epartments</w:t>
            </w:r>
            <w:r>
              <w:rPr>
                <w:rFonts w:ascii="Arial Narrow" w:hAnsi="Arial Narrow"/>
                <w:sz w:val="20"/>
                <w:lang w:val="en"/>
              </w:rPr>
              <w:t xml:space="preserve">, was </w:t>
            </w:r>
            <w:r w:rsidRPr="00687E4A">
              <w:rPr>
                <w:rFonts w:ascii="Arial Narrow" w:hAnsi="Arial Narrow"/>
                <w:sz w:val="20"/>
                <w:lang w:val="en"/>
              </w:rPr>
              <w:t xml:space="preserve">in private legal practice and </w:t>
            </w:r>
            <w:r>
              <w:rPr>
                <w:rFonts w:ascii="Arial Narrow" w:hAnsi="Arial Narrow"/>
                <w:sz w:val="20"/>
                <w:lang w:val="en"/>
              </w:rPr>
              <w:t xml:space="preserve">worked in the Economics Department at </w:t>
            </w:r>
            <w:r w:rsidRPr="00687E4A">
              <w:rPr>
                <w:rFonts w:ascii="Arial Narrow" w:hAnsi="Arial Narrow"/>
                <w:sz w:val="20"/>
                <w:lang w:val="en"/>
              </w:rPr>
              <w:t>Monash University.</w:t>
            </w:r>
          </w:p>
          <w:p w14:paraId="7FEA9CB6" w14:textId="77777777" w:rsidR="00860F8E" w:rsidRPr="00687E4A" w:rsidRDefault="00860F8E" w:rsidP="00EF6063">
            <w:pPr>
              <w:keepNext/>
              <w:spacing w:before="80" w:after="80"/>
              <w:rPr>
                <w:rFonts w:ascii="Arial Narrow" w:hAnsi="Arial Narrow"/>
                <w:sz w:val="20"/>
                <w:lang w:val="en"/>
              </w:rPr>
            </w:pPr>
            <w:r w:rsidRPr="00687E4A">
              <w:rPr>
                <w:rFonts w:ascii="Arial Narrow" w:hAnsi="Arial Narrow"/>
                <w:sz w:val="20"/>
                <w:lang w:val="en"/>
              </w:rPr>
              <w:t xml:space="preserve">Ms McAloon is a non-executive </w:t>
            </w:r>
            <w:r>
              <w:rPr>
                <w:rFonts w:ascii="Arial Narrow" w:hAnsi="Arial Narrow"/>
                <w:sz w:val="20"/>
                <w:lang w:val="en"/>
              </w:rPr>
              <w:t>d</w:t>
            </w:r>
            <w:r w:rsidRPr="00687E4A">
              <w:rPr>
                <w:rFonts w:ascii="Arial Narrow" w:hAnsi="Arial Narrow"/>
                <w:sz w:val="20"/>
                <w:lang w:val="en"/>
              </w:rPr>
              <w:t xml:space="preserve">irector of Healthscope, EnergyAustralia and </w:t>
            </w:r>
            <w:r>
              <w:rPr>
                <w:rFonts w:ascii="Arial Narrow" w:hAnsi="Arial Narrow"/>
                <w:sz w:val="20"/>
                <w:lang w:val="en"/>
              </w:rPr>
              <w:t xml:space="preserve">the </w:t>
            </w:r>
            <w:r w:rsidRPr="00687E4A">
              <w:rPr>
                <w:rFonts w:ascii="Arial Narrow" w:hAnsi="Arial Narrow"/>
                <w:sz w:val="20"/>
                <w:lang w:val="en"/>
              </w:rPr>
              <w:t xml:space="preserve">not-for-profit Bravery Trust and a </w:t>
            </w:r>
            <w:r>
              <w:rPr>
                <w:rFonts w:ascii="Arial Narrow" w:hAnsi="Arial Narrow"/>
                <w:sz w:val="20"/>
                <w:lang w:val="en"/>
              </w:rPr>
              <w:t>m</w:t>
            </w:r>
            <w:r w:rsidRPr="00687E4A">
              <w:rPr>
                <w:rFonts w:ascii="Arial Narrow" w:hAnsi="Arial Narrow"/>
                <w:sz w:val="20"/>
                <w:lang w:val="en"/>
              </w:rPr>
              <w:t xml:space="preserve">ember of the Referendum Council on </w:t>
            </w:r>
            <w:r>
              <w:rPr>
                <w:rFonts w:ascii="Arial Narrow" w:hAnsi="Arial Narrow"/>
                <w:sz w:val="20"/>
                <w:lang w:val="en"/>
              </w:rPr>
              <w:t>c</w:t>
            </w:r>
            <w:r w:rsidRPr="00687E4A">
              <w:rPr>
                <w:rFonts w:ascii="Arial Narrow" w:hAnsi="Arial Narrow"/>
                <w:sz w:val="20"/>
                <w:lang w:val="en"/>
              </w:rPr>
              <w:t xml:space="preserve">onstitutional </w:t>
            </w:r>
            <w:r>
              <w:rPr>
                <w:rFonts w:ascii="Arial Narrow" w:hAnsi="Arial Narrow"/>
                <w:sz w:val="20"/>
                <w:lang w:val="en"/>
              </w:rPr>
              <w:t>r</w:t>
            </w:r>
            <w:r w:rsidRPr="00687E4A">
              <w:rPr>
                <w:rFonts w:ascii="Arial Narrow" w:hAnsi="Arial Narrow"/>
                <w:sz w:val="20"/>
                <w:lang w:val="en"/>
              </w:rPr>
              <w:t xml:space="preserve">ecognition for Aboriginal and Torres Strait Islander </w:t>
            </w:r>
            <w:r>
              <w:rPr>
                <w:rFonts w:ascii="Arial Narrow" w:hAnsi="Arial Narrow"/>
                <w:sz w:val="20"/>
                <w:lang w:val="en"/>
              </w:rPr>
              <w:t>p</w:t>
            </w:r>
            <w:r w:rsidRPr="00687E4A">
              <w:rPr>
                <w:rFonts w:ascii="Arial Narrow" w:hAnsi="Arial Narrow"/>
                <w:sz w:val="20"/>
                <w:lang w:val="en"/>
              </w:rPr>
              <w:t xml:space="preserve">eoples. She is also a </w:t>
            </w:r>
            <w:r>
              <w:rPr>
                <w:rFonts w:ascii="Arial Narrow" w:hAnsi="Arial Narrow"/>
                <w:sz w:val="20"/>
                <w:lang w:val="en"/>
              </w:rPr>
              <w:t>m</w:t>
            </w:r>
            <w:r w:rsidRPr="00687E4A">
              <w:rPr>
                <w:rFonts w:ascii="Arial Narrow" w:hAnsi="Arial Narrow"/>
                <w:sz w:val="20"/>
                <w:lang w:val="en"/>
              </w:rPr>
              <w:t>ember of the Monash University Industry Council of Advisers. Previous directorships include the Australian Corporations and Markets Advisory Committee and</w:t>
            </w:r>
            <w:r>
              <w:rPr>
                <w:rFonts w:ascii="Arial Narrow" w:hAnsi="Arial Narrow"/>
                <w:sz w:val="20"/>
                <w:lang w:val="en"/>
              </w:rPr>
              <w:t xml:space="preserve"> the</w:t>
            </w:r>
            <w:r w:rsidRPr="00687E4A">
              <w:rPr>
                <w:rFonts w:ascii="Arial Narrow" w:hAnsi="Arial Narrow"/>
                <w:sz w:val="20"/>
                <w:lang w:val="en"/>
              </w:rPr>
              <w:t xml:space="preserve"> Australian War Memorial Council.</w:t>
            </w:r>
          </w:p>
          <w:p w14:paraId="668AEBB9" w14:textId="77777777" w:rsidR="00860F8E" w:rsidRPr="00687E4A" w:rsidRDefault="00860F8E" w:rsidP="00EF6063">
            <w:pPr>
              <w:keepNext/>
              <w:spacing w:before="80" w:after="80"/>
              <w:rPr>
                <w:rFonts w:eastAsia="Times New Roman"/>
              </w:rPr>
            </w:pPr>
            <w:r w:rsidRPr="00687E4A">
              <w:rPr>
                <w:rFonts w:ascii="Arial Narrow" w:hAnsi="Arial Narrow"/>
                <w:sz w:val="20"/>
                <w:lang w:val="en-AU"/>
              </w:rPr>
              <w:t xml:space="preserve">Ms McAloon has been a safety regulator in the energy sector and always worked with safety management systems as a fundamental principle in successful business. </w:t>
            </w:r>
          </w:p>
        </w:tc>
      </w:tr>
      <w:tr w:rsidR="00860F8E" w:rsidRPr="00687E4A" w14:paraId="2C3BB5E5" w14:textId="77777777" w:rsidTr="00A86663">
        <w:tc>
          <w:tcPr>
            <w:tcW w:w="2157" w:type="dxa"/>
          </w:tcPr>
          <w:p w14:paraId="6ACFD2BF" w14:textId="77777777" w:rsidR="00860F8E" w:rsidRPr="00687E4A" w:rsidRDefault="00860F8E" w:rsidP="00EF6063">
            <w:pPr>
              <w:spacing w:before="80" w:after="80"/>
              <w:rPr>
                <w:rFonts w:ascii="Arial Narrow" w:eastAsia="Times New Roman" w:hAnsi="Arial Narrow"/>
                <w:b/>
                <w:sz w:val="20"/>
                <w:lang w:val="en-AU"/>
              </w:rPr>
            </w:pPr>
            <w:bookmarkStart w:id="61" w:name="_Hlk522870589"/>
            <w:r w:rsidRPr="00687E4A">
              <w:rPr>
                <w:rFonts w:ascii="Arial Narrow" w:eastAsia="Times New Roman" w:hAnsi="Arial Narrow"/>
                <w:b/>
                <w:sz w:val="20"/>
                <w:lang w:val="en-AU"/>
              </w:rPr>
              <w:t>Mr Mark Rindfleish</w:t>
            </w:r>
          </w:p>
          <w:p w14:paraId="41D4DF66" w14:textId="77777777" w:rsidR="00860F8E" w:rsidRPr="00687E4A" w:rsidRDefault="00860F8E" w:rsidP="00EF6063">
            <w:pPr>
              <w:keepNext/>
              <w:spacing w:before="80" w:after="80"/>
              <w:rPr>
                <w:rFonts w:ascii="Arial Narrow" w:eastAsia="Times New Roman" w:hAnsi="Arial Narrow"/>
                <w:b/>
                <w:sz w:val="20"/>
                <w:lang w:val="en-AU"/>
              </w:rPr>
            </w:pPr>
            <w:r w:rsidRPr="00687E4A">
              <w:rPr>
                <w:rFonts w:ascii="Arial Narrow" w:eastAsia="Times New Roman" w:hAnsi="Arial Narrow"/>
                <w:b/>
                <w:sz w:val="20"/>
                <w:lang w:val="en-AU"/>
              </w:rPr>
              <w:t>First appointed:</w:t>
            </w:r>
          </w:p>
          <w:p w14:paraId="1E8B2931" w14:textId="77777777" w:rsidR="00860F8E" w:rsidRPr="00687E4A" w:rsidRDefault="00860F8E" w:rsidP="00EF6063">
            <w:pPr>
              <w:keepNext/>
              <w:spacing w:before="80" w:after="80"/>
              <w:rPr>
                <w:rFonts w:ascii="Arial Narrow" w:eastAsia="Times New Roman" w:hAnsi="Arial Narrow"/>
                <w:sz w:val="20"/>
                <w:lang w:val="en-AU"/>
              </w:rPr>
            </w:pPr>
            <w:r w:rsidRPr="00687E4A">
              <w:rPr>
                <w:rFonts w:ascii="Arial Narrow" w:eastAsia="Times New Roman" w:hAnsi="Arial Narrow"/>
                <w:sz w:val="20"/>
                <w:lang w:val="en-AU"/>
              </w:rPr>
              <w:t>16 April 2018</w:t>
            </w:r>
          </w:p>
          <w:p w14:paraId="5BB80E2C" w14:textId="77777777" w:rsidR="00860F8E" w:rsidRPr="00687E4A" w:rsidRDefault="00860F8E" w:rsidP="00EF6063">
            <w:pPr>
              <w:keepNext/>
              <w:spacing w:before="80" w:after="80"/>
              <w:rPr>
                <w:rFonts w:ascii="Arial Narrow" w:eastAsia="Times New Roman" w:hAnsi="Arial Narrow"/>
                <w:sz w:val="20"/>
                <w:lang w:val="en-AU"/>
              </w:rPr>
            </w:pPr>
            <w:r w:rsidRPr="00687E4A">
              <w:rPr>
                <w:rFonts w:ascii="Arial Narrow" w:hAnsi="Arial Narrow"/>
                <w:sz w:val="20"/>
                <w:lang w:val="en-AU"/>
              </w:rPr>
              <w:t>Non-executive member</w:t>
            </w:r>
          </w:p>
        </w:tc>
        <w:tc>
          <w:tcPr>
            <w:tcW w:w="7085" w:type="dxa"/>
          </w:tcPr>
          <w:p w14:paraId="3F0491DD" w14:textId="77777777" w:rsidR="00860F8E" w:rsidRPr="00687E4A" w:rsidRDefault="00860F8E" w:rsidP="00EF6063">
            <w:pPr>
              <w:keepNext/>
              <w:spacing w:before="80" w:after="80"/>
              <w:rPr>
                <w:rFonts w:ascii="Arial Narrow" w:hAnsi="Arial Narrow"/>
                <w:sz w:val="20"/>
                <w:lang w:val="en"/>
              </w:rPr>
            </w:pPr>
            <w:r w:rsidRPr="00687E4A">
              <w:rPr>
                <w:rFonts w:ascii="Arial Narrow" w:hAnsi="Arial Narrow"/>
                <w:sz w:val="20"/>
                <w:lang w:val="en"/>
              </w:rPr>
              <w:t xml:space="preserve">Mr Mark Rindfleish has over 45 years </w:t>
            </w:r>
            <w:r>
              <w:rPr>
                <w:rFonts w:ascii="Arial Narrow" w:hAnsi="Arial Narrow"/>
                <w:sz w:val="20"/>
                <w:lang w:val="en"/>
              </w:rPr>
              <w:t xml:space="preserve">experience </w:t>
            </w:r>
            <w:r w:rsidRPr="00687E4A">
              <w:rPr>
                <w:rFonts w:ascii="Arial Narrow" w:hAnsi="Arial Narrow"/>
                <w:sz w:val="20"/>
                <w:lang w:val="en"/>
              </w:rPr>
              <w:t xml:space="preserve">as an </w:t>
            </w:r>
            <w:r>
              <w:rPr>
                <w:rFonts w:ascii="Arial Narrow" w:hAnsi="Arial Narrow"/>
                <w:sz w:val="20"/>
                <w:lang w:val="en"/>
              </w:rPr>
              <w:t>a</w:t>
            </w:r>
            <w:r w:rsidRPr="00687E4A">
              <w:rPr>
                <w:rFonts w:ascii="Arial Narrow" w:hAnsi="Arial Narrow"/>
                <w:sz w:val="20"/>
                <w:lang w:val="en"/>
              </w:rPr>
              <w:t xml:space="preserve">irline pilot and senior </w:t>
            </w:r>
            <w:r>
              <w:rPr>
                <w:rFonts w:ascii="Arial Narrow" w:hAnsi="Arial Narrow"/>
                <w:sz w:val="20"/>
                <w:lang w:val="en"/>
              </w:rPr>
              <w:t>o</w:t>
            </w:r>
            <w:r w:rsidRPr="00687E4A">
              <w:rPr>
                <w:rFonts w:ascii="Arial Narrow" w:hAnsi="Arial Narrow"/>
                <w:sz w:val="20"/>
                <w:lang w:val="en"/>
              </w:rPr>
              <w:t xml:space="preserve">perations </w:t>
            </w:r>
            <w:r>
              <w:rPr>
                <w:rFonts w:ascii="Arial Narrow" w:hAnsi="Arial Narrow"/>
                <w:sz w:val="20"/>
                <w:lang w:val="en"/>
              </w:rPr>
              <w:t>m</w:t>
            </w:r>
            <w:r w:rsidRPr="00687E4A">
              <w:rPr>
                <w:rFonts w:ascii="Arial Narrow" w:hAnsi="Arial Narrow"/>
                <w:sz w:val="20"/>
                <w:lang w:val="en"/>
              </w:rPr>
              <w:t xml:space="preserve">anager with airlines in Australia and overseas. Mr Rindfleish has </w:t>
            </w:r>
            <w:r>
              <w:rPr>
                <w:rFonts w:ascii="Arial Narrow" w:hAnsi="Arial Narrow"/>
                <w:sz w:val="20"/>
                <w:lang w:val="en"/>
              </w:rPr>
              <w:t>been</w:t>
            </w:r>
            <w:r w:rsidRPr="00687E4A">
              <w:rPr>
                <w:rFonts w:ascii="Arial Narrow" w:hAnsi="Arial Narrow"/>
                <w:sz w:val="20"/>
                <w:lang w:val="en"/>
              </w:rPr>
              <w:t xml:space="preserve"> Director Flight Operations Ansett Australia, Vice President Flight Operations Air New Zealand, Executive General Manager Operations Ansett, General Manager Safety Jetstar Airways and Head of Flying Operations and Chief Pilot Jetstar Australia and New Zealand.</w:t>
            </w:r>
          </w:p>
          <w:p w14:paraId="2D5CA9FF" w14:textId="77777777" w:rsidR="00860F8E" w:rsidRPr="00687E4A" w:rsidRDefault="00860F8E" w:rsidP="00EF6063">
            <w:pPr>
              <w:rPr>
                <w:rFonts w:ascii="Arial Narrow" w:hAnsi="Arial Narrow"/>
                <w:sz w:val="20"/>
              </w:rPr>
            </w:pPr>
            <w:r w:rsidRPr="00687E4A">
              <w:rPr>
                <w:rFonts w:ascii="Arial Narrow" w:hAnsi="Arial Narrow"/>
                <w:sz w:val="20"/>
              </w:rPr>
              <w:t>In addition, Mr Rindfleish has served in a number of advisory roles</w:t>
            </w:r>
            <w:r>
              <w:rPr>
                <w:rFonts w:ascii="Arial Narrow" w:hAnsi="Arial Narrow"/>
                <w:sz w:val="20"/>
              </w:rPr>
              <w:t>,</w:t>
            </w:r>
            <w:r w:rsidRPr="00687E4A">
              <w:rPr>
                <w:rFonts w:ascii="Arial Narrow" w:hAnsi="Arial Narrow"/>
                <w:sz w:val="20"/>
              </w:rPr>
              <w:t xml:space="preserve"> including </w:t>
            </w:r>
            <w:r>
              <w:rPr>
                <w:rFonts w:ascii="Arial Narrow" w:hAnsi="Arial Narrow"/>
                <w:sz w:val="20"/>
              </w:rPr>
              <w:t xml:space="preserve">as </w:t>
            </w:r>
            <w:r w:rsidRPr="00687E4A">
              <w:rPr>
                <w:rFonts w:ascii="Arial Narrow" w:hAnsi="Arial Narrow"/>
                <w:sz w:val="20"/>
              </w:rPr>
              <w:t xml:space="preserve">safety advisor to </w:t>
            </w:r>
            <w:r>
              <w:rPr>
                <w:rFonts w:ascii="Arial Narrow" w:hAnsi="Arial Narrow"/>
                <w:sz w:val="20"/>
              </w:rPr>
              <w:t xml:space="preserve">Jetstar Airways </w:t>
            </w:r>
            <w:r w:rsidRPr="00687E4A">
              <w:rPr>
                <w:rFonts w:ascii="Arial Narrow" w:hAnsi="Arial Narrow"/>
                <w:sz w:val="20"/>
              </w:rPr>
              <w:t xml:space="preserve">boards, Chairman Flight Operations </w:t>
            </w:r>
            <w:r>
              <w:rPr>
                <w:rFonts w:ascii="Arial Narrow" w:hAnsi="Arial Narrow"/>
                <w:sz w:val="20"/>
              </w:rPr>
              <w:t>and Safety Working Group</w:t>
            </w:r>
            <w:r w:rsidRPr="00687E4A">
              <w:rPr>
                <w:rFonts w:ascii="Arial Narrow" w:hAnsi="Arial Narrow"/>
                <w:sz w:val="20"/>
              </w:rPr>
              <w:t xml:space="preserve"> of Asia Pacific Airlines and Chairman </w:t>
            </w:r>
            <w:r>
              <w:rPr>
                <w:rFonts w:ascii="Arial Narrow" w:hAnsi="Arial Narrow"/>
                <w:sz w:val="20"/>
              </w:rPr>
              <w:t xml:space="preserve">Flight Operations Committee </w:t>
            </w:r>
            <w:r w:rsidRPr="00687E4A">
              <w:rPr>
                <w:rFonts w:ascii="Arial Narrow" w:hAnsi="Arial Narrow"/>
                <w:sz w:val="20"/>
              </w:rPr>
              <w:t>Star Alliance.</w:t>
            </w:r>
          </w:p>
          <w:p w14:paraId="56F265E4" w14:textId="77777777" w:rsidR="00860F8E" w:rsidRPr="00687E4A" w:rsidRDefault="00860F8E" w:rsidP="00EF6063">
            <w:pPr>
              <w:rPr>
                <w:rFonts w:ascii="Arial Narrow" w:hAnsi="Arial Narrow"/>
                <w:sz w:val="20"/>
              </w:rPr>
            </w:pPr>
            <w:r w:rsidRPr="00687E4A">
              <w:rPr>
                <w:rFonts w:ascii="Arial Narrow" w:hAnsi="Arial Narrow"/>
                <w:sz w:val="20"/>
              </w:rPr>
              <w:t xml:space="preserve">Mr Rindfleish has maintained a keen interest in sport and general aviation </w:t>
            </w:r>
            <w:r>
              <w:rPr>
                <w:rFonts w:ascii="Arial Narrow" w:hAnsi="Arial Narrow"/>
                <w:sz w:val="20"/>
              </w:rPr>
              <w:t xml:space="preserve">throughout his career, </w:t>
            </w:r>
            <w:r w:rsidRPr="00687E4A">
              <w:rPr>
                <w:rFonts w:ascii="Arial Narrow" w:hAnsi="Arial Narrow"/>
                <w:sz w:val="20"/>
              </w:rPr>
              <w:t xml:space="preserve">and regularly flies light aircraft. </w:t>
            </w:r>
            <w:r>
              <w:rPr>
                <w:rFonts w:ascii="Arial Narrow" w:hAnsi="Arial Narrow"/>
                <w:sz w:val="20"/>
              </w:rPr>
              <w:t>He</w:t>
            </w:r>
            <w:r w:rsidRPr="00687E4A">
              <w:rPr>
                <w:rFonts w:ascii="Arial Narrow" w:hAnsi="Arial Narrow"/>
                <w:sz w:val="20"/>
              </w:rPr>
              <w:t xml:space="preserve"> is a </w:t>
            </w:r>
            <w:r>
              <w:rPr>
                <w:rFonts w:ascii="Arial Narrow" w:hAnsi="Arial Narrow"/>
                <w:sz w:val="20"/>
              </w:rPr>
              <w:t>f</w:t>
            </w:r>
            <w:r w:rsidRPr="00687E4A">
              <w:rPr>
                <w:rFonts w:ascii="Arial Narrow" w:hAnsi="Arial Narrow"/>
                <w:sz w:val="20"/>
              </w:rPr>
              <w:t>ellow of the Royal Aeronautical Society, a Master Air Pilot and a member of the Australian Institute of Company Directors.</w:t>
            </w:r>
          </w:p>
        </w:tc>
      </w:tr>
      <w:bookmarkEnd w:id="61"/>
      <w:tr w:rsidR="00860F8E" w:rsidRPr="00687E4A" w14:paraId="3EB43575" w14:textId="77777777" w:rsidTr="00A86663">
        <w:tc>
          <w:tcPr>
            <w:tcW w:w="2157" w:type="dxa"/>
          </w:tcPr>
          <w:p w14:paraId="09BDD269" w14:textId="77777777" w:rsidR="00860F8E" w:rsidRPr="00687E4A" w:rsidRDefault="00860F8E" w:rsidP="00EF6063">
            <w:pPr>
              <w:pStyle w:val="TableHeading"/>
              <w:rPr>
                <w:rFonts w:eastAsia="Times New Roman"/>
              </w:rPr>
            </w:pPr>
            <w:r w:rsidRPr="00687E4A">
              <w:rPr>
                <w:rFonts w:eastAsia="Times New Roman"/>
              </w:rPr>
              <w:t>Mr Shane Carmody</w:t>
            </w:r>
          </w:p>
          <w:p w14:paraId="523DACCF" w14:textId="77777777" w:rsidR="00860F8E" w:rsidRPr="00687E4A" w:rsidRDefault="00860F8E" w:rsidP="00EF6063">
            <w:pPr>
              <w:pStyle w:val="TableHeading"/>
              <w:rPr>
                <w:rFonts w:eastAsia="Times New Roman"/>
              </w:rPr>
            </w:pPr>
            <w:r w:rsidRPr="00687E4A">
              <w:rPr>
                <w:rFonts w:eastAsia="Times New Roman"/>
              </w:rPr>
              <w:t>Director of Aviation Safety</w:t>
            </w:r>
          </w:p>
          <w:p w14:paraId="231B508D" w14:textId="77777777" w:rsidR="00860F8E" w:rsidRPr="00687E4A" w:rsidRDefault="00860F8E" w:rsidP="00EF6063">
            <w:pPr>
              <w:pStyle w:val="TableHeading"/>
              <w:rPr>
                <w:rFonts w:eastAsia="Times New Roman"/>
              </w:rPr>
            </w:pPr>
            <w:r w:rsidRPr="00687E4A">
              <w:rPr>
                <w:rFonts w:eastAsia="Times New Roman"/>
              </w:rPr>
              <w:t>First appointed:</w:t>
            </w:r>
          </w:p>
          <w:p w14:paraId="69EDF268" w14:textId="77777777" w:rsidR="00860F8E" w:rsidRPr="00687E4A" w:rsidRDefault="00860F8E" w:rsidP="00EF6063">
            <w:pPr>
              <w:pStyle w:val="TableHeading"/>
              <w:rPr>
                <w:b w:val="0"/>
              </w:rPr>
            </w:pPr>
            <w:r>
              <w:rPr>
                <w:b w:val="0"/>
              </w:rPr>
              <w:t>10 October 2016</w:t>
            </w:r>
          </w:p>
          <w:p w14:paraId="68798108" w14:textId="77777777" w:rsidR="00860F8E" w:rsidRPr="00687E4A" w:rsidRDefault="00860F8E" w:rsidP="00EF6063">
            <w:pPr>
              <w:pStyle w:val="TableHeading"/>
            </w:pPr>
            <w:r w:rsidRPr="00687E4A">
              <w:rPr>
                <w:b w:val="0"/>
              </w:rPr>
              <w:t>Ex-officio Board member</w:t>
            </w:r>
          </w:p>
        </w:tc>
        <w:tc>
          <w:tcPr>
            <w:tcW w:w="7085" w:type="dxa"/>
          </w:tcPr>
          <w:p w14:paraId="1857F669" w14:textId="77777777" w:rsidR="00860F8E" w:rsidRPr="00687E4A" w:rsidRDefault="00860F8E" w:rsidP="00EF6063">
            <w:pPr>
              <w:spacing w:before="80" w:after="80"/>
              <w:rPr>
                <w:rFonts w:ascii="Arial Narrow" w:eastAsia="Times New Roman" w:hAnsi="Arial Narrow"/>
                <w:sz w:val="20"/>
                <w:lang w:eastAsia="en-AU"/>
              </w:rPr>
            </w:pPr>
            <w:r w:rsidRPr="00687E4A">
              <w:rPr>
                <w:rFonts w:ascii="Arial Narrow" w:eastAsia="Times New Roman" w:hAnsi="Arial Narrow"/>
                <w:sz w:val="20"/>
                <w:lang w:eastAsia="en-AU"/>
              </w:rPr>
              <w:t xml:space="preserve">Mr Shane Carmody commenced as Chief Executive Officer and Director of Aviation Safety on 7 June 2017, having acted in the position since 10 October 2016. </w:t>
            </w:r>
          </w:p>
          <w:p w14:paraId="0194E035" w14:textId="77777777" w:rsidR="00860F8E" w:rsidRPr="00687E4A" w:rsidRDefault="00860F8E" w:rsidP="00EF6063">
            <w:pPr>
              <w:spacing w:before="80" w:after="80"/>
              <w:rPr>
                <w:rFonts w:ascii="Arial Narrow" w:eastAsia="Times New Roman" w:hAnsi="Arial Narrow"/>
                <w:sz w:val="20"/>
                <w:lang w:eastAsia="en-AU"/>
              </w:rPr>
            </w:pPr>
            <w:r w:rsidRPr="00687E4A">
              <w:rPr>
                <w:rFonts w:ascii="Arial Narrow" w:eastAsia="Times New Roman" w:hAnsi="Arial Narrow"/>
                <w:sz w:val="20"/>
                <w:lang w:eastAsia="en-AU"/>
              </w:rPr>
              <w:t>Mr Carmody’s previous appointment was as Deputy Secretary, Department of Infrastructure and Regional Development, where his areas of responsibility included local government and territories, the Office of Transport Security and aviation and airports.</w:t>
            </w:r>
          </w:p>
          <w:p w14:paraId="4769FE5C" w14:textId="77777777" w:rsidR="00860F8E" w:rsidRPr="00687E4A" w:rsidRDefault="00860F8E" w:rsidP="00EF6063">
            <w:pPr>
              <w:spacing w:before="80" w:after="80"/>
              <w:rPr>
                <w:rFonts w:ascii="Arial Narrow" w:eastAsia="Times New Roman" w:hAnsi="Arial Narrow"/>
                <w:sz w:val="20"/>
                <w:lang w:eastAsia="en-AU"/>
              </w:rPr>
            </w:pPr>
            <w:r w:rsidRPr="00687E4A">
              <w:rPr>
                <w:rFonts w:ascii="Arial Narrow" w:eastAsia="Times New Roman" w:hAnsi="Arial Narrow"/>
                <w:sz w:val="20"/>
                <w:lang w:eastAsia="en-AU"/>
              </w:rPr>
              <w:t>A former Deputy Chief Executive of CASA, Mr Carmody has extensive experience at senior levels in the Australian Public Service. His roles have included Deputy Secretary/Chief Operating Officer at the Department of Veterans' Affairs, Deputy President of the Repatriation Commission, and Deputy Secretary Intelligence and Security and Deputy Secretary Strategy in the Department of Defence. He has significant policy, regulatory and business management experience.</w:t>
            </w:r>
          </w:p>
          <w:p w14:paraId="484FF699" w14:textId="77777777" w:rsidR="00860F8E" w:rsidRPr="00687E4A" w:rsidRDefault="00860F8E" w:rsidP="00EF6063">
            <w:pPr>
              <w:spacing w:before="80" w:after="80"/>
              <w:rPr>
                <w:rFonts w:eastAsia="Times New Roman"/>
              </w:rPr>
            </w:pPr>
            <w:r w:rsidRPr="00687E4A">
              <w:rPr>
                <w:rFonts w:ascii="Arial Narrow" w:eastAsia="Times New Roman" w:hAnsi="Arial Narrow"/>
                <w:sz w:val="20"/>
                <w:lang w:eastAsia="en-AU"/>
              </w:rPr>
              <w:t>Mr Carmody joined the Australian Public Service in 1989, after a 15-year career as an Army officer serving in Australia and overseas.</w:t>
            </w:r>
          </w:p>
        </w:tc>
      </w:tr>
    </w:tbl>
    <w:p w14:paraId="2273963C" w14:textId="77777777" w:rsidR="00860F8E" w:rsidRPr="00687E4A" w:rsidRDefault="00860F8E" w:rsidP="00860F8E"/>
    <w:p w14:paraId="47572F46" w14:textId="77777777" w:rsidR="00860F8E" w:rsidRPr="00687E4A" w:rsidRDefault="00860F8E" w:rsidP="00860F8E">
      <w:pPr>
        <w:pStyle w:val="Heading3"/>
        <w:rPr>
          <w:lang w:val="en-GB"/>
        </w:rPr>
      </w:pPr>
      <w:r w:rsidRPr="00687E4A">
        <w:rPr>
          <w:lang w:val="en-GB"/>
        </w:rPr>
        <w:t>Board meetings</w:t>
      </w:r>
    </w:p>
    <w:p w14:paraId="76BD6219" w14:textId="77777777" w:rsidR="00860F8E" w:rsidRPr="00687E4A" w:rsidRDefault="00860F8E" w:rsidP="00860F8E">
      <w:pPr>
        <w:pStyle w:val="Heading3"/>
        <w:rPr>
          <w:rFonts w:ascii="Cambria" w:hAnsi="Cambria"/>
          <w:b w:val="0"/>
          <w:bCs w:val="0"/>
          <w:color w:val="auto"/>
          <w:lang w:val="en-AU"/>
        </w:rPr>
      </w:pPr>
      <w:r w:rsidRPr="00687E4A">
        <w:rPr>
          <w:rFonts w:ascii="Cambria" w:hAnsi="Cambria"/>
          <w:b w:val="0"/>
          <w:bCs w:val="0"/>
          <w:color w:val="auto"/>
          <w:lang w:val="en-AU"/>
        </w:rPr>
        <w:t>Six scheduled Board meetings were held during 2017–18, on 25 August, 20 October, 7 December, 23 February, 19 April and 29 June. All Board members attended the meetings they were eligible to attend.</w:t>
      </w:r>
    </w:p>
    <w:p w14:paraId="5A6958D5" w14:textId="77777777" w:rsidR="00860F8E" w:rsidRPr="00687E4A" w:rsidRDefault="00860F8E" w:rsidP="00860F8E">
      <w:r w:rsidRPr="00687E4A">
        <w:rPr>
          <w:lang w:val="en-AU"/>
        </w:rPr>
        <w:t>In February 2018, the CASA Board undertook a joint strategic planning day with the CASA executive management team.</w:t>
      </w:r>
    </w:p>
    <w:p w14:paraId="1681D80C" w14:textId="77777777" w:rsidR="00860F8E" w:rsidRPr="00687E4A" w:rsidRDefault="00860F8E" w:rsidP="00860F8E">
      <w:pPr>
        <w:pStyle w:val="Heading3"/>
        <w:rPr>
          <w:lang w:val="en-GB"/>
        </w:rPr>
      </w:pPr>
      <w:r w:rsidRPr="00687E4A">
        <w:rPr>
          <w:lang w:val="en-GB"/>
        </w:rPr>
        <w:lastRenderedPageBreak/>
        <w:t>Board Audit Committee</w:t>
      </w:r>
    </w:p>
    <w:p w14:paraId="0E49F0B8" w14:textId="77777777" w:rsidR="00860F8E" w:rsidRPr="00687E4A" w:rsidRDefault="00860F8E" w:rsidP="00860F8E">
      <w:r w:rsidRPr="00687E4A">
        <w:t xml:space="preserve">The Board appoints an audit committee in accordance with section 45 of the PGPA Act. The Board Audit Committee’s role is to provide independent assurance and assistance to the Board to discharge its responsibilities under the Civil Aviation Act and the PGPA Act in respect of financial reporting, performance reporting, the system of risk oversight and management, the system of internal control, and compliance with relevant laws and policies. </w:t>
      </w:r>
    </w:p>
    <w:p w14:paraId="45A48AB3" w14:textId="77777777" w:rsidR="00860F8E" w:rsidRPr="00687E4A" w:rsidRDefault="00860F8E" w:rsidP="00860F8E">
      <w:r w:rsidRPr="00687E4A">
        <w:t xml:space="preserve">The duties of the committee are detailed in the Board Audit Committee Charter and Governance Arrangements. The charter reflects the requirements of the PGPA Act and aligns the structure and layout with the model contained in the </w:t>
      </w:r>
      <w:r w:rsidRPr="00687E4A">
        <w:rPr>
          <w:i/>
          <w:iCs/>
        </w:rPr>
        <w:t>Public Sector Audit Committees</w:t>
      </w:r>
      <w:r w:rsidRPr="00687E4A">
        <w:t xml:space="preserve"> better practice guide published by the Australian National Audit Office in March 2015. </w:t>
      </w:r>
    </w:p>
    <w:p w14:paraId="5469D649" w14:textId="77777777" w:rsidR="00860F8E" w:rsidRPr="00687E4A" w:rsidRDefault="00860F8E" w:rsidP="00860F8E">
      <w:r w:rsidRPr="00687E4A">
        <w:t xml:space="preserve">The Audit Committee normally consists of four members appointed by the Board, including a Board member as Chair. The current Chair, Ms Anita Taylor, was appointed as joint Chair from December 2014 and assumed sole responsibility from 1 July 2015. </w:t>
      </w:r>
    </w:p>
    <w:p w14:paraId="7B4E7F84" w14:textId="77777777" w:rsidR="00860F8E" w:rsidRPr="00687E4A" w:rsidRDefault="00860F8E" w:rsidP="00860F8E">
      <w:r w:rsidRPr="00687E4A">
        <w:t xml:space="preserve">Two Audit Committee members retired during the year. Mr Rod Alfredson departed in November 2017 and Ms Barbara Yeoh in April 2018, both after many years of sterling service to CASA. </w:t>
      </w:r>
      <w:r>
        <w:t>Ms Jane McAloon was appointed to the Board Audit Committee on 19 April 2018 to commence from 1 July 2018.</w:t>
      </w:r>
    </w:p>
    <w:p w14:paraId="0D7ED25C" w14:textId="77777777" w:rsidR="00860F8E" w:rsidRPr="00687E4A" w:rsidRDefault="00860F8E" w:rsidP="00860F8E">
      <w:r w:rsidRPr="00687E4A">
        <w:t>The Board Audit Committee held five meetings during 2017–18, on 23 August, 24 November, 21 February, 6 April and 15 June.</w:t>
      </w:r>
    </w:p>
    <w:p w14:paraId="5558BA02" w14:textId="77777777" w:rsidR="00860F8E" w:rsidRPr="00687E4A" w:rsidRDefault="00860F8E" w:rsidP="00860F8E">
      <w:r w:rsidRPr="00687E4A">
        <w:t xml:space="preserve">Table </w:t>
      </w:r>
      <w:r w:rsidR="0050220E">
        <w:t>6</w:t>
      </w:r>
      <w:r w:rsidR="0050220E" w:rsidRPr="00687E4A">
        <w:t xml:space="preserve"> </w:t>
      </w:r>
      <w:r w:rsidRPr="00687E4A">
        <w:t>summarises the relevant experience of the Board Audit Committee members at 30 June 2018.</w:t>
      </w:r>
    </w:p>
    <w:p w14:paraId="47E4CD78" w14:textId="77777777" w:rsidR="00860F8E" w:rsidRPr="00F020EA" w:rsidRDefault="00860F8E" w:rsidP="00860F8E">
      <w:pPr>
        <w:pStyle w:val="TableName"/>
      </w:pPr>
      <w:r w:rsidRPr="00F020EA">
        <w:t xml:space="preserve">Table </w:t>
      </w:r>
      <w:r w:rsidR="0050220E">
        <w:t>6</w:t>
      </w:r>
      <w:r w:rsidRPr="00F020EA">
        <w:tab/>
        <w:t>Board Audit Committee members at 30 June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2065"/>
        <w:gridCol w:w="6951"/>
      </w:tblGrid>
      <w:tr w:rsidR="00860F8E" w:rsidRPr="00687E4A" w14:paraId="7B7F3372" w14:textId="77777777" w:rsidTr="008E2A9C">
        <w:tc>
          <w:tcPr>
            <w:tcW w:w="2093" w:type="dxa"/>
          </w:tcPr>
          <w:p w14:paraId="2FAB6044" w14:textId="77777777" w:rsidR="00860F8E" w:rsidRPr="00F020EA" w:rsidRDefault="00860F8E" w:rsidP="00EF6063">
            <w:pPr>
              <w:pStyle w:val="TableHeading"/>
              <w:rPr>
                <w:rFonts w:eastAsia="Times New Roman"/>
              </w:rPr>
            </w:pPr>
            <w:r w:rsidRPr="00F020EA">
              <w:rPr>
                <w:rFonts w:eastAsia="Times New Roman"/>
              </w:rPr>
              <w:t>Ms Anita Taylor</w:t>
            </w:r>
          </w:p>
          <w:p w14:paraId="5C98EB37" w14:textId="77777777" w:rsidR="00860F8E" w:rsidRPr="00F020EA" w:rsidRDefault="00860F8E" w:rsidP="00EF6063">
            <w:pPr>
              <w:pStyle w:val="TableHeading"/>
              <w:rPr>
                <w:rFonts w:eastAsia="Times New Roman"/>
              </w:rPr>
            </w:pPr>
            <w:r w:rsidRPr="00F020EA">
              <w:rPr>
                <w:rFonts w:eastAsia="Times New Roman"/>
              </w:rPr>
              <w:t>Chair</w:t>
            </w:r>
          </w:p>
          <w:p w14:paraId="71848700" w14:textId="77777777" w:rsidR="00860F8E" w:rsidRPr="00F020EA" w:rsidRDefault="00860F8E" w:rsidP="00EF6063">
            <w:pPr>
              <w:pStyle w:val="TableHeading"/>
              <w:rPr>
                <w:rFonts w:eastAsia="Times New Roman"/>
              </w:rPr>
            </w:pPr>
            <w:r w:rsidRPr="00F020EA">
              <w:rPr>
                <w:rFonts w:eastAsia="Times New Roman"/>
              </w:rPr>
              <w:t>First appointed:</w:t>
            </w:r>
          </w:p>
          <w:p w14:paraId="043C0C08" w14:textId="77777777" w:rsidR="00860F8E" w:rsidRDefault="00860F8E" w:rsidP="00EF6063">
            <w:pPr>
              <w:pStyle w:val="TableText"/>
              <w:rPr>
                <w:rFonts w:eastAsia="Times New Roman"/>
              </w:rPr>
            </w:pPr>
            <w:r w:rsidRPr="00F020EA">
              <w:rPr>
                <w:rFonts w:eastAsia="Times New Roman"/>
              </w:rPr>
              <w:t>12 December 2014</w:t>
            </w:r>
          </w:p>
          <w:p w14:paraId="0EA63A4B" w14:textId="77777777" w:rsidR="00860F8E" w:rsidRPr="00E32735" w:rsidRDefault="00860F8E" w:rsidP="00EF6063">
            <w:pPr>
              <w:pStyle w:val="TableText"/>
              <w:rPr>
                <w:rFonts w:eastAsia="Times New Roman"/>
                <w:b/>
              </w:rPr>
            </w:pPr>
            <w:r w:rsidRPr="00E32735">
              <w:rPr>
                <w:rFonts w:eastAsia="Times New Roman"/>
                <w:b/>
              </w:rPr>
              <w:t>Reappointed:</w:t>
            </w:r>
          </w:p>
          <w:p w14:paraId="1A17093E" w14:textId="77777777" w:rsidR="00860F8E" w:rsidRPr="00F020EA" w:rsidRDefault="00860F8E" w:rsidP="00D529C6">
            <w:pPr>
              <w:pStyle w:val="TableText"/>
              <w:rPr>
                <w:rFonts w:eastAsia="Times New Roman"/>
              </w:rPr>
            </w:pPr>
            <w:r>
              <w:rPr>
                <w:rFonts w:eastAsia="Times New Roman"/>
              </w:rPr>
              <w:t>18 December 2017</w:t>
            </w:r>
          </w:p>
        </w:tc>
        <w:tc>
          <w:tcPr>
            <w:tcW w:w="7149" w:type="dxa"/>
          </w:tcPr>
          <w:p w14:paraId="00CA59A2" w14:textId="77777777" w:rsidR="00860F8E" w:rsidRPr="00F020EA" w:rsidRDefault="00860F8E" w:rsidP="00EF6063">
            <w:pPr>
              <w:spacing w:before="80" w:after="80"/>
              <w:rPr>
                <w:rFonts w:ascii="Arial Narrow" w:hAnsi="Arial Narrow"/>
                <w:sz w:val="20"/>
                <w:lang w:val="en-AU"/>
              </w:rPr>
            </w:pPr>
            <w:r w:rsidRPr="00F020EA">
              <w:rPr>
                <w:rFonts w:ascii="Arial Narrow" w:hAnsi="Arial Narrow"/>
                <w:sz w:val="20"/>
                <w:lang w:val="en-AU"/>
              </w:rPr>
              <w:t>Ms Anita Taylor is a chartered accountant with mediation, psychology and governance qualifications. She has a Bachelor of Science (Psychology) and a Bachelor of Commerce (Accounting). Ms Taylor is also a glider pilot.</w:t>
            </w:r>
          </w:p>
          <w:p w14:paraId="6DDD419D" w14:textId="77777777" w:rsidR="00860F8E" w:rsidRPr="00F020EA" w:rsidRDefault="00860F8E" w:rsidP="00EF6063">
            <w:pPr>
              <w:spacing w:before="80" w:after="80"/>
              <w:rPr>
                <w:rFonts w:ascii="Arial Narrow" w:hAnsi="Arial Narrow"/>
                <w:sz w:val="20"/>
                <w:lang w:val="en-AU"/>
              </w:rPr>
            </w:pPr>
            <w:r w:rsidRPr="00F020EA">
              <w:rPr>
                <w:rFonts w:ascii="Arial Narrow" w:hAnsi="Arial Narrow"/>
                <w:sz w:val="20"/>
                <w:lang w:val="en-AU"/>
              </w:rPr>
              <w:t>Ms Taylor is Chair of the CASA Board Audit Committee. She is an experienced company director and chairperson, having previously served on financial, education, sports administration, agricultural and development boards. She has also served on committees of community and not-for-profit organisations, and on public and listed companies.</w:t>
            </w:r>
          </w:p>
          <w:p w14:paraId="5C2B12DB" w14:textId="77777777" w:rsidR="00860F8E" w:rsidRPr="00687E4A" w:rsidRDefault="00860F8E" w:rsidP="00EF6063">
            <w:pPr>
              <w:pStyle w:val="TableText"/>
              <w:rPr>
                <w:rFonts w:eastAsia="Times New Roman"/>
              </w:rPr>
            </w:pPr>
            <w:r w:rsidRPr="00F020EA">
              <w:rPr>
                <w:lang w:val="en-AU"/>
              </w:rPr>
              <w:t>Ms Taylor and her husband run a superfine merino and Angus cattle property in regional New South Wales.</w:t>
            </w:r>
          </w:p>
        </w:tc>
      </w:tr>
      <w:tr w:rsidR="00860F8E" w:rsidRPr="00687E4A" w14:paraId="1C849B31" w14:textId="77777777" w:rsidTr="008E2A9C">
        <w:tc>
          <w:tcPr>
            <w:tcW w:w="2093" w:type="dxa"/>
          </w:tcPr>
          <w:p w14:paraId="59E59F16" w14:textId="77777777" w:rsidR="00860F8E" w:rsidRPr="00687E4A" w:rsidRDefault="00860F8E" w:rsidP="00EF6063">
            <w:pPr>
              <w:pStyle w:val="TableHeading"/>
              <w:rPr>
                <w:rFonts w:eastAsia="Times New Roman"/>
              </w:rPr>
            </w:pPr>
            <w:r w:rsidRPr="00687E4A">
              <w:rPr>
                <w:rFonts w:eastAsia="Times New Roman"/>
              </w:rPr>
              <w:t>Mr Michael Roche AM</w:t>
            </w:r>
          </w:p>
          <w:p w14:paraId="591506CD" w14:textId="77777777" w:rsidR="00860F8E" w:rsidRPr="00687E4A" w:rsidRDefault="00860F8E" w:rsidP="00EF6063">
            <w:pPr>
              <w:pStyle w:val="TableHeading"/>
              <w:rPr>
                <w:rFonts w:eastAsia="Times New Roman"/>
              </w:rPr>
            </w:pPr>
            <w:r w:rsidRPr="00687E4A">
              <w:rPr>
                <w:rFonts w:eastAsia="Times New Roman"/>
              </w:rPr>
              <w:t>First appointed:</w:t>
            </w:r>
          </w:p>
          <w:p w14:paraId="16B2D153" w14:textId="77777777" w:rsidR="00860F8E" w:rsidRPr="00687E4A" w:rsidRDefault="00860F8E" w:rsidP="00EF6063">
            <w:pPr>
              <w:pStyle w:val="TableText"/>
              <w:rPr>
                <w:rFonts w:eastAsia="Times New Roman"/>
              </w:rPr>
            </w:pPr>
            <w:r w:rsidRPr="00687E4A">
              <w:rPr>
                <w:rFonts w:eastAsia="Times New Roman"/>
              </w:rPr>
              <w:t>20 February 2010</w:t>
            </w:r>
          </w:p>
        </w:tc>
        <w:tc>
          <w:tcPr>
            <w:tcW w:w="7149" w:type="dxa"/>
          </w:tcPr>
          <w:p w14:paraId="65151160" w14:textId="77777777" w:rsidR="00860F8E" w:rsidRPr="00687E4A" w:rsidRDefault="00860F8E" w:rsidP="00EF6063">
            <w:pPr>
              <w:keepNext/>
              <w:spacing w:before="80" w:after="80"/>
              <w:rPr>
                <w:rFonts w:ascii="Arial Narrow" w:hAnsi="Arial Narrow"/>
                <w:sz w:val="20"/>
                <w:lang w:val="en-AU"/>
              </w:rPr>
            </w:pPr>
            <w:r w:rsidRPr="00687E4A">
              <w:rPr>
                <w:rFonts w:ascii="Arial Narrow" w:hAnsi="Arial Narrow"/>
                <w:sz w:val="20"/>
                <w:lang w:val="en-AU"/>
              </w:rPr>
              <w:t xml:space="preserve">Mr </w:t>
            </w:r>
            <w:r>
              <w:rPr>
                <w:rFonts w:ascii="Arial Narrow" w:hAnsi="Arial Narrow"/>
                <w:sz w:val="20"/>
                <w:lang w:val="en-AU"/>
              </w:rPr>
              <w:t xml:space="preserve">Michael </w:t>
            </w:r>
            <w:r w:rsidRPr="00687E4A">
              <w:rPr>
                <w:rFonts w:ascii="Arial Narrow" w:hAnsi="Arial Narrow"/>
                <w:sz w:val="20"/>
                <w:lang w:val="en-AU"/>
              </w:rPr>
              <w:t>Roche has qualifications in accounting and information technology systems. He is a fellow of the Australian Society of Certified Practising Accountants and a member of the Australian Computer Society.</w:t>
            </w:r>
          </w:p>
          <w:p w14:paraId="744880DD" w14:textId="77777777" w:rsidR="00860F8E" w:rsidRPr="00687E4A" w:rsidRDefault="00860F8E" w:rsidP="00EF6063">
            <w:pPr>
              <w:pStyle w:val="TableText"/>
              <w:rPr>
                <w:rFonts w:eastAsia="Times New Roman"/>
              </w:rPr>
            </w:pPr>
            <w:r w:rsidRPr="00687E4A">
              <w:rPr>
                <w:lang w:val="en-AU"/>
              </w:rPr>
              <w:t>Mr Roche has extensive experience at senior levels in the Australian Government in corporate and financial management and policy development. He is the director of two not-for-profit companies as well as a member of a number of audit committees and governance boards.</w:t>
            </w:r>
          </w:p>
        </w:tc>
      </w:tr>
    </w:tbl>
    <w:p w14:paraId="264278D9" w14:textId="77777777" w:rsidR="00860F8E" w:rsidRPr="00687E4A" w:rsidRDefault="00860F8E" w:rsidP="00860F8E">
      <w:pPr>
        <w:pStyle w:val="Heading2"/>
        <w:rPr>
          <w:lang w:val="en-GB"/>
        </w:rPr>
      </w:pPr>
      <w:r w:rsidRPr="00687E4A">
        <w:rPr>
          <w:lang w:val="en-GB"/>
        </w:rPr>
        <w:t>Organisational structure</w:t>
      </w:r>
    </w:p>
    <w:p w14:paraId="5F22F2B3" w14:textId="77777777" w:rsidR="00860F8E" w:rsidRPr="00687E4A" w:rsidRDefault="00860F8E" w:rsidP="00860F8E">
      <w:r w:rsidRPr="00687E4A">
        <w:t xml:space="preserve">CASA’s structure is designed to ensure that resources are aligned to core functions, providing for clear lines of reporting. </w:t>
      </w:r>
    </w:p>
    <w:p w14:paraId="5AC59D02" w14:textId="77777777" w:rsidR="00860F8E" w:rsidRPr="00687E4A" w:rsidRDefault="00860F8E" w:rsidP="00860F8E">
      <w:r w:rsidRPr="00687E4A">
        <w:lastRenderedPageBreak/>
        <w:t>Figure 9 shows the elements and relationships of CASA’s organisational structure at 30 June 2018.</w:t>
      </w:r>
    </w:p>
    <w:p w14:paraId="6A2549B7" w14:textId="157EFAB7" w:rsidR="00860F8E" w:rsidRDefault="00860F8E" w:rsidP="00860F8E">
      <w:pPr>
        <w:pStyle w:val="FigureName"/>
      </w:pPr>
      <w:r w:rsidRPr="00687E4A">
        <w:t>Figure 9</w:t>
      </w:r>
      <w:r w:rsidRPr="00687E4A">
        <w:tab/>
        <w:t xml:space="preserve">Organisational structure at 30 June 2018 </w:t>
      </w:r>
    </w:p>
    <w:p w14:paraId="36548D42" w14:textId="77777777" w:rsidR="00060752" w:rsidRPr="00450B11" w:rsidRDefault="00060752" w:rsidP="00060752">
      <w:r w:rsidRPr="00450B11">
        <w:t>Content under this heading has been removed in this version to meet accessibility standards.</w:t>
      </w:r>
    </w:p>
    <w:p w14:paraId="3389D237" w14:textId="5080665B" w:rsidR="00860F8E" w:rsidRPr="00687E4A" w:rsidRDefault="00860F8E" w:rsidP="00860F8E">
      <w:pPr>
        <w:pStyle w:val="Heading3"/>
        <w:rPr>
          <w:lang w:val="en-GB"/>
        </w:rPr>
      </w:pPr>
      <w:r w:rsidRPr="00687E4A">
        <w:rPr>
          <w:lang w:val="en-GB"/>
        </w:rPr>
        <w:t xml:space="preserve">Organisational changes </w:t>
      </w:r>
    </w:p>
    <w:p w14:paraId="49524E90" w14:textId="77777777" w:rsidR="00860F8E" w:rsidRPr="00687E4A" w:rsidRDefault="00860F8E" w:rsidP="00860F8E">
      <w:pPr>
        <w:spacing w:line="259" w:lineRule="auto"/>
      </w:pPr>
      <w:r w:rsidRPr="00687E4A">
        <w:t>In 2017–18</w:t>
      </w:r>
      <w:r>
        <w:t>,</w:t>
      </w:r>
      <w:r w:rsidRPr="00687E4A">
        <w:t xml:space="preserve"> changes were made to CASA’s structure to meet evolving regulatory demands and improve the delivery of CASA’s outcomes and government priorities.</w:t>
      </w:r>
    </w:p>
    <w:p w14:paraId="759CC832" w14:textId="77777777" w:rsidR="00860F8E" w:rsidRPr="00687E4A" w:rsidRDefault="00860F8E" w:rsidP="00860F8E">
      <w:pPr>
        <w:spacing w:line="259" w:lineRule="auto"/>
      </w:pPr>
      <w:r w:rsidRPr="00687E4A">
        <w:t>In August 2017</w:t>
      </w:r>
      <w:r>
        <w:t>,</w:t>
      </w:r>
      <w:r w:rsidRPr="00687E4A">
        <w:t xml:space="preserve"> the Remotely Piloted Aircraft Systems Branch was created to support the growing </w:t>
      </w:r>
      <w:r>
        <w:t xml:space="preserve">remotely piloted aircraft </w:t>
      </w:r>
      <w:r w:rsidRPr="00687E4A">
        <w:t xml:space="preserve">sector </w:t>
      </w:r>
      <w:r>
        <w:t xml:space="preserve">and </w:t>
      </w:r>
      <w:r w:rsidRPr="00687E4A">
        <w:t xml:space="preserve">allow CASA to be responsive to changes in this area and focus on future technology and drone use. </w:t>
      </w:r>
    </w:p>
    <w:p w14:paraId="1AB916DC" w14:textId="77777777" w:rsidR="00860F8E" w:rsidRPr="00687E4A" w:rsidRDefault="00860F8E" w:rsidP="00860F8E">
      <w:pPr>
        <w:spacing w:after="160" w:line="259" w:lineRule="auto"/>
      </w:pPr>
      <w:r w:rsidRPr="00687E4A">
        <w:t>In December 2017</w:t>
      </w:r>
      <w:r>
        <w:t>,</w:t>
      </w:r>
      <w:r w:rsidRPr="00687E4A">
        <w:t xml:space="preserve"> CASA completed a post</w:t>
      </w:r>
      <w:r>
        <w:t>-</w:t>
      </w:r>
      <w:r w:rsidRPr="00687E4A">
        <w:t>implementation review of the Renewing CASA program of 2015–16. Following th</w:t>
      </w:r>
      <w:r>
        <w:t>e</w:t>
      </w:r>
      <w:r w:rsidRPr="00687E4A">
        <w:t xml:space="preserve"> review several structural changes were made to improve clarity of roles and align </w:t>
      </w:r>
      <w:r>
        <w:t xml:space="preserve">more closely </w:t>
      </w:r>
      <w:r w:rsidRPr="00687E4A">
        <w:t>with International Civil Aviation Organization (ICAO) functions</w:t>
      </w:r>
      <w:r>
        <w:t>,</w:t>
      </w:r>
      <w:r w:rsidRPr="00687E4A">
        <w:t xml:space="preserve"> leading to improved client services and greater focus on aviation policy, collaboration, IT support and project delivery, and governance.</w:t>
      </w:r>
    </w:p>
    <w:p w14:paraId="49AEB097" w14:textId="77777777" w:rsidR="00860F8E" w:rsidRPr="00687E4A" w:rsidRDefault="00860F8E" w:rsidP="00860F8E">
      <w:r w:rsidRPr="00687E4A">
        <w:t>The changes are detailed below.</w:t>
      </w:r>
    </w:p>
    <w:p w14:paraId="4DB97350" w14:textId="77777777" w:rsidR="00860F8E" w:rsidRPr="00687E4A" w:rsidRDefault="00860F8E" w:rsidP="00860F8E">
      <w:pPr>
        <w:pStyle w:val="Heading4"/>
      </w:pPr>
      <w:r w:rsidRPr="00687E4A">
        <w:t>Aviation Group</w:t>
      </w:r>
    </w:p>
    <w:p w14:paraId="5E899176" w14:textId="77777777" w:rsidR="00860F8E" w:rsidRPr="00687E4A" w:rsidRDefault="00860F8E" w:rsidP="00860F8E">
      <w:pPr>
        <w:pStyle w:val="Bullet"/>
      </w:pPr>
      <w:r>
        <w:t xml:space="preserve">The </w:t>
      </w:r>
      <w:r w:rsidRPr="00687E4A">
        <w:t xml:space="preserve">Coordination and Safety Systems Branch </w:t>
      </w:r>
      <w:r>
        <w:t xml:space="preserve">was </w:t>
      </w:r>
      <w:r w:rsidRPr="00687E4A">
        <w:t>created to focus on strategic direction, consistency and collaboration.</w:t>
      </w:r>
    </w:p>
    <w:p w14:paraId="5E9E4E0E" w14:textId="77777777" w:rsidR="00860F8E" w:rsidRPr="00687E4A" w:rsidRDefault="00860F8E" w:rsidP="00860F8E">
      <w:pPr>
        <w:pStyle w:val="Bullet"/>
      </w:pPr>
      <w:r>
        <w:t xml:space="preserve">The </w:t>
      </w:r>
      <w:r w:rsidRPr="00687E4A">
        <w:t xml:space="preserve">General, Recreational and Sport Aviation Branch </w:t>
      </w:r>
      <w:r>
        <w:t xml:space="preserve">was </w:t>
      </w:r>
      <w:r w:rsidRPr="00687E4A">
        <w:t>established to provide improved and coordinated regulatory management for th</w:t>
      </w:r>
      <w:r>
        <w:t>o</w:t>
      </w:r>
      <w:r w:rsidRPr="00687E4A">
        <w:t>se sectors.</w:t>
      </w:r>
    </w:p>
    <w:p w14:paraId="7A256864" w14:textId="77777777" w:rsidR="00860F8E" w:rsidRPr="00687E4A" w:rsidRDefault="00860F8E" w:rsidP="00860F8E">
      <w:pPr>
        <w:pStyle w:val="Bullet"/>
      </w:pPr>
      <w:r>
        <w:t xml:space="preserve">The </w:t>
      </w:r>
      <w:r w:rsidRPr="00687E4A">
        <w:t xml:space="preserve">National Operations and Standards Division </w:t>
      </w:r>
      <w:r>
        <w:t xml:space="preserve">was </w:t>
      </w:r>
      <w:r w:rsidRPr="00687E4A">
        <w:t>created</w:t>
      </w:r>
      <w:r>
        <w:t>,</w:t>
      </w:r>
      <w:r w:rsidRPr="00687E4A">
        <w:t xml:space="preserve"> with responsibility for policy and legislation of all aviation safety standards.</w:t>
      </w:r>
    </w:p>
    <w:p w14:paraId="0822C775" w14:textId="77777777" w:rsidR="00860F8E" w:rsidRPr="00687E4A" w:rsidRDefault="00860F8E" w:rsidP="00860F8E">
      <w:pPr>
        <w:pStyle w:val="Bullet"/>
      </w:pPr>
      <w:r>
        <w:t xml:space="preserve">The </w:t>
      </w:r>
      <w:r w:rsidRPr="00687E4A">
        <w:t xml:space="preserve">Regulatory Services and Surveillance Division </w:t>
      </w:r>
      <w:r>
        <w:t xml:space="preserve">was </w:t>
      </w:r>
      <w:r w:rsidRPr="00687E4A">
        <w:t>created</w:t>
      </w:r>
      <w:r>
        <w:t>,</w:t>
      </w:r>
      <w:r w:rsidRPr="00687E4A">
        <w:t xml:space="preserve"> incorporating CASA’s five regional offices </w:t>
      </w:r>
      <w:r>
        <w:t xml:space="preserve">and with </w:t>
      </w:r>
      <w:r w:rsidRPr="00687E4A">
        <w:t>responsibility for the provision of surveillance and aviation safety regulatory services and facilitation of regulatory compliance support to operators.</w:t>
      </w:r>
    </w:p>
    <w:p w14:paraId="394A822F" w14:textId="77777777" w:rsidR="00860F8E" w:rsidRPr="00687E4A" w:rsidRDefault="00860F8E" w:rsidP="00860F8E">
      <w:pPr>
        <w:pStyle w:val="Bullet"/>
      </w:pPr>
      <w:r w:rsidRPr="00687E4A">
        <w:t xml:space="preserve">Technical </w:t>
      </w:r>
      <w:r>
        <w:t>o</w:t>
      </w:r>
      <w:r w:rsidRPr="00687E4A">
        <w:t xml:space="preserve">perations and </w:t>
      </w:r>
      <w:r>
        <w:t>i</w:t>
      </w:r>
      <w:r w:rsidRPr="00687E4A">
        <w:t xml:space="preserve">nternational </w:t>
      </w:r>
      <w:r>
        <w:t>o</w:t>
      </w:r>
      <w:r w:rsidRPr="00687E4A">
        <w:t xml:space="preserve">perations functions </w:t>
      </w:r>
      <w:r>
        <w:t xml:space="preserve">were </w:t>
      </w:r>
      <w:r w:rsidRPr="00687E4A">
        <w:t xml:space="preserve">transferred to report to the Eastern Region Manager. </w:t>
      </w:r>
    </w:p>
    <w:p w14:paraId="7A712521" w14:textId="77777777" w:rsidR="00860F8E" w:rsidRPr="00687E4A" w:rsidRDefault="00860F8E" w:rsidP="00860F8E">
      <w:pPr>
        <w:pStyle w:val="Bullet"/>
      </w:pPr>
      <w:r>
        <w:t xml:space="preserve">The </w:t>
      </w:r>
      <w:r w:rsidRPr="00687E4A">
        <w:t xml:space="preserve">Strategic Analysis section </w:t>
      </w:r>
      <w:r>
        <w:t xml:space="preserve">was </w:t>
      </w:r>
      <w:r w:rsidRPr="00687E4A">
        <w:t>transferred to the Coordination and Safety Systems Branch</w:t>
      </w:r>
      <w:r>
        <w:t>,</w:t>
      </w:r>
      <w:r w:rsidRPr="00687E4A">
        <w:t xml:space="preserve"> </w:t>
      </w:r>
      <w:r>
        <w:t xml:space="preserve">to improve </w:t>
      </w:r>
      <w:r w:rsidRPr="00687E4A">
        <w:t>sector risk data analysis.</w:t>
      </w:r>
    </w:p>
    <w:p w14:paraId="61AA5DF2" w14:textId="77777777" w:rsidR="00860F8E" w:rsidRPr="00687E4A" w:rsidRDefault="00860F8E" w:rsidP="00860F8E">
      <w:pPr>
        <w:pStyle w:val="Heading4"/>
      </w:pPr>
      <w:r w:rsidRPr="00687E4A">
        <w:t>Stakeholder Engagement Division</w:t>
      </w:r>
    </w:p>
    <w:p w14:paraId="5FE2E999" w14:textId="77777777" w:rsidR="00860F8E" w:rsidRPr="00687E4A" w:rsidRDefault="00860F8E" w:rsidP="00860F8E">
      <w:pPr>
        <w:pStyle w:val="Bullet"/>
      </w:pPr>
      <w:r>
        <w:t xml:space="preserve">The </w:t>
      </w:r>
      <w:r w:rsidRPr="00687E4A">
        <w:t xml:space="preserve">Stakeholder Engagement Group was renamed </w:t>
      </w:r>
      <w:r>
        <w:t xml:space="preserve">the </w:t>
      </w:r>
      <w:r w:rsidRPr="00687E4A">
        <w:t>Stakeholder Engagement Division.</w:t>
      </w:r>
    </w:p>
    <w:p w14:paraId="1F2886E0" w14:textId="77777777" w:rsidR="00860F8E" w:rsidRPr="00687E4A" w:rsidRDefault="00860F8E" w:rsidP="00860F8E">
      <w:pPr>
        <w:pStyle w:val="Bullet"/>
      </w:pPr>
      <w:r>
        <w:t xml:space="preserve">The </w:t>
      </w:r>
      <w:r w:rsidRPr="00687E4A">
        <w:t xml:space="preserve">Industry Relations, Safety Promotion Branch and the Stakeholder Communication Branch were amalgamated to </w:t>
      </w:r>
      <w:r>
        <w:t xml:space="preserve">form </w:t>
      </w:r>
      <w:r w:rsidRPr="00687E4A">
        <w:t>the Engagement, Communication and Safety Education Branch.</w:t>
      </w:r>
    </w:p>
    <w:p w14:paraId="70CAEF40" w14:textId="77777777" w:rsidR="00860F8E" w:rsidRPr="00687E4A" w:rsidRDefault="00860F8E" w:rsidP="00860F8E">
      <w:pPr>
        <w:pStyle w:val="Bullet"/>
      </w:pPr>
      <w:r>
        <w:lastRenderedPageBreak/>
        <w:t xml:space="preserve">The </w:t>
      </w:r>
      <w:r w:rsidRPr="00687E4A">
        <w:t xml:space="preserve">Client Services Centre was transferred from Corporate Services into </w:t>
      </w:r>
      <w:r>
        <w:t xml:space="preserve">the </w:t>
      </w:r>
      <w:r w:rsidRPr="00687E4A">
        <w:t xml:space="preserve">Stakeholder Engagement Division to </w:t>
      </w:r>
      <w:r>
        <w:t>consolidate</w:t>
      </w:r>
      <w:r w:rsidRPr="00687E4A">
        <w:t xml:space="preserve"> the focus on engagement with stakeholders.</w:t>
      </w:r>
    </w:p>
    <w:p w14:paraId="34496D13" w14:textId="77777777" w:rsidR="00860F8E" w:rsidRPr="00687E4A" w:rsidRDefault="00860F8E" w:rsidP="00860F8E">
      <w:pPr>
        <w:pStyle w:val="Heading4"/>
      </w:pPr>
      <w:r w:rsidRPr="00687E4A">
        <w:t>Corporate Services Division</w:t>
      </w:r>
    </w:p>
    <w:p w14:paraId="7FEA516F" w14:textId="77777777" w:rsidR="00860F8E" w:rsidRPr="00687E4A" w:rsidRDefault="00860F8E" w:rsidP="00860F8E">
      <w:pPr>
        <w:pStyle w:val="Bullet"/>
      </w:pPr>
      <w:r>
        <w:t xml:space="preserve">The </w:t>
      </w:r>
      <w:r w:rsidRPr="00687E4A">
        <w:t xml:space="preserve">Sustainability Group was renamed </w:t>
      </w:r>
      <w:r>
        <w:t xml:space="preserve">the </w:t>
      </w:r>
      <w:r w:rsidRPr="00687E4A">
        <w:t>Corporate Services Division to provide functional clarity.</w:t>
      </w:r>
    </w:p>
    <w:p w14:paraId="5B42FFDD" w14:textId="77777777" w:rsidR="00860F8E" w:rsidRPr="00687E4A" w:rsidRDefault="00860F8E" w:rsidP="00860F8E">
      <w:pPr>
        <w:pStyle w:val="Bullet"/>
      </w:pPr>
      <w:r>
        <w:t xml:space="preserve">The </w:t>
      </w:r>
      <w:r w:rsidRPr="00687E4A">
        <w:t>Governance Branch was created in Corporate Services Division, replacing the Strategy, Quality and Intelligence Branch within the office of the CEO/DAS</w:t>
      </w:r>
      <w:r>
        <w:t xml:space="preserve"> and</w:t>
      </w:r>
      <w:r w:rsidRPr="00687E4A">
        <w:t xml:space="preserve"> centralising </w:t>
      </w:r>
      <w:r>
        <w:t xml:space="preserve">CASA’s </w:t>
      </w:r>
      <w:r w:rsidRPr="00687E4A">
        <w:t>governance and continuous improvement functions.</w:t>
      </w:r>
    </w:p>
    <w:p w14:paraId="345EBAE5" w14:textId="77777777" w:rsidR="00860F8E" w:rsidRPr="00687E4A" w:rsidRDefault="00860F8E" w:rsidP="00860F8E">
      <w:pPr>
        <w:pStyle w:val="Bullet"/>
      </w:pPr>
      <w:r>
        <w:t xml:space="preserve">The </w:t>
      </w:r>
      <w:r w:rsidRPr="00687E4A">
        <w:t>Business Transformation Branch was created to focus on whole</w:t>
      </w:r>
      <w:r>
        <w:t>-</w:t>
      </w:r>
      <w:r w:rsidRPr="00687E4A">
        <w:t>of</w:t>
      </w:r>
      <w:r>
        <w:t>-</w:t>
      </w:r>
      <w:r w:rsidRPr="00687E4A">
        <w:t>CASA transformation and project management.</w:t>
      </w:r>
    </w:p>
    <w:p w14:paraId="3134B577" w14:textId="77777777" w:rsidR="00860F8E" w:rsidRPr="00687E4A" w:rsidRDefault="00860F8E" w:rsidP="00860F8E">
      <w:pPr>
        <w:pStyle w:val="Bullet"/>
      </w:pPr>
      <w:r>
        <w:t xml:space="preserve">The </w:t>
      </w:r>
      <w:r w:rsidRPr="00687E4A">
        <w:t xml:space="preserve">Information Management section was transferred from </w:t>
      </w:r>
      <w:r>
        <w:t xml:space="preserve">the </w:t>
      </w:r>
      <w:r w:rsidRPr="00687E4A">
        <w:t xml:space="preserve">Information Technology Branch into </w:t>
      </w:r>
      <w:r>
        <w:t xml:space="preserve">the </w:t>
      </w:r>
      <w:r w:rsidRPr="00687E4A">
        <w:t xml:space="preserve">Governance Branch to </w:t>
      </w:r>
      <w:r>
        <w:t>consolidate the</w:t>
      </w:r>
      <w:r w:rsidRPr="00687E4A">
        <w:t xml:space="preserve"> information management governance and strategy setting role.</w:t>
      </w:r>
    </w:p>
    <w:p w14:paraId="4E225AA4" w14:textId="77777777" w:rsidR="00860F8E" w:rsidRPr="00687E4A" w:rsidRDefault="00860F8E" w:rsidP="00860F8E">
      <w:pPr>
        <w:pStyle w:val="Bullet"/>
      </w:pPr>
      <w:r>
        <w:t xml:space="preserve">The </w:t>
      </w:r>
      <w:r w:rsidRPr="00687E4A">
        <w:t xml:space="preserve">Training Branch was transferred from </w:t>
      </w:r>
      <w:r>
        <w:t xml:space="preserve">the </w:t>
      </w:r>
      <w:r w:rsidRPr="00687E4A">
        <w:t xml:space="preserve">Stakeholder Engagement Division into </w:t>
      </w:r>
      <w:r>
        <w:t xml:space="preserve">the </w:t>
      </w:r>
      <w:r w:rsidRPr="00687E4A">
        <w:t xml:space="preserve">Corporate Services Division to </w:t>
      </w:r>
      <w:r>
        <w:t xml:space="preserve">consolidate the </w:t>
      </w:r>
      <w:r w:rsidRPr="00687E4A">
        <w:t>focus on enhancing CASA’s people capability.</w:t>
      </w:r>
    </w:p>
    <w:p w14:paraId="16FC1933" w14:textId="77777777" w:rsidR="00860F8E" w:rsidRPr="00687E4A" w:rsidRDefault="00860F8E" w:rsidP="00860F8E">
      <w:pPr>
        <w:pStyle w:val="Bullet"/>
      </w:pPr>
      <w:r w:rsidRPr="00687E4A">
        <w:t xml:space="preserve">The </w:t>
      </w:r>
      <w:r>
        <w:t>b</w:t>
      </w:r>
      <w:r w:rsidRPr="00687E4A">
        <w:t xml:space="preserve">usiness </w:t>
      </w:r>
      <w:r>
        <w:t>a</w:t>
      </w:r>
      <w:r w:rsidRPr="00687E4A">
        <w:t>nalysis function was transferred to the Information Technology Branch.</w:t>
      </w:r>
    </w:p>
    <w:p w14:paraId="605F8846" w14:textId="77777777" w:rsidR="00860F8E" w:rsidRPr="00687E4A" w:rsidRDefault="00860F8E" w:rsidP="00860F8E">
      <w:pPr>
        <w:pStyle w:val="Heading4"/>
      </w:pPr>
      <w:r w:rsidRPr="00687E4A">
        <w:t>Legal and Regulatory Affairs Division</w:t>
      </w:r>
    </w:p>
    <w:p w14:paraId="4BFBE1F6" w14:textId="77777777" w:rsidR="00860F8E" w:rsidRPr="00687E4A" w:rsidRDefault="00860F8E" w:rsidP="00860F8E">
      <w:pPr>
        <w:pStyle w:val="Bullet"/>
      </w:pPr>
      <w:r w:rsidRPr="00687E4A">
        <w:t xml:space="preserve">Legal Affairs, Regulatory Policy and International Strategy Branch was renamed Legal and Regulatory Affairs Division </w:t>
      </w:r>
      <w:r>
        <w:t xml:space="preserve">in recognition of </w:t>
      </w:r>
      <w:r w:rsidRPr="00687E4A">
        <w:t>the strong demand for legal counsel and policy advisory services</w:t>
      </w:r>
      <w:r>
        <w:t xml:space="preserve"> within CASA</w:t>
      </w:r>
      <w:r w:rsidRPr="00687E4A">
        <w:t>.</w:t>
      </w:r>
    </w:p>
    <w:p w14:paraId="19186FDD" w14:textId="77777777" w:rsidR="00860F8E" w:rsidRPr="00687E4A" w:rsidRDefault="00860F8E" w:rsidP="00860F8E">
      <w:pPr>
        <w:pStyle w:val="Bullet"/>
      </w:pPr>
      <w:r>
        <w:t xml:space="preserve">The </w:t>
      </w:r>
      <w:r w:rsidRPr="00687E4A">
        <w:t>Legal Advisory, Drafting and Contracts section was renamed Advisory and Drafting Branch</w:t>
      </w:r>
      <w:r>
        <w:t>,</w:t>
      </w:r>
      <w:r w:rsidRPr="00687E4A">
        <w:t xml:space="preserve"> to improve clarity of functions.</w:t>
      </w:r>
    </w:p>
    <w:p w14:paraId="59882E6D" w14:textId="77777777" w:rsidR="00860F8E" w:rsidRDefault="00860F8E" w:rsidP="00860F8E">
      <w:pPr>
        <w:pStyle w:val="Bullet"/>
      </w:pPr>
      <w:r>
        <w:t xml:space="preserve">The </w:t>
      </w:r>
      <w:r w:rsidRPr="00687E4A">
        <w:t>Litigation and Enforcement section was renamed Litigation, Investigations and Enforcement Branch</w:t>
      </w:r>
      <w:r>
        <w:t>,</w:t>
      </w:r>
      <w:r w:rsidRPr="00687E4A">
        <w:t xml:space="preserve"> to improve clarity of functions.</w:t>
      </w:r>
    </w:p>
    <w:p w14:paraId="5869EDD4" w14:textId="77777777" w:rsidR="000D7CE7" w:rsidRPr="00687E4A" w:rsidRDefault="000D7CE7" w:rsidP="000D7CE7">
      <w:pPr>
        <w:pStyle w:val="Heading4"/>
      </w:pPr>
      <w:r>
        <w:t>Finance Branch</w:t>
      </w:r>
    </w:p>
    <w:p w14:paraId="72D5BCDF" w14:textId="77777777" w:rsidR="000D7CE7" w:rsidRPr="00687E4A" w:rsidRDefault="000D7CE7" w:rsidP="000D7CE7">
      <w:pPr>
        <w:pStyle w:val="Bullet"/>
      </w:pPr>
      <w:r>
        <w:t xml:space="preserve">There were no changes to Finance Branch as a result of the </w:t>
      </w:r>
      <w:r w:rsidR="00512F9A">
        <w:t>post implementation review</w:t>
      </w:r>
      <w:r w:rsidRPr="00687E4A">
        <w:t>.</w:t>
      </w:r>
    </w:p>
    <w:p w14:paraId="0CBBB592" w14:textId="77777777" w:rsidR="00860F8E" w:rsidRPr="00687E4A" w:rsidRDefault="00860F8E" w:rsidP="00860F8E">
      <w:pPr>
        <w:pStyle w:val="Heading3"/>
        <w:rPr>
          <w:lang w:val="en-GB"/>
        </w:rPr>
      </w:pPr>
      <w:r w:rsidRPr="00687E4A">
        <w:rPr>
          <w:lang w:val="en-GB"/>
        </w:rPr>
        <w:t xml:space="preserve">Senior manager appointments </w:t>
      </w:r>
      <w:r>
        <w:rPr>
          <w:lang w:val="en-GB"/>
        </w:rPr>
        <w:t>and departures</w:t>
      </w:r>
    </w:p>
    <w:p w14:paraId="18314D93" w14:textId="77777777" w:rsidR="00860F8E" w:rsidRPr="00687E4A" w:rsidRDefault="00860F8E" w:rsidP="00860F8E">
      <w:pPr>
        <w:pStyle w:val="BulletIntro"/>
        <w:rPr>
          <w:lang w:val="en-GB"/>
        </w:rPr>
      </w:pPr>
      <w:r w:rsidRPr="00687E4A">
        <w:rPr>
          <w:lang w:val="en-GB"/>
        </w:rPr>
        <w:t>The following senior managers were appointed during the year:</w:t>
      </w:r>
    </w:p>
    <w:p w14:paraId="3679C856" w14:textId="77777777" w:rsidR="00860F8E" w:rsidRPr="00687E4A" w:rsidRDefault="00860F8E" w:rsidP="00860F8E">
      <w:pPr>
        <w:pStyle w:val="Bullet"/>
        <w:rPr>
          <w:rFonts w:eastAsia="Calibri"/>
        </w:rPr>
      </w:pPr>
      <w:r w:rsidRPr="00687E4A">
        <w:rPr>
          <w:rFonts w:eastAsia="Calibri"/>
        </w:rPr>
        <w:t>Ms Robyn Black, Branch Manager, People and Culture, Corporate Services Division</w:t>
      </w:r>
    </w:p>
    <w:p w14:paraId="79074D1A" w14:textId="77777777" w:rsidR="00860F8E" w:rsidRPr="00687E4A" w:rsidRDefault="00860F8E" w:rsidP="00860F8E">
      <w:pPr>
        <w:pStyle w:val="Bullet"/>
        <w:rPr>
          <w:rFonts w:eastAsia="Calibri"/>
        </w:rPr>
      </w:pPr>
      <w:r w:rsidRPr="00687E4A">
        <w:rPr>
          <w:rFonts w:eastAsia="Calibri"/>
        </w:rPr>
        <w:t xml:space="preserve">Mr Earl Brown, Branch Manager, Training, Corporate Services Division </w:t>
      </w:r>
    </w:p>
    <w:p w14:paraId="2825D1B0" w14:textId="77777777" w:rsidR="00860F8E" w:rsidRPr="0072629D" w:rsidRDefault="00860F8E" w:rsidP="00860F8E">
      <w:pPr>
        <w:pStyle w:val="Bullet"/>
        <w:rPr>
          <w:rFonts w:eastAsia="Calibri"/>
        </w:rPr>
      </w:pPr>
      <w:r w:rsidRPr="00687E4A">
        <w:rPr>
          <w:rFonts w:eastAsia="Calibri"/>
        </w:rPr>
        <w:t xml:space="preserve">Mr Murray Collings, Regional Manager Sydney, </w:t>
      </w:r>
      <w:r w:rsidRPr="0072629D">
        <w:rPr>
          <w:rFonts w:eastAsia="Calibri"/>
        </w:rPr>
        <w:t xml:space="preserve">Regulatory Services and Surveillance Division </w:t>
      </w:r>
    </w:p>
    <w:p w14:paraId="4DEA0E80" w14:textId="77777777" w:rsidR="00860F8E" w:rsidRPr="00687E4A" w:rsidRDefault="00860F8E" w:rsidP="00860F8E">
      <w:pPr>
        <w:pStyle w:val="Bullet"/>
        <w:rPr>
          <w:rFonts w:eastAsia="Calibri"/>
        </w:rPr>
      </w:pPr>
      <w:r w:rsidRPr="00687E4A">
        <w:rPr>
          <w:rFonts w:eastAsia="Calibri"/>
        </w:rPr>
        <w:t>Mr Chris De Luis, Branch Manager, Airworthiness and Engineering, National Operations and Standards Division</w:t>
      </w:r>
    </w:p>
    <w:p w14:paraId="273B1BDE" w14:textId="77777777" w:rsidR="00860F8E" w:rsidRPr="00687E4A" w:rsidRDefault="00860F8E" w:rsidP="00860F8E">
      <w:pPr>
        <w:pStyle w:val="Bullet"/>
        <w:rPr>
          <w:rFonts w:eastAsia="Calibri"/>
        </w:rPr>
      </w:pPr>
      <w:r w:rsidRPr="00687E4A">
        <w:rPr>
          <w:rFonts w:eastAsia="Calibri"/>
        </w:rPr>
        <w:t>Mr John Grima, Branch Manager, Coordination and Safety Systems, Aviation Group</w:t>
      </w:r>
    </w:p>
    <w:p w14:paraId="21A8E58C" w14:textId="77777777" w:rsidR="00860F8E" w:rsidRPr="00687E4A" w:rsidRDefault="00860F8E" w:rsidP="00860F8E">
      <w:pPr>
        <w:pStyle w:val="Bullet"/>
        <w:rPr>
          <w:rFonts w:eastAsia="Calibri"/>
        </w:rPr>
      </w:pPr>
      <w:r w:rsidRPr="00687E4A">
        <w:rPr>
          <w:rFonts w:eastAsia="Calibri"/>
        </w:rPr>
        <w:lastRenderedPageBreak/>
        <w:t>Ms Carolyn Hutton, Branch Manager, Government and International Relations, Stakeholder Engagement Division</w:t>
      </w:r>
    </w:p>
    <w:p w14:paraId="677AF3CA" w14:textId="77777777" w:rsidR="00860F8E" w:rsidRPr="00687E4A" w:rsidRDefault="00860F8E" w:rsidP="00860F8E">
      <w:pPr>
        <w:pStyle w:val="Bullet"/>
        <w:rPr>
          <w:rFonts w:eastAsia="Calibri"/>
        </w:rPr>
      </w:pPr>
      <w:r w:rsidRPr="00687E4A">
        <w:rPr>
          <w:rFonts w:eastAsia="Calibri"/>
        </w:rPr>
        <w:t>Mr Andreas Marcelja, Branch Manager, Engagement, Communication and Safety Education, Stakeholder Engagement Division</w:t>
      </w:r>
    </w:p>
    <w:p w14:paraId="72E7749B" w14:textId="77777777" w:rsidR="00860F8E" w:rsidRPr="00687E4A" w:rsidRDefault="00860F8E" w:rsidP="00860F8E">
      <w:pPr>
        <w:pStyle w:val="Bullet"/>
        <w:rPr>
          <w:rFonts w:eastAsia="Calibri"/>
        </w:rPr>
      </w:pPr>
      <w:r w:rsidRPr="00687E4A">
        <w:rPr>
          <w:rFonts w:eastAsia="Calibri"/>
        </w:rPr>
        <w:t xml:space="preserve">Mr Chris Monahan, Branch Manager, Flight Standards, National Operations </w:t>
      </w:r>
      <w:r>
        <w:rPr>
          <w:rFonts w:eastAsia="Calibri"/>
        </w:rPr>
        <w:t>and</w:t>
      </w:r>
      <w:r w:rsidRPr="00687E4A">
        <w:rPr>
          <w:rFonts w:eastAsia="Calibri"/>
        </w:rPr>
        <w:t xml:space="preserve"> Standards Division, Aviation Group</w:t>
      </w:r>
    </w:p>
    <w:p w14:paraId="3471518D" w14:textId="77777777" w:rsidR="00860F8E" w:rsidRPr="00687E4A" w:rsidRDefault="00860F8E" w:rsidP="00860F8E">
      <w:pPr>
        <w:pStyle w:val="Bullet"/>
        <w:rPr>
          <w:rFonts w:eastAsia="Calibri"/>
        </w:rPr>
      </w:pPr>
      <w:r w:rsidRPr="00687E4A">
        <w:rPr>
          <w:rFonts w:eastAsia="Calibri"/>
        </w:rPr>
        <w:t>Mr Andrew Sparrow, Branch Manager, Air Navigation, Airspace and Aerodromes, National Operations and Standards Division</w:t>
      </w:r>
    </w:p>
    <w:p w14:paraId="7A524FC8" w14:textId="77777777" w:rsidR="00860F8E" w:rsidRPr="00687E4A" w:rsidRDefault="00860F8E" w:rsidP="00860F8E">
      <w:pPr>
        <w:pStyle w:val="Bullet"/>
      </w:pPr>
      <w:r w:rsidRPr="00687E4A">
        <w:rPr>
          <w:rFonts w:eastAsia="Calibri"/>
        </w:rPr>
        <w:t>Mr Peter White, Executive Manager, Regulatory Services and Surveillance Division, Aviation Group</w:t>
      </w:r>
      <w:r w:rsidRPr="00687E4A">
        <w:t>.</w:t>
      </w:r>
    </w:p>
    <w:p w14:paraId="42CBA963" w14:textId="77777777" w:rsidR="00860F8E" w:rsidRPr="00687E4A" w:rsidRDefault="00860F8E" w:rsidP="00860F8E">
      <w:pPr>
        <w:pStyle w:val="Bullet"/>
        <w:numPr>
          <w:ilvl w:val="0"/>
          <w:numId w:val="0"/>
        </w:numPr>
      </w:pPr>
      <w:r w:rsidRPr="00687E4A">
        <w:t>The following senior managers departed during the year:</w:t>
      </w:r>
    </w:p>
    <w:p w14:paraId="1A2E0D04" w14:textId="77777777" w:rsidR="00860F8E" w:rsidRPr="00687E4A" w:rsidRDefault="00860F8E" w:rsidP="00860F8E">
      <w:pPr>
        <w:pStyle w:val="Bullet"/>
      </w:pPr>
      <w:r w:rsidRPr="00687E4A">
        <w:rPr>
          <w:rFonts w:eastAsia="Calibri"/>
        </w:rPr>
        <w:t>Mr Gerard Campbell, Branch Manager, Training, Corporate Services Division</w:t>
      </w:r>
    </w:p>
    <w:p w14:paraId="73B601F4" w14:textId="77777777" w:rsidR="00860F8E" w:rsidRPr="00687E4A" w:rsidRDefault="00860F8E" w:rsidP="00860F8E">
      <w:pPr>
        <w:pStyle w:val="Bullet"/>
      </w:pPr>
      <w:r w:rsidRPr="00687E4A">
        <w:rPr>
          <w:rFonts w:eastAsia="Calibri"/>
        </w:rPr>
        <w:t>Ms Cate Saunders, Branch Manager, People and Culture, Corporate Services Division</w:t>
      </w:r>
    </w:p>
    <w:p w14:paraId="2875F3FD" w14:textId="77777777" w:rsidR="00860F8E" w:rsidRPr="00687E4A" w:rsidRDefault="00860F8E" w:rsidP="00860F8E">
      <w:pPr>
        <w:pStyle w:val="Bullet"/>
      </w:pPr>
      <w:r w:rsidRPr="00687E4A">
        <w:rPr>
          <w:rFonts w:eastAsia="Calibri"/>
        </w:rPr>
        <w:t xml:space="preserve">Mr Fred van der Heide, Regional Manager Sydney, Regulatory Services </w:t>
      </w:r>
      <w:r>
        <w:rPr>
          <w:rFonts w:eastAsia="Calibri"/>
        </w:rPr>
        <w:t>and</w:t>
      </w:r>
      <w:r w:rsidRPr="00687E4A">
        <w:rPr>
          <w:rFonts w:eastAsia="Calibri"/>
        </w:rPr>
        <w:t xml:space="preserve"> Surveillance Division.</w:t>
      </w:r>
    </w:p>
    <w:p w14:paraId="501DFE9C" w14:textId="77777777" w:rsidR="006F007E" w:rsidRPr="00687E4A" w:rsidRDefault="006F007E" w:rsidP="006F007E">
      <w:pPr>
        <w:pStyle w:val="Heading3"/>
        <w:rPr>
          <w:lang w:val="en-GB"/>
        </w:rPr>
      </w:pPr>
      <w:r w:rsidRPr="00687E4A">
        <w:rPr>
          <w:lang w:val="en-GB"/>
        </w:rPr>
        <w:t xml:space="preserve">Senior </w:t>
      </w:r>
      <w:r>
        <w:rPr>
          <w:lang w:val="en-GB"/>
        </w:rPr>
        <w:t>executives</w:t>
      </w:r>
    </w:p>
    <w:p w14:paraId="29BD8E60" w14:textId="77777777" w:rsidR="00860F8E" w:rsidRPr="006C0823" w:rsidRDefault="00860F8E" w:rsidP="00860F8E">
      <w:r w:rsidRPr="006C0823">
        <w:t>The following sections summarise the qualifications, experience and responsibilities of CASA’s senior executives.</w:t>
      </w:r>
    </w:p>
    <w:p w14:paraId="680BBB56" w14:textId="77777777" w:rsidR="00860F8E" w:rsidRDefault="00860F8E" w:rsidP="00860F8E">
      <w:pPr>
        <w:pStyle w:val="Heading4"/>
      </w:pPr>
      <w:r w:rsidRPr="006C0823">
        <w:t xml:space="preserve">Aviation </w:t>
      </w:r>
      <w:r>
        <w:t>Group</w:t>
      </w:r>
    </w:p>
    <w:p w14:paraId="251EB081" w14:textId="77777777" w:rsidR="00E57600" w:rsidRPr="006C0823" w:rsidRDefault="00E57600" w:rsidP="00E57600">
      <w:r w:rsidRPr="006C0823">
        <w:t>Graeme Crawford</w:t>
      </w:r>
      <w:r>
        <w:br/>
      </w:r>
      <w:r w:rsidRPr="006C0823">
        <w:t xml:space="preserve">Group </w:t>
      </w:r>
      <w:r>
        <w:t xml:space="preserve">Executive </w:t>
      </w:r>
      <w:r w:rsidRPr="006C0823">
        <w:t xml:space="preserve">Manager </w:t>
      </w:r>
      <w:r>
        <w:br/>
      </w:r>
      <w:r w:rsidRPr="006C0823">
        <w:t>Phone: 02 6217 1330</w:t>
      </w:r>
    </w:p>
    <w:p w14:paraId="25660BAC" w14:textId="77777777" w:rsidR="00E57600" w:rsidRDefault="00E57600" w:rsidP="00E57600">
      <w:r w:rsidRPr="006C0823">
        <w:t xml:space="preserve">Email: </w:t>
      </w:r>
      <w:hyperlink r:id="rId24" w:history="1">
        <w:r w:rsidRPr="00D5509B">
          <w:rPr>
            <w:rStyle w:val="Hyperlink"/>
          </w:rPr>
          <w:t>graeme.crawford@casa.gov.au</w:t>
        </w:r>
      </w:hyperlink>
    </w:p>
    <w:p w14:paraId="56DA91E9" w14:textId="77777777" w:rsidR="00E57600" w:rsidRPr="009355FE" w:rsidRDefault="00E57600" w:rsidP="00E57600">
      <w:pPr>
        <w:pStyle w:val="Heading5"/>
      </w:pPr>
      <w:r w:rsidRPr="009355FE">
        <w:t>Profile</w:t>
      </w:r>
    </w:p>
    <w:p w14:paraId="1A1C7BFA" w14:textId="77777777" w:rsidR="00E57600" w:rsidRPr="006C0823" w:rsidRDefault="00E57600" w:rsidP="00E57600">
      <w:r w:rsidRPr="006C0823">
        <w:t xml:space="preserve">Mr Graeme Crawford obtained his production and mechanical engineering and industrial management qualifications from Glasgow Caledonian University and is a former member of the Institution of Industrial Managers. </w:t>
      </w:r>
    </w:p>
    <w:p w14:paraId="51CCE19D" w14:textId="77777777" w:rsidR="00E57600" w:rsidRPr="006C0823" w:rsidRDefault="00E57600" w:rsidP="00E57600">
      <w:r w:rsidRPr="006C0823">
        <w:t xml:space="preserve">Mr Crawford began his aviation career in 1979 as a technical apprentice at Rolls-Royce in Scotland. He held a variety of engineering roles at Rolls-Royce and GE Caledonian, conducting defect investigations and test cell reject investigations and providing technical support to the engine maintenance operations, as well as designing engine maintenance programs and providing technical advice and on-wing technical support to customer airlines and engine-leasing companies. </w:t>
      </w:r>
    </w:p>
    <w:p w14:paraId="3BF81BED" w14:textId="77777777" w:rsidR="00E57600" w:rsidRDefault="00E57600" w:rsidP="00E57600">
      <w:r w:rsidRPr="006C0823">
        <w:t>Mr Crawford joined CASA in May 2016. Prior to this appointment, he had over 20 years experience in senior executive roles at globally renowned aviation organisations such as Qantas Airways, Pratt &amp; Whitney, Goodrich Aerospace, Air Canada and General Electric. In those roles, he was responsible for maintenance businesses and initiated and led major business transformation programs delivering both increased efficiencies and improved customer service levels. He has demonstrated the ability to motivate and mobilise people from different cultures while running aviation engineering and maintenance operations in Australia, Canada, Norway, Scotland and the United States.</w:t>
      </w:r>
    </w:p>
    <w:p w14:paraId="38542F69" w14:textId="77777777" w:rsidR="00E57600" w:rsidRPr="009355FE" w:rsidRDefault="00E57600" w:rsidP="00E57600">
      <w:pPr>
        <w:pStyle w:val="Heading5"/>
      </w:pPr>
      <w:r w:rsidRPr="009355FE">
        <w:lastRenderedPageBreak/>
        <w:t>Role</w:t>
      </w:r>
    </w:p>
    <w:p w14:paraId="10ABA098" w14:textId="77777777" w:rsidR="00E57600" w:rsidRPr="00E57600" w:rsidRDefault="00E57600" w:rsidP="00E57600">
      <w:pPr>
        <w:rPr>
          <w:lang w:val="en-US"/>
        </w:rPr>
      </w:pPr>
      <w:r w:rsidRPr="006C0823">
        <w:rPr>
          <w:rFonts w:cs="Century"/>
          <w:lang w:eastAsia="en-AU"/>
        </w:rPr>
        <w:t>The Aviation Group is CASA's frontline in maintaining aviation safety. The group uses available aircraft incident and accident data to identify and proactively mitigate emerging safety issues, sets aviation standards through the development and implementation of regulations and supporting material, and performs entry control and surveillance of aviation organisations. Collaboration between branches in the Aviation Group, across CASA and with industry is essential to maintaining and improving Australia's aviation safety record</w:t>
      </w:r>
      <w:r w:rsidRPr="006C0823">
        <w:rPr>
          <w:rFonts w:eastAsia="Times New Roman"/>
        </w:rPr>
        <w:t>.</w:t>
      </w:r>
    </w:p>
    <w:p w14:paraId="233CABB5" w14:textId="77777777" w:rsidR="00860F8E" w:rsidRDefault="00860F8E" w:rsidP="00860F8E">
      <w:pPr>
        <w:pStyle w:val="Heading4"/>
        <w:rPr>
          <w:lang w:val="en-GB"/>
        </w:rPr>
      </w:pPr>
      <w:r w:rsidRPr="00687E4A">
        <w:rPr>
          <w:lang w:val="en-GB"/>
        </w:rPr>
        <w:t>Stakeholder Engagement Division</w:t>
      </w:r>
    </w:p>
    <w:p w14:paraId="6993F2FA" w14:textId="77777777" w:rsidR="00D6772E" w:rsidRPr="006C0823" w:rsidRDefault="00D6772E" w:rsidP="00D6772E">
      <w:r w:rsidRPr="006C0823">
        <w:t>Rob Walker</w:t>
      </w:r>
      <w:r>
        <w:br/>
        <w:t>Executive</w:t>
      </w:r>
      <w:r w:rsidRPr="006C0823">
        <w:t xml:space="preserve"> Manager </w:t>
      </w:r>
      <w:r>
        <w:br/>
      </w:r>
      <w:r w:rsidRPr="006C0823">
        <w:t>Phone: 02 6217 1167</w:t>
      </w:r>
    </w:p>
    <w:p w14:paraId="6BDD51CF" w14:textId="77777777" w:rsidR="00D6772E" w:rsidRDefault="00D6772E" w:rsidP="00D6772E">
      <w:r w:rsidRPr="006C0823">
        <w:t xml:space="preserve">Email: </w:t>
      </w:r>
      <w:hyperlink r:id="rId25" w:history="1">
        <w:r w:rsidRPr="00D5509B">
          <w:rPr>
            <w:rStyle w:val="Hyperlink"/>
          </w:rPr>
          <w:t>rob.walker@casa.gov.au</w:t>
        </w:r>
      </w:hyperlink>
    </w:p>
    <w:p w14:paraId="24986F1B" w14:textId="77777777" w:rsidR="00D6772E" w:rsidRPr="009355FE" w:rsidRDefault="00D6772E" w:rsidP="00E57600">
      <w:pPr>
        <w:pStyle w:val="Heading5"/>
      </w:pPr>
      <w:r w:rsidRPr="009355FE">
        <w:t>Profile</w:t>
      </w:r>
    </w:p>
    <w:p w14:paraId="06EB30DC" w14:textId="77777777" w:rsidR="00D6772E" w:rsidRPr="002F62FB" w:rsidRDefault="00D6772E" w:rsidP="00E57600">
      <w:pPr>
        <w:rPr>
          <w:lang w:val="en" w:eastAsia="en-AU"/>
        </w:rPr>
      </w:pPr>
      <w:r w:rsidRPr="002F62FB">
        <w:rPr>
          <w:lang w:val="en" w:eastAsia="en-AU"/>
        </w:rPr>
        <w:t>Mr Rob Walker has over 30 years experience in stakeholder engagement and public affairs. Mr Walker has led stakeholder engagement at CASA since April 2016.</w:t>
      </w:r>
    </w:p>
    <w:p w14:paraId="07BE176E" w14:textId="77777777" w:rsidR="00D6772E" w:rsidRPr="002F62FB" w:rsidRDefault="00D6772E" w:rsidP="00E57600">
      <w:pPr>
        <w:rPr>
          <w:lang w:val="en" w:eastAsia="en-AU"/>
        </w:rPr>
      </w:pPr>
      <w:r w:rsidRPr="002F62FB">
        <w:rPr>
          <w:lang w:val="en" w:eastAsia="en-AU"/>
        </w:rPr>
        <w:t>Prior to joining CASA, Mr Walker worked at Airservices Australia in a similar senior management role.</w:t>
      </w:r>
    </w:p>
    <w:p w14:paraId="22959095" w14:textId="77777777" w:rsidR="00D6772E" w:rsidRPr="002F62FB" w:rsidRDefault="00D6772E" w:rsidP="00E57600">
      <w:pPr>
        <w:rPr>
          <w:lang w:val="en" w:eastAsia="en-AU"/>
        </w:rPr>
      </w:pPr>
      <w:r w:rsidRPr="002F62FB">
        <w:rPr>
          <w:lang w:val="en" w:eastAsia="en-AU"/>
        </w:rPr>
        <w:t>Mr Walker is passionate about the aviation industry, is well known to many in the industry and has significant experience in strategic stakeholder engagement, issues management and corporate communications.</w:t>
      </w:r>
    </w:p>
    <w:p w14:paraId="5ED871C1" w14:textId="77777777" w:rsidR="00D6772E" w:rsidRDefault="00D6772E" w:rsidP="00E57600">
      <w:pPr>
        <w:rPr>
          <w:lang w:val="en" w:eastAsia="en-AU"/>
        </w:rPr>
      </w:pPr>
      <w:r>
        <w:rPr>
          <w:lang w:val="en" w:eastAsia="en-AU"/>
        </w:rPr>
        <w:t>Mr Walker</w:t>
      </w:r>
      <w:r w:rsidRPr="002F62FB">
        <w:rPr>
          <w:lang w:val="en" w:eastAsia="en-AU"/>
        </w:rPr>
        <w:t xml:space="preserve"> is a member of the CASA Board Audit Committee, Chair of the </w:t>
      </w:r>
      <w:r>
        <w:rPr>
          <w:lang w:val="en" w:eastAsia="en-AU"/>
        </w:rPr>
        <w:t xml:space="preserve">Executive Sub-committee for </w:t>
      </w:r>
      <w:r w:rsidRPr="002F62FB">
        <w:rPr>
          <w:lang w:val="en" w:eastAsia="en-AU"/>
        </w:rPr>
        <w:t xml:space="preserve">Risk and Investment and a member of the </w:t>
      </w:r>
      <w:r>
        <w:rPr>
          <w:lang w:val="en" w:eastAsia="en-AU"/>
        </w:rPr>
        <w:t xml:space="preserve">Executive Sub-committee for </w:t>
      </w:r>
      <w:r w:rsidRPr="002F62FB">
        <w:rPr>
          <w:lang w:val="en" w:eastAsia="en-AU"/>
        </w:rPr>
        <w:t>Aviation Safety. He is a Fellow of the Royal Aeronautical Society and a private pilot.</w:t>
      </w:r>
    </w:p>
    <w:p w14:paraId="3090D9D9" w14:textId="77777777" w:rsidR="00D6772E" w:rsidRPr="009355FE" w:rsidRDefault="00D6772E" w:rsidP="00E57600">
      <w:pPr>
        <w:pStyle w:val="Heading5"/>
      </w:pPr>
      <w:r w:rsidRPr="009355FE">
        <w:t>Role</w:t>
      </w:r>
    </w:p>
    <w:p w14:paraId="4002206A" w14:textId="77777777" w:rsidR="00D6772E" w:rsidRPr="00D6772E" w:rsidRDefault="00D6772E" w:rsidP="00D6772E">
      <w:r w:rsidRPr="00A32032">
        <w:t>The Stakeholder Engagement Division develop</w:t>
      </w:r>
      <w:r>
        <w:t>s</w:t>
      </w:r>
      <w:r w:rsidRPr="00A32032">
        <w:t xml:space="preserve"> and deliver</w:t>
      </w:r>
      <w:r>
        <w:t>s</w:t>
      </w:r>
      <w:r w:rsidRPr="00A32032">
        <w:t xml:space="preserve"> CASA’s safety promotion </w:t>
      </w:r>
      <w:r>
        <w:t>and</w:t>
      </w:r>
      <w:r w:rsidRPr="00A32032">
        <w:t xml:space="preserve"> education </w:t>
      </w:r>
      <w:r>
        <w:t>campaigns for</w:t>
      </w:r>
      <w:r w:rsidRPr="00A32032">
        <w:t xml:space="preserve"> the Australian aviation industry and is responsible for all corporate communication</w:t>
      </w:r>
      <w:r>
        <w:t>.</w:t>
      </w:r>
      <w:r w:rsidRPr="00A32032">
        <w:t xml:space="preserve"> </w:t>
      </w:r>
      <w:r>
        <w:t xml:space="preserve">The division </w:t>
      </w:r>
      <w:r w:rsidRPr="00A32032">
        <w:t>manag</w:t>
      </w:r>
      <w:r>
        <w:t>es</w:t>
      </w:r>
      <w:r w:rsidRPr="00A32032">
        <w:t xml:space="preserve"> </w:t>
      </w:r>
      <w:r>
        <w:t xml:space="preserve">CASA’s </w:t>
      </w:r>
      <w:r w:rsidRPr="00A32032">
        <w:t xml:space="preserve">relationships with industry and other stakeholders, including by coordinating the Aviation Safety Advisory Panel and </w:t>
      </w:r>
      <w:r>
        <w:t>technical working groups;</w:t>
      </w:r>
      <w:r w:rsidRPr="00A32032">
        <w:t xml:space="preserve"> CASA’s relationships with government agencies, including the Minister's office</w:t>
      </w:r>
      <w:r>
        <w:t>;</w:t>
      </w:r>
      <w:r w:rsidRPr="00A32032">
        <w:t xml:space="preserve"> and CASA’s strategic international engagement in policy, programs and International Civil Aviation Organization </w:t>
      </w:r>
      <w:r>
        <w:t>matters. The division also</w:t>
      </w:r>
      <w:r w:rsidRPr="00A32032">
        <w:t xml:space="preserve"> provid</w:t>
      </w:r>
      <w:r>
        <w:t>es</w:t>
      </w:r>
      <w:r w:rsidRPr="00A32032">
        <w:t xml:space="preserve"> </w:t>
      </w:r>
      <w:r w:rsidRPr="00A32032">
        <w:rPr>
          <w:rFonts w:cs="Arial"/>
          <w:spacing w:val="3"/>
        </w:rPr>
        <w:t xml:space="preserve">a range of regulatory service approvals </w:t>
      </w:r>
      <w:r>
        <w:rPr>
          <w:rFonts w:cs="Arial"/>
          <w:spacing w:val="3"/>
        </w:rPr>
        <w:t xml:space="preserve">and permissions </w:t>
      </w:r>
      <w:r w:rsidRPr="00A32032">
        <w:rPr>
          <w:rFonts w:cs="Arial"/>
          <w:spacing w:val="3"/>
        </w:rPr>
        <w:t>to the aviation community</w:t>
      </w:r>
      <w:r>
        <w:rPr>
          <w:rFonts w:cs="Arial"/>
          <w:spacing w:val="3"/>
        </w:rPr>
        <w:t>,</w:t>
      </w:r>
      <w:r w:rsidRPr="00A32032">
        <w:rPr>
          <w:rFonts w:cs="Arial"/>
          <w:spacing w:val="3"/>
        </w:rPr>
        <w:t xml:space="preserve"> in close partnership with other parts of CASA.</w:t>
      </w:r>
    </w:p>
    <w:p w14:paraId="2CA26065" w14:textId="77777777" w:rsidR="00860F8E" w:rsidRDefault="00860F8E" w:rsidP="00860F8E">
      <w:pPr>
        <w:pStyle w:val="Heading4"/>
        <w:rPr>
          <w:lang w:val="en-GB"/>
        </w:rPr>
      </w:pPr>
      <w:r w:rsidRPr="00687E4A">
        <w:rPr>
          <w:lang w:val="en-GB"/>
        </w:rPr>
        <w:t>Corporate Services Division</w:t>
      </w:r>
    </w:p>
    <w:p w14:paraId="6C58CD05" w14:textId="77777777" w:rsidR="00E57600" w:rsidRPr="006C0823" w:rsidRDefault="00E57600" w:rsidP="00E57600">
      <w:r w:rsidRPr="006C0823">
        <w:t>Tracey Frey</w:t>
      </w:r>
      <w:r>
        <w:br/>
        <w:t>Executive</w:t>
      </w:r>
      <w:r w:rsidRPr="006C0823">
        <w:t xml:space="preserve"> Manager </w:t>
      </w:r>
      <w:r>
        <w:br/>
      </w:r>
      <w:r w:rsidRPr="006C0823">
        <w:t>Phone: 02 6217 1058</w:t>
      </w:r>
    </w:p>
    <w:p w14:paraId="25BE19DA" w14:textId="77777777" w:rsidR="00E57600" w:rsidRDefault="00E57600" w:rsidP="00E57600">
      <w:r w:rsidRPr="006C0823">
        <w:t xml:space="preserve">Email: </w:t>
      </w:r>
      <w:hyperlink r:id="rId26" w:history="1">
        <w:r w:rsidRPr="00D5509B">
          <w:rPr>
            <w:rStyle w:val="Hyperlink"/>
          </w:rPr>
          <w:t>tracey.frey@casa.gov.au</w:t>
        </w:r>
      </w:hyperlink>
    </w:p>
    <w:p w14:paraId="051ED95A" w14:textId="4B052A9B" w:rsidR="00FE5FDE" w:rsidRDefault="00FE5FDE" w:rsidP="00FE5FDE"/>
    <w:p w14:paraId="20405C38" w14:textId="77777777" w:rsidR="00FE5FDE" w:rsidRDefault="00FE5FDE" w:rsidP="00FE5FDE"/>
    <w:p w14:paraId="08F27C5E" w14:textId="7AA77420" w:rsidR="00E57600" w:rsidRPr="009355FE" w:rsidRDefault="00E57600" w:rsidP="00E57600">
      <w:pPr>
        <w:pStyle w:val="Heading5"/>
      </w:pPr>
      <w:r w:rsidRPr="009355FE">
        <w:lastRenderedPageBreak/>
        <w:t>Profile</w:t>
      </w:r>
    </w:p>
    <w:p w14:paraId="5999D027" w14:textId="77777777" w:rsidR="00E57600" w:rsidRPr="006C0823" w:rsidRDefault="00E57600" w:rsidP="00E57600">
      <w:r w:rsidRPr="006C0823">
        <w:t xml:space="preserve">Ms Tracey Frey has a Master of Business Administration, a Bachelor of Science (Psychology), a Bachelor of Arts, and a Graduate Diploma of Management (Industrial Relations). She joined CASA in April 2016 as Sustainability Group Manager. </w:t>
      </w:r>
    </w:p>
    <w:p w14:paraId="7CD3563C" w14:textId="77777777" w:rsidR="00E57600" w:rsidRDefault="00E57600" w:rsidP="00E57600">
      <w:r w:rsidRPr="006C0823">
        <w:t xml:space="preserve">Prior to joining CASA, Ms Frey acquired over 25 years of experience working in government agencies, predominantly in human resources and corporate functions. In recent years, Ms Frey held senior human resources roles at the Australian Taxation Office and Department of Defence and was the Chief Operating Officer and Chief Financial Officer of the Office of the Commonwealth Ombudsman. </w:t>
      </w:r>
    </w:p>
    <w:p w14:paraId="52A0357B" w14:textId="77777777" w:rsidR="00E57600" w:rsidRPr="009355FE" w:rsidRDefault="00E57600" w:rsidP="00E57600">
      <w:pPr>
        <w:pStyle w:val="Heading5"/>
      </w:pPr>
      <w:r w:rsidRPr="009355FE">
        <w:t>Role</w:t>
      </w:r>
    </w:p>
    <w:p w14:paraId="673088EC" w14:textId="77777777" w:rsidR="00E57600" w:rsidRPr="006C0823" w:rsidRDefault="00E57600" w:rsidP="00E57600">
      <w:r w:rsidRPr="006C0823">
        <w:t>The</w:t>
      </w:r>
      <w:r>
        <w:t xml:space="preserve"> Corporate Services Division</w:t>
      </w:r>
      <w:r w:rsidRPr="006C0823">
        <w:t xml:space="preserve"> contributes to aviation safety by enhancing capability, capacity and service delivery across the organisation, through the development and continuous improvement of people, processes, technology and service offerings. The </w:t>
      </w:r>
      <w:r>
        <w:t xml:space="preserve">division </w:t>
      </w:r>
      <w:r w:rsidRPr="006C0823">
        <w:t>includes people and culture;</w:t>
      </w:r>
      <w:r>
        <w:t xml:space="preserve"> training; the Chief Information Officer; and governance and</w:t>
      </w:r>
      <w:r w:rsidRPr="006C0823">
        <w:t xml:space="preserve"> business </w:t>
      </w:r>
      <w:r>
        <w:t>transformation</w:t>
      </w:r>
      <w:r w:rsidRPr="006C0823">
        <w:t>.</w:t>
      </w:r>
    </w:p>
    <w:p w14:paraId="4C01AC63" w14:textId="77777777" w:rsidR="00E57600" w:rsidRPr="00E57600" w:rsidRDefault="00E57600" w:rsidP="00E57600">
      <w:r w:rsidRPr="006C0823">
        <w:t xml:space="preserve">Ms Frey has a passion for </w:t>
      </w:r>
      <w:r>
        <w:t>driving a diverse and inclusive workplace culture</w:t>
      </w:r>
      <w:r w:rsidRPr="006C0823">
        <w:t>, and her recent career successes have focused on driving transformational change agendas.</w:t>
      </w:r>
    </w:p>
    <w:p w14:paraId="773F25F5" w14:textId="77777777" w:rsidR="00860F8E" w:rsidRDefault="00860F8E" w:rsidP="00860F8E">
      <w:pPr>
        <w:pStyle w:val="Heading4"/>
        <w:rPr>
          <w:lang w:val="en-GB"/>
        </w:rPr>
      </w:pPr>
      <w:r w:rsidRPr="00687E4A">
        <w:rPr>
          <w:lang w:val="en-GB"/>
        </w:rPr>
        <w:t>Legal and Regulatory Affairs Division</w:t>
      </w:r>
    </w:p>
    <w:p w14:paraId="4CA01998" w14:textId="77777777" w:rsidR="00E57600" w:rsidRPr="00687E4A" w:rsidRDefault="00E57600" w:rsidP="00E57600">
      <w:pPr>
        <w:pStyle w:val="TableText"/>
      </w:pPr>
      <w:r w:rsidRPr="00687E4A">
        <w:t>Jonathan Aleck</w:t>
      </w:r>
    </w:p>
    <w:p w14:paraId="3502C425" w14:textId="77777777" w:rsidR="00E57600" w:rsidRPr="00687E4A" w:rsidRDefault="00E57600" w:rsidP="00E57600">
      <w:pPr>
        <w:pStyle w:val="TableText"/>
      </w:pPr>
      <w:r>
        <w:t xml:space="preserve">Executive </w:t>
      </w:r>
      <w:r w:rsidRPr="00687E4A">
        <w:t>Manager</w:t>
      </w:r>
    </w:p>
    <w:p w14:paraId="462B96CF" w14:textId="77777777" w:rsidR="00E57600" w:rsidRPr="00687E4A" w:rsidRDefault="00E57600" w:rsidP="00E57600">
      <w:pPr>
        <w:pStyle w:val="TableText"/>
      </w:pPr>
      <w:r w:rsidRPr="00687E4A">
        <w:t>Phone: 02 6217 1600</w:t>
      </w:r>
    </w:p>
    <w:p w14:paraId="11455519" w14:textId="77777777" w:rsidR="00E57600" w:rsidRDefault="00E57600" w:rsidP="00E57600">
      <w:r w:rsidRPr="00687E4A">
        <w:t xml:space="preserve">Email: </w:t>
      </w:r>
      <w:hyperlink r:id="rId27" w:history="1">
        <w:r w:rsidRPr="00D5509B">
          <w:rPr>
            <w:rStyle w:val="Hyperlink"/>
          </w:rPr>
          <w:t>jonathan.aleck@casa.gov.au</w:t>
        </w:r>
      </w:hyperlink>
    </w:p>
    <w:p w14:paraId="2BDE6804" w14:textId="77777777" w:rsidR="00E57600" w:rsidRPr="00687E4A" w:rsidRDefault="00E57600" w:rsidP="00E57600">
      <w:pPr>
        <w:pStyle w:val="Heading5"/>
      </w:pPr>
      <w:r w:rsidRPr="00687E4A">
        <w:t>Profile</w:t>
      </w:r>
    </w:p>
    <w:p w14:paraId="0E492352" w14:textId="77777777" w:rsidR="00E57600" w:rsidRPr="00687E4A" w:rsidRDefault="00E57600" w:rsidP="00E57600">
      <w:r>
        <w:t xml:space="preserve">Dr </w:t>
      </w:r>
      <w:r w:rsidRPr="00687E4A">
        <w:t>Jonathan Aleck holds a Juris Doctor degree, a Bachelor of Arts degree in psychology, a Master of Arts degree in political science and a Doctor of Philosophy in law. He is a fellow of the Royal Aeronautical Society and the Australian Institute of Management. He is a member of the National Executive of the Australian Institute of Administrative Law, of which he previously served for two terms as president.</w:t>
      </w:r>
    </w:p>
    <w:p w14:paraId="26DCA74E" w14:textId="77777777" w:rsidR="00E57600" w:rsidRPr="00687E4A" w:rsidRDefault="00E57600" w:rsidP="00E57600">
      <w:r w:rsidRPr="00687E4A">
        <w:t>Dr Aleck joined what was then the Civil Aviation Authority as a Legal Officer in 1993, and subsequently served for several years as CASA’s Chief Legal Officer.</w:t>
      </w:r>
    </w:p>
    <w:p w14:paraId="7A0B1CBF" w14:textId="77777777" w:rsidR="00E57600" w:rsidRPr="00687E4A" w:rsidRDefault="00E57600" w:rsidP="00E57600">
      <w:r w:rsidRPr="00687E4A">
        <w:t>Dr Aleck has taught in the faculties of law, politics and public policy at universities in Australia, Canada, the United States and Papua New Guinea. He also worked as an independent consultant and specialist advisor for many years in the United States. He continues to lecture regularly on contemporary international and regulatory issues relevant to the Australian aviation community at the Australian National University, the University of New South Wales and the Australian Defence Force Academy.</w:t>
      </w:r>
    </w:p>
    <w:p w14:paraId="175ABB2F" w14:textId="13BCDF33" w:rsidR="00E57600" w:rsidRDefault="00E57600" w:rsidP="00E57600">
      <w:r w:rsidRPr="00687E4A">
        <w:t xml:space="preserve">Between 1998 and 2003, Dr Aleck served as Australia’s representative on the Council of the International Civil Aviation Organization (ICAO). He currently chairs ICAO’s Safety Information Protection Implementation Group and is </w:t>
      </w:r>
      <w:r>
        <w:t>V</w:t>
      </w:r>
      <w:r w:rsidRPr="00687E4A">
        <w:t>ice</w:t>
      </w:r>
      <w:r>
        <w:t>-</w:t>
      </w:r>
      <w:r w:rsidRPr="00687E4A">
        <w:t>chair of the Flight Safety Foundation’s Legal Advisory Committee. He has represent</w:t>
      </w:r>
      <w:r>
        <w:t>ed</w:t>
      </w:r>
      <w:r w:rsidRPr="00687E4A">
        <w:t xml:space="preserve"> Australia at a number of international aviation meetings and conferences.</w:t>
      </w:r>
    </w:p>
    <w:p w14:paraId="4FCB6053" w14:textId="77777777" w:rsidR="00FE5FDE" w:rsidRDefault="00FE5FDE" w:rsidP="00E57600"/>
    <w:p w14:paraId="0ECBADDA" w14:textId="77777777" w:rsidR="00E57600" w:rsidRPr="00687E4A" w:rsidRDefault="00E57600" w:rsidP="00E57600">
      <w:pPr>
        <w:pStyle w:val="Heading5"/>
      </w:pPr>
      <w:r w:rsidRPr="00687E4A">
        <w:lastRenderedPageBreak/>
        <w:t>Role</w:t>
      </w:r>
    </w:p>
    <w:p w14:paraId="36D94B61" w14:textId="77777777" w:rsidR="00E57600" w:rsidRPr="008D5299" w:rsidRDefault="00E57600" w:rsidP="00E57600">
      <w:r w:rsidRPr="008D5299">
        <w:rPr>
          <w:spacing w:val="3"/>
        </w:rPr>
        <w:t xml:space="preserve">The Legal and Regulatory Affairs Division is responsible for CASA's legal services functions, including providing </w:t>
      </w:r>
      <w:r w:rsidRPr="008D5299">
        <w:t xml:space="preserve">advice on regulatory and corporate matters; representing CASA in the courts, tribunals and coronial proceedings; drafting legislative and legal instruments; administering important aspects of CASA’s enforcement processes; conducting investigations of potential offences under the civil aviation legislation; and managing CASA’s alcohol and other drugs testing program under Subpart 99.C of the Civil Aviation Safety Regulations. </w:t>
      </w:r>
      <w:r w:rsidRPr="008D5299">
        <w:rPr>
          <w:spacing w:val="3"/>
        </w:rPr>
        <w:t>The regulatory affairs function includes developing and applying regulatory policy and practice, implementing CASA’s regulatory philosophy, managing the policy of industry self-administration, facilitating the establishment of safety partnership arrangements for research and development, and overseeing other high-level strategic and policy-orientated matters.</w:t>
      </w:r>
    </w:p>
    <w:p w14:paraId="492D9125" w14:textId="77777777" w:rsidR="00860F8E" w:rsidRDefault="00860F8E" w:rsidP="00860F8E">
      <w:pPr>
        <w:pStyle w:val="Heading4"/>
        <w:rPr>
          <w:lang w:val="en-GB"/>
        </w:rPr>
      </w:pPr>
      <w:r w:rsidRPr="006C0823">
        <w:rPr>
          <w:lang w:val="en-GB"/>
        </w:rPr>
        <w:t>Finance Branch</w:t>
      </w:r>
    </w:p>
    <w:p w14:paraId="7426082A" w14:textId="77777777" w:rsidR="00E57600" w:rsidRPr="006C0823" w:rsidRDefault="00E57600" w:rsidP="00E57600">
      <w:r w:rsidRPr="006C0823">
        <w:t>Simon Frawley</w:t>
      </w:r>
      <w:r>
        <w:br/>
      </w:r>
      <w:r w:rsidRPr="006C0823">
        <w:t>Chief Financial Officer</w:t>
      </w:r>
      <w:r>
        <w:br/>
      </w:r>
      <w:r w:rsidRPr="006C0823">
        <w:t>Phone: 02 6217 1190</w:t>
      </w:r>
    </w:p>
    <w:p w14:paraId="72141749" w14:textId="77777777" w:rsidR="00E57600" w:rsidRDefault="00E57600" w:rsidP="00E57600">
      <w:r w:rsidRPr="006C0823">
        <w:t xml:space="preserve">Email: </w:t>
      </w:r>
      <w:hyperlink r:id="rId28" w:history="1">
        <w:r w:rsidRPr="00D5509B">
          <w:rPr>
            <w:rStyle w:val="Hyperlink"/>
          </w:rPr>
          <w:t>simon.frawley@casa.gov.au</w:t>
        </w:r>
      </w:hyperlink>
    </w:p>
    <w:p w14:paraId="07CE383F" w14:textId="77777777" w:rsidR="00E57600" w:rsidRPr="009355FE" w:rsidRDefault="00E57600" w:rsidP="00E57600">
      <w:pPr>
        <w:pStyle w:val="Heading5"/>
      </w:pPr>
      <w:r w:rsidRPr="009355FE">
        <w:t>Profile</w:t>
      </w:r>
    </w:p>
    <w:p w14:paraId="0D506B95" w14:textId="77777777" w:rsidR="00E57600" w:rsidRPr="006C0823" w:rsidRDefault="00E57600" w:rsidP="00E57600">
      <w:r w:rsidRPr="006C0823">
        <w:t>Mr Simon Frawley has a Bachelor of Arts in accounting and is a member of Chartered Accountants Australia New Zealand. Mr Frawley joined CASA in October 2010, as Manager Financial Services and Reporting, and was Acting Chief Financial Officer from April 2015 until his permanent appointment to the position on 1 July 2016.</w:t>
      </w:r>
    </w:p>
    <w:p w14:paraId="613BEA6D" w14:textId="77777777" w:rsidR="00E57600" w:rsidRPr="006C0823" w:rsidRDefault="00E57600" w:rsidP="00E57600">
      <w:r w:rsidRPr="006C0823">
        <w:t xml:space="preserve">Mr Frawley started his career as a graduate with the Australian National Audit Office. After almost 10 years with that organisation he moved to the United States, where he worked for a general insurance company as an internal auditor. </w:t>
      </w:r>
    </w:p>
    <w:p w14:paraId="529D3362" w14:textId="77777777" w:rsidR="00E57600" w:rsidRDefault="00E57600" w:rsidP="00E57600">
      <w:r w:rsidRPr="006C0823">
        <w:t>On returning to Australia, Mr Frawley worked as Business Analysis Manager for the Health Services Australia Group (HSA), a government business enterprise. When HSA was acquired by Medibank Private and became Medibank Health Solutions, Mr Frawley was appointed Finance Manager. In this executive role he had overall management responsibility for corporate finance functions.</w:t>
      </w:r>
    </w:p>
    <w:p w14:paraId="73C923FE" w14:textId="77777777" w:rsidR="00E57600" w:rsidRPr="009355FE" w:rsidRDefault="00E57600" w:rsidP="00E57600">
      <w:pPr>
        <w:pStyle w:val="Heading5"/>
      </w:pPr>
      <w:r w:rsidRPr="009355FE">
        <w:t>Role</w:t>
      </w:r>
    </w:p>
    <w:p w14:paraId="0676CEF9" w14:textId="77777777" w:rsidR="00E57600" w:rsidRPr="00E57600" w:rsidRDefault="00E57600" w:rsidP="00E57600">
      <w:r w:rsidRPr="006C0823">
        <w:t>The Finance Branch is responsible for financial accounting and financial transactional services</w:t>
      </w:r>
      <w:r>
        <w:t>,</w:t>
      </w:r>
      <w:r w:rsidRPr="006C0823">
        <w:t xml:space="preserve"> including accounts payable, accounts receivable and travel; management accounting; internal and external budgets; cost recovery; and financial performance reporting within CASA. It is also responsible for the management of CASA’s office accommodation portfolio and physical </w:t>
      </w:r>
      <w:r w:rsidRPr="00730490">
        <w:t>security as well as maintaining CASA’s contracts and procurement policies and compliance.</w:t>
      </w:r>
    </w:p>
    <w:p w14:paraId="16EED823" w14:textId="77777777" w:rsidR="00860F8E" w:rsidRPr="00053FD1" w:rsidRDefault="00860F8E" w:rsidP="00860F8E">
      <w:pPr>
        <w:pStyle w:val="Heading3"/>
        <w:rPr>
          <w:sz w:val="28"/>
          <w:szCs w:val="28"/>
          <w:lang w:val="en-GB"/>
        </w:rPr>
      </w:pPr>
      <w:r>
        <w:br w:type="page"/>
      </w:r>
      <w:r w:rsidRPr="00053FD1">
        <w:rPr>
          <w:sz w:val="28"/>
          <w:szCs w:val="28"/>
          <w:lang w:val="en-GB"/>
        </w:rPr>
        <w:lastRenderedPageBreak/>
        <w:t>Risk management</w:t>
      </w:r>
    </w:p>
    <w:p w14:paraId="63E67A99" w14:textId="77777777" w:rsidR="00860F8E" w:rsidRPr="00687E4A" w:rsidRDefault="00860F8E" w:rsidP="00860F8E">
      <w:r w:rsidRPr="00687E4A">
        <w:t xml:space="preserve">CASA adopts an enterprise-wide approach to risk management </w:t>
      </w:r>
      <w:r>
        <w:t xml:space="preserve">that </w:t>
      </w:r>
      <w:r w:rsidRPr="00687E4A">
        <w:t>provid</w:t>
      </w:r>
      <w:r>
        <w:t>es</w:t>
      </w:r>
      <w:r w:rsidRPr="00687E4A">
        <w:t xml:space="preserve"> the framework to enable CASA to achieve its vision of </w:t>
      </w:r>
      <w:r w:rsidRPr="00687E4A">
        <w:rPr>
          <w:i/>
          <w:iCs/>
        </w:rPr>
        <w:t>Safe skies for all</w:t>
      </w:r>
      <w:r w:rsidRPr="00687E4A">
        <w:t>.</w:t>
      </w:r>
    </w:p>
    <w:p w14:paraId="1BFA2F27" w14:textId="77777777" w:rsidR="00860F8E" w:rsidRPr="00687E4A" w:rsidRDefault="00860F8E" w:rsidP="00860F8E">
      <w:r w:rsidRPr="00687E4A">
        <w:t>All aviation activity involves a degree of risk, and it is a key element of CASA’s role to understand the nature and full dimensions of the risks it oversees. In undertaking its regulatory function, CASA faces a variety of potential risks, such as failure to detect breaches of safety and maintenance standards, incorrect or inconsistent application of regulatory standards, ineffective stakeholder engagement, and failure to properly carry out statutory responsibilities. The identification, analysis, treatment, monitoring and review of risk are embedded into all CASA functions and contribute directly to the effective and efficient achievement of CASA’s corporate goals.</w:t>
      </w:r>
    </w:p>
    <w:p w14:paraId="67EFB066" w14:textId="77777777" w:rsidR="00860F8E" w:rsidRPr="00687E4A" w:rsidRDefault="00860F8E" w:rsidP="00860F8E">
      <w:r w:rsidRPr="00687E4A">
        <w:t>CASA review</w:t>
      </w:r>
      <w:r>
        <w:t>s</w:t>
      </w:r>
      <w:r w:rsidRPr="00687E4A">
        <w:t xml:space="preserve"> its risk </w:t>
      </w:r>
      <w:r>
        <w:t xml:space="preserve">management policy and practices annually, to ensure that they continue to </w:t>
      </w:r>
      <w:r w:rsidRPr="00687E4A">
        <w:t xml:space="preserve">align with </w:t>
      </w:r>
      <w:r>
        <w:t xml:space="preserve">current best </w:t>
      </w:r>
      <w:r w:rsidRPr="00687E4A">
        <w:t>practice and accord with the principles outlined in the Australian and New Zealand International Standard</w:t>
      </w:r>
      <w:r>
        <w:t xml:space="preserve">s Organisation Risk Management </w:t>
      </w:r>
      <w:r w:rsidRPr="00687E4A">
        <w:t>– Principles and Guidelines (AS/NZS ISO31000:2009),</w:t>
      </w:r>
      <w:r>
        <w:t xml:space="preserve"> the</w:t>
      </w:r>
      <w:r w:rsidRPr="00687E4A">
        <w:t xml:space="preserve"> </w:t>
      </w:r>
      <w:r>
        <w:t>PGPA Act</w:t>
      </w:r>
      <w:r w:rsidRPr="00687E4A">
        <w:t xml:space="preserve"> and the Commonwealth</w:t>
      </w:r>
      <w:r>
        <w:t xml:space="preserve"> </w:t>
      </w:r>
      <w:r w:rsidRPr="00687E4A">
        <w:t>Risk Management Policy.</w:t>
      </w:r>
    </w:p>
    <w:p w14:paraId="714F32F6" w14:textId="77777777" w:rsidR="00860F8E" w:rsidRPr="00687E4A" w:rsidRDefault="00860F8E" w:rsidP="00860F8E">
      <w:pPr>
        <w:pStyle w:val="Heading3"/>
        <w:rPr>
          <w:lang w:val="en-GB"/>
        </w:rPr>
      </w:pPr>
      <w:r w:rsidRPr="00687E4A">
        <w:rPr>
          <w:lang w:val="en-GB"/>
        </w:rPr>
        <w:t>Key achievements</w:t>
      </w:r>
    </w:p>
    <w:p w14:paraId="0662F584" w14:textId="77777777" w:rsidR="00860F8E" w:rsidRPr="00687E4A" w:rsidRDefault="00860F8E" w:rsidP="00860F8E">
      <w:r w:rsidRPr="00687E4A">
        <w:t>In 2017–18, CASA undertook improvement</w:t>
      </w:r>
      <w:r>
        <w:t>s</w:t>
      </w:r>
      <w:r w:rsidRPr="00687E4A">
        <w:t xml:space="preserve"> </w:t>
      </w:r>
      <w:r>
        <w:t xml:space="preserve">to its </w:t>
      </w:r>
      <w:r w:rsidRPr="00687E4A">
        <w:t xml:space="preserve">risk leadership and culture and </w:t>
      </w:r>
      <w:r>
        <w:t xml:space="preserve">staff </w:t>
      </w:r>
      <w:r w:rsidRPr="00687E4A">
        <w:t xml:space="preserve">understanding and awareness of </w:t>
      </w:r>
      <w:r>
        <w:t xml:space="preserve">CASA’s </w:t>
      </w:r>
      <w:r w:rsidRPr="00687E4A">
        <w:t>strategic risk profile. During a two-day senior leadership team meeting in November 2017 the leadership group considered the strategic risk environment, validated existing strategic risks and identified emerging risks.</w:t>
      </w:r>
    </w:p>
    <w:p w14:paraId="1D717D08" w14:textId="77777777" w:rsidR="00860F8E" w:rsidRPr="00687E4A" w:rsidRDefault="00860F8E" w:rsidP="00860F8E">
      <w:r w:rsidRPr="00687E4A">
        <w:t xml:space="preserve">The CASA Board and executive participated in a strategic risk workshop in February 2018 at their joint planning day. The workshop was an opportunity for the Board and executive to restate their risk appetite and </w:t>
      </w:r>
      <w:r>
        <w:t xml:space="preserve">identify 10 </w:t>
      </w:r>
      <w:r w:rsidRPr="00687E4A">
        <w:t>strategic risks for CASA.</w:t>
      </w:r>
    </w:p>
    <w:p w14:paraId="25D6589A" w14:textId="77777777" w:rsidR="00860F8E" w:rsidRPr="00687E4A" w:rsidRDefault="00860F8E" w:rsidP="00860F8E">
      <w:r w:rsidRPr="00687E4A">
        <w:t>In April 2018</w:t>
      </w:r>
      <w:r>
        <w:t>,</w:t>
      </w:r>
      <w:r w:rsidRPr="00687E4A">
        <w:t xml:space="preserve"> the senior leadership team participated in a risk leadership workshop</w:t>
      </w:r>
      <w:r>
        <w:t>, which</w:t>
      </w:r>
      <w:r w:rsidRPr="00687E4A">
        <w:t xml:space="preserve"> focused on the types of risk</w:t>
      </w:r>
      <w:r>
        <w:t>-</w:t>
      </w:r>
      <w:r w:rsidRPr="00687E4A">
        <w:t>positive leadership behaviours expected of CASA senior management and provided an opportunity</w:t>
      </w:r>
      <w:r>
        <w:t xml:space="preserve"> for them</w:t>
      </w:r>
      <w:r w:rsidRPr="00687E4A">
        <w:t xml:space="preserve"> to discuss setting the right parameters for positively engaging with risk and empowering staff to do the same.</w:t>
      </w:r>
    </w:p>
    <w:p w14:paraId="2B11C45E" w14:textId="77777777" w:rsidR="00860F8E" w:rsidRPr="00687E4A" w:rsidRDefault="00860F8E" w:rsidP="00860F8E">
      <w:r w:rsidRPr="00687E4A">
        <w:t>In 2017–18</w:t>
      </w:r>
      <w:r>
        <w:t>,</w:t>
      </w:r>
      <w:r w:rsidRPr="00687E4A">
        <w:t xml:space="preserve"> CASA trialled different approaches to risk reporting through its governance committee structure. CASA will continue to incrementally improve reporting over the next 12 months </w:t>
      </w:r>
      <w:r>
        <w:t xml:space="preserve">and to refine </w:t>
      </w:r>
      <w:r w:rsidRPr="00687E4A">
        <w:t>the risk framework, policy and reporting architecture.</w:t>
      </w:r>
    </w:p>
    <w:p w14:paraId="63A71B5E" w14:textId="77777777" w:rsidR="00860F8E" w:rsidRPr="00687E4A" w:rsidRDefault="00860F8E" w:rsidP="00860F8E">
      <w:pPr>
        <w:pStyle w:val="Bullet"/>
        <w:numPr>
          <w:ilvl w:val="0"/>
          <w:numId w:val="0"/>
        </w:numPr>
        <w:rPr>
          <w:szCs w:val="24"/>
        </w:rPr>
      </w:pPr>
      <w:r w:rsidRPr="00687E4A">
        <w:t xml:space="preserve">Following a review of CASA’s business continuity arrangements and testing of the National Headquarters business continuity plan in June 2017, </w:t>
      </w:r>
      <w:r>
        <w:t xml:space="preserve">CASA conducted </w:t>
      </w:r>
      <w:r w:rsidRPr="00687E4A">
        <w:t xml:space="preserve">a </w:t>
      </w:r>
      <w:r>
        <w:t xml:space="preserve">desktop </w:t>
      </w:r>
      <w:r w:rsidRPr="00687E4A">
        <w:t xml:space="preserve">review of the </w:t>
      </w:r>
      <w:r>
        <w:t>p</w:t>
      </w:r>
      <w:r w:rsidRPr="00687E4A">
        <w:t xml:space="preserve">eople </w:t>
      </w:r>
      <w:r>
        <w:t xml:space="preserve">business continuity plan </w:t>
      </w:r>
      <w:r w:rsidRPr="00687E4A">
        <w:t xml:space="preserve">in early 2018. </w:t>
      </w:r>
      <w:r>
        <w:t>CASA is scheduling a</w:t>
      </w:r>
      <w:r w:rsidRPr="00687E4A">
        <w:t xml:space="preserve"> rolling cycle of testing exercises for the CASA </w:t>
      </w:r>
      <w:r>
        <w:t xml:space="preserve">business continuity plan </w:t>
      </w:r>
      <w:r w:rsidRPr="00687E4A">
        <w:t>over the coming years.</w:t>
      </w:r>
    </w:p>
    <w:p w14:paraId="1CD1E175" w14:textId="77777777" w:rsidR="00860F8E" w:rsidRPr="00687E4A" w:rsidRDefault="00860F8E" w:rsidP="00860F8E">
      <w:r w:rsidRPr="00687E4A">
        <w:t xml:space="preserve">CASA continues to participate in the annual Comcover Risk Management Benchmarking Program’s survey as an independent measure of its risk management maturity and as a means </w:t>
      </w:r>
      <w:r>
        <w:t xml:space="preserve">of identifying </w:t>
      </w:r>
      <w:r w:rsidRPr="00687E4A">
        <w:t>areas for further continued improvement. In 2018</w:t>
      </w:r>
      <w:r>
        <w:t>,</w:t>
      </w:r>
      <w:r w:rsidRPr="00687E4A">
        <w:t xml:space="preserve"> CASA achieved a maturity assessment rating of ‘Advanced’. To supplement the benchmarking survey, CASA conducted a short internal stakeholder review to determine where further improvements can be made to better meet </w:t>
      </w:r>
      <w:r>
        <w:t>CASA’s</w:t>
      </w:r>
      <w:r w:rsidRPr="00687E4A">
        <w:t xml:space="preserve"> operating needs.</w:t>
      </w:r>
    </w:p>
    <w:p w14:paraId="3AC30618" w14:textId="77777777" w:rsidR="00860F8E" w:rsidRPr="00687E4A" w:rsidRDefault="00860F8E" w:rsidP="00860F8E">
      <w:pPr>
        <w:rPr>
          <w:szCs w:val="24"/>
        </w:rPr>
      </w:pPr>
      <w:r w:rsidRPr="00687E4A">
        <w:rPr>
          <w:szCs w:val="24"/>
        </w:rPr>
        <w:t>In 2017–18, 100 CASA staff participated in face</w:t>
      </w:r>
      <w:r>
        <w:rPr>
          <w:szCs w:val="24"/>
        </w:rPr>
        <w:t>-</w:t>
      </w:r>
      <w:r w:rsidRPr="00687E4A">
        <w:rPr>
          <w:szCs w:val="24"/>
        </w:rPr>
        <w:t>to</w:t>
      </w:r>
      <w:r>
        <w:rPr>
          <w:szCs w:val="24"/>
        </w:rPr>
        <w:t>-</w:t>
      </w:r>
      <w:r w:rsidRPr="00687E4A">
        <w:rPr>
          <w:szCs w:val="24"/>
        </w:rPr>
        <w:t>face risk management training.</w:t>
      </w:r>
    </w:p>
    <w:p w14:paraId="66CD9039" w14:textId="77777777" w:rsidR="00860F8E" w:rsidRPr="00687E4A" w:rsidRDefault="00860F8E" w:rsidP="00860F8E">
      <w:pPr>
        <w:pStyle w:val="Heading3"/>
        <w:tabs>
          <w:tab w:val="left" w:pos="2975"/>
        </w:tabs>
      </w:pPr>
      <w:r w:rsidRPr="00687E4A">
        <w:lastRenderedPageBreak/>
        <w:t>Looking ahead</w:t>
      </w:r>
    </w:p>
    <w:p w14:paraId="7722BBD0" w14:textId="77777777" w:rsidR="00860F8E" w:rsidRPr="00687E4A" w:rsidRDefault="00860F8E" w:rsidP="00860F8E">
      <w:r w:rsidRPr="00687E4A">
        <w:t>In 2018–19</w:t>
      </w:r>
      <w:r>
        <w:t>,</w:t>
      </w:r>
      <w:r w:rsidRPr="00687E4A">
        <w:t xml:space="preserve"> CASA will:</w:t>
      </w:r>
    </w:p>
    <w:p w14:paraId="0A8C03FD" w14:textId="77777777" w:rsidR="00860F8E" w:rsidRPr="00687E4A" w:rsidRDefault="00860F8E" w:rsidP="00860F8E">
      <w:pPr>
        <w:pStyle w:val="Bullet"/>
      </w:pPr>
      <w:r w:rsidRPr="00687E4A">
        <w:t>continue to improve its enterprise-wide approach to risk management</w:t>
      </w:r>
    </w:p>
    <w:p w14:paraId="3881CA44" w14:textId="77777777" w:rsidR="00860F8E" w:rsidRPr="00687E4A" w:rsidRDefault="00860F8E" w:rsidP="00860F8E">
      <w:pPr>
        <w:pStyle w:val="Bullet"/>
      </w:pPr>
      <w:r w:rsidRPr="00687E4A">
        <w:t>improve its approach to strategic and operational risk reporting</w:t>
      </w:r>
    </w:p>
    <w:p w14:paraId="663965DF" w14:textId="77777777" w:rsidR="00860F8E" w:rsidRPr="00687E4A" w:rsidRDefault="00860F8E" w:rsidP="00860F8E">
      <w:pPr>
        <w:pStyle w:val="Bullet"/>
      </w:pPr>
      <w:r w:rsidRPr="00687E4A">
        <w:t xml:space="preserve">facilitate further </w:t>
      </w:r>
      <w:r>
        <w:t xml:space="preserve">business continuity plan </w:t>
      </w:r>
      <w:r w:rsidRPr="00687E4A">
        <w:t>scenario testing</w:t>
      </w:r>
    </w:p>
    <w:p w14:paraId="43060DAE" w14:textId="77777777" w:rsidR="00860F8E" w:rsidRPr="00687E4A" w:rsidRDefault="00860F8E" w:rsidP="00860F8E">
      <w:pPr>
        <w:pStyle w:val="Bullet"/>
      </w:pPr>
      <w:r w:rsidRPr="00687E4A">
        <w:t>investigate opportunities to systematise and automate risk management planning and reporting</w:t>
      </w:r>
    </w:p>
    <w:p w14:paraId="5A4794BE" w14:textId="77777777" w:rsidR="00860F8E" w:rsidRPr="00687E4A" w:rsidRDefault="00860F8E" w:rsidP="00860F8E">
      <w:pPr>
        <w:pStyle w:val="Bullet"/>
      </w:pPr>
      <w:r w:rsidRPr="00687E4A">
        <w:t xml:space="preserve">review and improve </w:t>
      </w:r>
      <w:r w:rsidR="006F007E">
        <w:t>its</w:t>
      </w:r>
      <w:r w:rsidRPr="00687E4A">
        <w:t xml:space="preserve"> training approach.</w:t>
      </w:r>
    </w:p>
    <w:p w14:paraId="07221046" w14:textId="77777777" w:rsidR="00860F8E" w:rsidRPr="00687E4A" w:rsidRDefault="00860F8E" w:rsidP="00860F8E">
      <w:pPr>
        <w:pStyle w:val="Heading2"/>
      </w:pPr>
      <w:r w:rsidRPr="00687E4A">
        <w:t xml:space="preserve">Internal audit arrangements </w:t>
      </w:r>
    </w:p>
    <w:p w14:paraId="40D6F957" w14:textId="77777777" w:rsidR="00860F8E" w:rsidRPr="00687E4A" w:rsidRDefault="00860F8E" w:rsidP="00860F8E">
      <w:pPr>
        <w:rPr>
          <w:rFonts w:cs="Arial"/>
        </w:rPr>
      </w:pPr>
      <w:r w:rsidRPr="00687E4A">
        <w:t xml:space="preserve">The Manager, Governance Branch holds the title and responsibilities of Chief Audit Executive and is accountable to the DAS for the efficient and effective operation of </w:t>
      </w:r>
      <w:r w:rsidR="006F007E">
        <w:t>i</w:t>
      </w:r>
      <w:r w:rsidRPr="00687E4A">
        <w:t xml:space="preserve">nternal </w:t>
      </w:r>
      <w:r w:rsidR="006F007E">
        <w:t>a</w:t>
      </w:r>
      <w:r w:rsidRPr="00687E4A">
        <w:t xml:space="preserve">udit. </w:t>
      </w:r>
      <w:r w:rsidRPr="00687E4A">
        <w:rPr>
          <w:rFonts w:cs="Arial"/>
        </w:rPr>
        <w:t xml:space="preserve">CASA’s </w:t>
      </w:r>
      <w:r>
        <w:rPr>
          <w:rFonts w:cs="Arial"/>
        </w:rPr>
        <w:t>i</w:t>
      </w:r>
      <w:r w:rsidRPr="00687E4A">
        <w:rPr>
          <w:rFonts w:cs="Arial"/>
        </w:rPr>
        <w:t xml:space="preserve">nternal </w:t>
      </w:r>
      <w:r>
        <w:rPr>
          <w:rFonts w:cs="Arial"/>
        </w:rPr>
        <w:t>a</w:t>
      </w:r>
      <w:r w:rsidRPr="00687E4A">
        <w:rPr>
          <w:rFonts w:cs="Arial"/>
        </w:rPr>
        <w:t xml:space="preserve">udit operates through a co-sourced arrangement for the delivery of internal audit services, utilising the services of external audit providers to complement CASA’s </w:t>
      </w:r>
      <w:r>
        <w:rPr>
          <w:rFonts w:cs="Arial"/>
        </w:rPr>
        <w:t>i</w:t>
      </w:r>
      <w:r w:rsidRPr="00687E4A">
        <w:rPr>
          <w:rFonts w:cs="Arial"/>
        </w:rPr>
        <w:t xml:space="preserve">nternal </w:t>
      </w:r>
      <w:r>
        <w:rPr>
          <w:rFonts w:cs="Arial"/>
        </w:rPr>
        <w:t>a</w:t>
      </w:r>
      <w:r w:rsidRPr="00687E4A">
        <w:rPr>
          <w:rFonts w:cs="Arial"/>
        </w:rPr>
        <w:t xml:space="preserve">udit </w:t>
      </w:r>
      <w:r>
        <w:rPr>
          <w:rFonts w:cs="Arial"/>
        </w:rPr>
        <w:t>s</w:t>
      </w:r>
      <w:r w:rsidRPr="00687E4A">
        <w:rPr>
          <w:rFonts w:cs="Arial"/>
        </w:rPr>
        <w:t xml:space="preserve">ection. </w:t>
      </w:r>
    </w:p>
    <w:p w14:paraId="12284305" w14:textId="77777777" w:rsidR="00860F8E" w:rsidRPr="00687E4A" w:rsidRDefault="00860F8E" w:rsidP="00860F8E">
      <w:pPr>
        <w:rPr>
          <w:rFonts w:cs="Arial"/>
          <w:szCs w:val="24"/>
        </w:rPr>
      </w:pPr>
      <w:r w:rsidRPr="00687E4A">
        <w:rPr>
          <w:rFonts w:cs="Arial"/>
          <w:szCs w:val="24"/>
        </w:rPr>
        <w:t xml:space="preserve">CASA’s risk-based Strategic Audit Plan and rolling three-year internal audit program provide a mix of performance, financial, IT and compliance audits delivered across the organisation. The program is designed to support CASA’s </w:t>
      </w:r>
      <w:r w:rsidR="006F007E">
        <w:rPr>
          <w:rFonts w:cs="Arial"/>
          <w:szCs w:val="24"/>
        </w:rPr>
        <w:t>c</w:t>
      </w:r>
      <w:r w:rsidRPr="00687E4A">
        <w:rPr>
          <w:rFonts w:cs="Arial"/>
          <w:szCs w:val="24"/>
        </w:rPr>
        <w:t xml:space="preserve">orporate </w:t>
      </w:r>
      <w:r w:rsidR="006F007E">
        <w:rPr>
          <w:rFonts w:cs="Arial"/>
          <w:szCs w:val="24"/>
        </w:rPr>
        <w:t>p</w:t>
      </w:r>
      <w:r w:rsidRPr="00687E4A">
        <w:rPr>
          <w:rFonts w:cs="Arial"/>
          <w:szCs w:val="24"/>
        </w:rPr>
        <w:t>lan, operating model, strategic goals and risks.</w:t>
      </w:r>
    </w:p>
    <w:p w14:paraId="2D9FC413" w14:textId="77777777" w:rsidR="00860F8E" w:rsidRPr="00687E4A" w:rsidRDefault="00860F8E" w:rsidP="00860F8E">
      <w:pPr>
        <w:rPr>
          <w:rFonts w:cs="Arial"/>
          <w:szCs w:val="24"/>
        </w:rPr>
      </w:pPr>
      <w:r w:rsidRPr="00687E4A">
        <w:rPr>
          <w:rFonts w:cs="Arial"/>
          <w:szCs w:val="24"/>
        </w:rPr>
        <w:t>Audit activities will also be conducted in accordance with relevant professional standards including, but not limited to:</w:t>
      </w:r>
    </w:p>
    <w:p w14:paraId="6531DBA6" w14:textId="77777777" w:rsidR="00860F8E" w:rsidRPr="00687E4A" w:rsidRDefault="00860F8E" w:rsidP="00860F8E">
      <w:pPr>
        <w:pStyle w:val="BulletLast"/>
      </w:pPr>
      <w:r>
        <w:t xml:space="preserve">the </w:t>
      </w:r>
      <w:r w:rsidRPr="00687E4A">
        <w:t>International Standards for the Professional Practice of Internal Auditing issued by the Institute of Internal Auditors</w:t>
      </w:r>
    </w:p>
    <w:p w14:paraId="44C46BD6" w14:textId="77777777" w:rsidR="00860F8E" w:rsidRPr="00687E4A" w:rsidRDefault="00860F8E" w:rsidP="00860F8E">
      <w:pPr>
        <w:pStyle w:val="BulletLast"/>
      </w:pPr>
      <w:r>
        <w:t>s</w:t>
      </w:r>
      <w:r w:rsidRPr="00687E4A">
        <w:t xml:space="preserve">tandards relevant to internal audit issued by </w:t>
      </w:r>
      <w:r>
        <w:t xml:space="preserve">CPA Australia </w:t>
      </w:r>
      <w:r w:rsidRPr="00687E4A">
        <w:t>and the Institute of Chartered Accountants in Australia</w:t>
      </w:r>
    </w:p>
    <w:p w14:paraId="3E69C63C" w14:textId="77777777" w:rsidR="00860F8E" w:rsidRPr="00687E4A" w:rsidRDefault="00860F8E" w:rsidP="00860F8E">
      <w:pPr>
        <w:pStyle w:val="BulletLast"/>
      </w:pPr>
      <w:r>
        <w:t>t</w:t>
      </w:r>
      <w:r w:rsidRPr="00687E4A">
        <w:t xml:space="preserve">he </w:t>
      </w:r>
      <w:r>
        <w:t xml:space="preserve">Information Systems Audit and Assurance Standards </w:t>
      </w:r>
      <w:r w:rsidRPr="00687E4A">
        <w:t>issued by ISACA</w:t>
      </w:r>
    </w:p>
    <w:p w14:paraId="7AE6CF4C" w14:textId="77777777" w:rsidR="00860F8E" w:rsidRPr="00687E4A" w:rsidRDefault="00860F8E" w:rsidP="00860F8E">
      <w:pPr>
        <w:pStyle w:val="BulletLast"/>
        <w:rPr>
          <w:rFonts w:cs="Arial"/>
          <w:szCs w:val="24"/>
        </w:rPr>
      </w:pPr>
      <w:r>
        <w:t>s</w:t>
      </w:r>
      <w:r w:rsidRPr="00687E4A">
        <w:t xml:space="preserve">tandards issued by Standards Australia and the International </w:t>
      </w:r>
      <w:r>
        <w:t>Organization for Standardization</w:t>
      </w:r>
      <w:r w:rsidRPr="00687E4A">
        <w:t>.</w:t>
      </w:r>
    </w:p>
    <w:p w14:paraId="03AB9F35" w14:textId="77777777" w:rsidR="00860F8E" w:rsidRPr="00687E4A" w:rsidRDefault="00860F8E" w:rsidP="00860F8E">
      <w:pPr>
        <w:pStyle w:val="Heading3"/>
        <w:rPr>
          <w:lang w:val="en-GB"/>
        </w:rPr>
      </w:pPr>
      <w:r w:rsidRPr="00687E4A">
        <w:rPr>
          <w:lang w:val="en-GB"/>
        </w:rPr>
        <w:t>Key achievements</w:t>
      </w:r>
    </w:p>
    <w:p w14:paraId="6A076CD3" w14:textId="77777777" w:rsidR="00860F8E" w:rsidRPr="00687E4A" w:rsidRDefault="00860F8E" w:rsidP="00860F8E">
      <w:pPr>
        <w:rPr>
          <w:rFonts w:ascii="Calibri" w:hAnsi="Calibri"/>
          <w:iCs/>
          <w:sz w:val="22"/>
        </w:rPr>
      </w:pPr>
      <w:r w:rsidRPr="00687E4A">
        <w:rPr>
          <w:iCs/>
        </w:rPr>
        <w:t xml:space="preserve">A total of nine audits were completed in 2017–18. The audit program has been revised to a rolling three-year plan rather than an annual plan. This improvement will allow more flexibility and minimise the potential for delays impacting </w:t>
      </w:r>
      <w:r>
        <w:rPr>
          <w:iCs/>
        </w:rPr>
        <w:t xml:space="preserve">on </w:t>
      </w:r>
      <w:r w:rsidRPr="00687E4A">
        <w:rPr>
          <w:iCs/>
        </w:rPr>
        <w:t>the audit plan.</w:t>
      </w:r>
    </w:p>
    <w:p w14:paraId="39E6B9D0" w14:textId="77777777" w:rsidR="00860F8E" w:rsidRPr="00687E4A" w:rsidRDefault="00860F8E" w:rsidP="00860F8E">
      <w:pPr>
        <w:rPr>
          <w:iCs/>
          <w:lang w:val="en-AU"/>
        </w:rPr>
      </w:pPr>
      <w:r>
        <w:rPr>
          <w:iCs/>
        </w:rPr>
        <w:t>During 2017–18</w:t>
      </w:r>
      <w:r w:rsidRPr="00687E4A">
        <w:rPr>
          <w:iCs/>
        </w:rPr>
        <w:t>, significant effort went into improving stakeholder engagement during the planning and delivery of audits and other process improvements</w:t>
      </w:r>
      <w:r>
        <w:rPr>
          <w:iCs/>
        </w:rPr>
        <w:t>,</w:t>
      </w:r>
      <w:r w:rsidRPr="00687E4A">
        <w:rPr>
          <w:iCs/>
        </w:rPr>
        <w:t xml:space="preserve"> including those suggested in the June 2017 Independent Quality Assessment of Internal Audits. This work will be completed in </w:t>
      </w:r>
      <w:r>
        <w:rPr>
          <w:iCs/>
        </w:rPr>
        <w:t>2018–19</w:t>
      </w:r>
      <w:r w:rsidRPr="00687E4A">
        <w:rPr>
          <w:iCs/>
        </w:rPr>
        <w:t>.</w:t>
      </w:r>
    </w:p>
    <w:p w14:paraId="63732E43" w14:textId="77777777" w:rsidR="00860F8E" w:rsidRPr="00687E4A" w:rsidRDefault="00860F8E" w:rsidP="00860F8E">
      <w:pPr>
        <w:pStyle w:val="Heading3"/>
        <w:rPr>
          <w:lang w:val="en-GB"/>
        </w:rPr>
      </w:pPr>
      <w:r w:rsidRPr="00687E4A">
        <w:rPr>
          <w:lang w:val="en-GB"/>
        </w:rPr>
        <w:t>Looking ahead</w:t>
      </w:r>
    </w:p>
    <w:p w14:paraId="54C2A80A" w14:textId="77777777" w:rsidR="00860F8E" w:rsidRPr="00687E4A" w:rsidRDefault="00860F8E" w:rsidP="00860F8E">
      <w:r w:rsidRPr="00687E4A">
        <w:rPr>
          <w:rFonts w:cs="Arial"/>
          <w:szCs w:val="24"/>
        </w:rPr>
        <w:t>Internal audit will continue to focus on improving and streamlining audit processes</w:t>
      </w:r>
      <w:r>
        <w:rPr>
          <w:rFonts w:cs="Arial"/>
          <w:szCs w:val="24"/>
        </w:rPr>
        <w:t>,</w:t>
      </w:r>
      <w:r w:rsidRPr="00687E4A">
        <w:rPr>
          <w:rFonts w:cs="Arial"/>
          <w:szCs w:val="24"/>
        </w:rPr>
        <w:t xml:space="preserve"> driving quality improvements in audit reports and facilitating stronger engagement with managers to improve the scoping of audits and thus the usefulness of audit findings.</w:t>
      </w:r>
    </w:p>
    <w:p w14:paraId="4AB57075" w14:textId="77777777" w:rsidR="00E57600" w:rsidRPr="00687E4A" w:rsidRDefault="00E57600" w:rsidP="00E57600">
      <w:pPr>
        <w:pStyle w:val="Heading2noTOC"/>
        <w:rPr>
          <w:lang w:val="en-GB"/>
        </w:rPr>
      </w:pPr>
      <w:r w:rsidRPr="00687E4A">
        <w:rPr>
          <w:lang w:val="en-GB"/>
        </w:rPr>
        <w:lastRenderedPageBreak/>
        <w:t>Recognition of CASA reporting</w:t>
      </w:r>
    </w:p>
    <w:p w14:paraId="2DA816C4" w14:textId="77777777" w:rsidR="00860F8E" w:rsidRPr="00687E4A" w:rsidRDefault="00E57600" w:rsidP="00E57600">
      <w:r w:rsidRPr="00687E4A">
        <w:t xml:space="preserve">CASA’s </w:t>
      </w:r>
      <w:r w:rsidRPr="00687E4A">
        <w:rPr>
          <w:i/>
        </w:rPr>
        <w:t>Annual Report 2016–17</w:t>
      </w:r>
      <w:r w:rsidRPr="00687E4A">
        <w:t xml:space="preserve"> was recognised with a prestigious Gold award in the 2018 Australasian Reporting Awards, making 2018 the sixth consecutive year in which CASA has received gold in recognition of the quality of its reporting.</w:t>
      </w:r>
    </w:p>
    <w:p w14:paraId="247E2403" w14:textId="77777777" w:rsidR="00860F8E" w:rsidRPr="00F33DA1" w:rsidRDefault="00860F8E" w:rsidP="00860F8E">
      <w:pPr>
        <w:pStyle w:val="Heading2"/>
        <w:rPr>
          <w:lang w:val="en-GB"/>
        </w:rPr>
      </w:pPr>
      <w:r w:rsidRPr="00F33DA1">
        <w:rPr>
          <w:lang w:val="en-GB"/>
        </w:rPr>
        <w:t xml:space="preserve">Governance committees </w:t>
      </w:r>
    </w:p>
    <w:p w14:paraId="16385385" w14:textId="77777777" w:rsidR="00860F8E" w:rsidRPr="00F33DA1" w:rsidRDefault="00860F8E" w:rsidP="00860F8E">
      <w:pPr>
        <w:shd w:val="clear" w:color="auto" w:fill="FFFFFF"/>
        <w:spacing w:after="150"/>
        <w:rPr>
          <w:szCs w:val="24"/>
        </w:rPr>
      </w:pPr>
      <w:r w:rsidRPr="00F33DA1">
        <w:rPr>
          <w:szCs w:val="24"/>
        </w:rPr>
        <w:t>In 2017–18</w:t>
      </w:r>
      <w:r>
        <w:rPr>
          <w:szCs w:val="24"/>
        </w:rPr>
        <w:t>,</w:t>
      </w:r>
      <w:r w:rsidRPr="00F33DA1">
        <w:rPr>
          <w:szCs w:val="24"/>
        </w:rPr>
        <w:t xml:space="preserve"> CASA implemented </w:t>
      </w:r>
      <w:r>
        <w:rPr>
          <w:szCs w:val="24"/>
        </w:rPr>
        <w:t>the</w:t>
      </w:r>
      <w:r w:rsidRPr="00F33DA1">
        <w:rPr>
          <w:szCs w:val="24"/>
        </w:rPr>
        <w:t xml:space="preserve"> revised governance structure </w:t>
      </w:r>
      <w:r>
        <w:rPr>
          <w:szCs w:val="24"/>
        </w:rPr>
        <w:t>established in April 2017. The structure comprises the</w:t>
      </w:r>
      <w:r w:rsidRPr="00F33DA1">
        <w:rPr>
          <w:szCs w:val="24"/>
        </w:rPr>
        <w:t xml:space="preserve"> Executive Committee and three supporting committees: Aviation Safety Committee, Risk and Investment Committee, and People Committee. </w:t>
      </w:r>
    </w:p>
    <w:p w14:paraId="09E8D349" w14:textId="77777777" w:rsidR="00860F8E" w:rsidRPr="00687E4A" w:rsidRDefault="00860F8E" w:rsidP="00860F8E">
      <w:pPr>
        <w:shd w:val="clear" w:color="auto" w:fill="FFFFFF"/>
        <w:spacing w:after="150"/>
      </w:pPr>
      <w:r w:rsidRPr="00F33DA1">
        <w:t>Each of the committees successfully and incrementally matured during the year.</w:t>
      </w:r>
      <w:r w:rsidRPr="00687E4A">
        <w:t xml:space="preserve"> The committee structure is working well to provide enhanced assurance and transparency to critical decision</w:t>
      </w:r>
      <w:r>
        <w:t>-</w:t>
      </w:r>
      <w:r w:rsidRPr="00687E4A">
        <w:t>making. A number of sub-committees and working groups have been established to oversee critical decision</w:t>
      </w:r>
      <w:r>
        <w:t>-</w:t>
      </w:r>
      <w:r w:rsidRPr="00687E4A">
        <w:t xml:space="preserve">making, project management and management of key strategic </w:t>
      </w:r>
      <w:r>
        <w:t>risks</w:t>
      </w:r>
      <w:r w:rsidRPr="00687E4A">
        <w:t>.</w:t>
      </w:r>
    </w:p>
    <w:p w14:paraId="43FE5350" w14:textId="77777777" w:rsidR="00860F8E" w:rsidRPr="00687E4A" w:rsidRDefault="00860F8E" w:rsidP="00860F8E">
      <w:pPr>
        <w:pStyle w:val="Heading3"/>
        <w:rPr>
          <w:lang w:val="en-GB"/>
        </w:rPr>
      </w:pPr>
      <w:r w:rsidRPr="00687E4A">
        <w:rPr>
          <w:lang w:val="en-GB"/>
        </w:rPr>
        <w:t>Executive Committee</w:t>
      </w:r>
    </w:p>
    <w:p w14:paraId="0ECEFBF5" w14:textId="77777777" w:rsidR="00860F8E" w:rsidRPr="00687E4A" w:rsidRDefault="00860F8E" w:rsidP="00860F8E">
      <w:pPr>
        <w:shd w:val="clear" w:color="auto" w:fill="FFFFFF"/>
        <w:spacing w:after="150"/>
      </w:pPr>
      <w:r w:rsidRPr="00687E4A">
        <w:t xml:space="preserve">The Executive Committee assists the CEO/DAS and the executive leadership team to drive the implementation of strategies as decided by the Board and the CEO/DAS, and to manage the operations of CASA. The Executive Committee meets every eight weeks </w:t>
      </w:r>
      <w:r>
        <w:t xml:space="preserve">to discuss strategic issues </w:t>
      </w:r>
      <w:r w:rsidRPr="00687E4A">
        <w:t>and weekly to discuss operational matters.</w:t>
      </w:r>
    </w:p>
    <w:p w14:paraId="35A49BF4" w14:textId="77777777" w:rsidR="00860F8E" w:rsidRPr="00687E4A" w:rsidRDefault="00860F8E" w:rsidP="00860F8E">
      <w:pPr>
        <w:pStyle w:val="Heading3"/>
        <w:rPr>
          <w:lang w:val="en-GB"/>
        </w:rPr>
      </w:pPr>
      <w:r w:rsidRPr="00687E4A">
        <w:rPr>
          <w:lang w:val="en-GB"/>
        </w:rPr>
        <w:t>Aviation Safety Committee</w:t>
      </w:r>
    </w:p>
    <w:p w14:paraId="06FFB117" w14:textId="77777777" w:rsidR="00860F8E" w:rsidRPr="00687E4A" w:rsidRDefault="00860F8E" w:rsidP="00860F8E">
      <w:r w:rsidRPr="00687E4A">
        <w:t>The Aviation Safety Committee is an advisory and monitoring committee which supports the CEO/DAS and the Executive Committee on matters related to regulatory and safety compliance, safety strategies, safety performance, international safety developments and emerging aviation safety risks. The Aviation Safety Committee meets monthly.</w:t>
      </w:r>
    </w:p>
    <w:p w14:paraId="1A3983D8" w14:textId="77777777" w:rsidR="00860F8E" w:rsidRPr="00687E4A" w:rsidRDefault="00860F8E" w:rsidP="00860F8E">
      <w:pPr>
        <w:pStyle w:val="Heading3"/>
        <w:rPr>
          <w:lang w:val="en-GB"/>
        </w:rPr>
      </w:pPr>
      <w:r w:rsidRPr="00687E4A">
        <w:rPr>
          <w:lang w:val="en-GB"/>
        </w:rPr>
        <w:t>Risk and Investment Committee</w:t>
      </w:r>
    </w:p>
    <w:p w14:paraId="2B83A9B2" w14:textId="77777777" w:rsidR="00860F8E" w:rsidRPr="00687E4A" w:rsidRDefault="00860F8E" w:rsidP="00860F8E">
      <w:pPr>
        <w:shd w:val="clear" w:color="auto" w:fill="FFFFFF"/>
        <w:spacing w:after="150"/>
        <w:rPr>
          <w:rFonts w:eastAsia="Times New Roman" w:cs="Arial"/>
          <w:color w:val="212121"/>
          <w:spacing w:val="3"/>
          <w:szCs w:val="24"/>
          <w:lang w:eastAsia="en-AU"/>
        </w:rPr>
      </w:pPr>
      <w:r w:rsidRPr="00687E4A">
        <w:rPr>
          <w:rFonts w:eastAsia="Times New Roman" w:cs="Arial"/>
          <w:color w:val="212121"/>
          <w:spacing w:val="3"/>
          <w:szCs w:val="24"/>
          <w:lang w:eastAsia="en-AU"/>
        </w:rPr>
        <w:t>The Risk and Investment Committee provides impartial advice and makes recommendations to the Executive Committee and the CEO/DAS on risk, finance (including budget), investment management, implementation of investments, and project and program performance issues.</w:t>
      </w:r>
    </w:p>
    <w:p w14:paraId="7511DC4A" w14:textId="77777777" w:rsidR="00860F8E" w:rsidRDefault="00860F8E" w:rsidP="00860F8E">
      <w:pPr>
        <w:shd w:val="clear" w:color="auto" w:fill="FFFFFF"/>
        <w:spacing w:after="150"/>
        <w:rPr>
          <w:rFonts w:eastAsia="Times New Roman" w:cs="Arial"/>
          <w:color w:val="212121"/>
          <w:spacing w:val="3"/>
          <w:szCs w:val="24"/>
          <w:lang w:eastAsia="en-AU"/>
        </w:rPr>
      </w:pPr>
      <w:r w:rsidRPr="00687E4A">
        <w:rPr>
          <w:rFonts w:eastAsia="Times New Roman" w:cs="Arial"/>
          <w:color w:val="212121"/>
          <w:spacing w:val="3"/>
          <w:szCs w:val="24"/>
          <w:lang w:eastAsia="en-AU"/>
        </w:rPr>
        <w:t xml:space="preserve">The </w:t>
      </w:r>
      <w:r>
        <w:rPr>
          <w:rFonts w:eastAsia="Times New Roman" w:cs="Arial"/>
          <w:color w:val="212121"/>
          <w:spacing w:val="3"/>
          <w:szCs w:val="24"/>
          <w:lang w:eastAsia="en-AU"/>
        </w:rPr>
        <w:t>c</w:t>
      </w:r>
      <w:r w:rsidRPr="00687E4A">
        <w:rPr>
          <w:rFonts w:eastAsia="Times New Roman" w:cs="Arial"/>
          <w:color w:val="212121"/>
          <w:spacing w:val="3"/>
          <w:szCs w:val="24"/>
          <w:lang w:eastAsia="en-AU"/>
        </w:rPr>
        <w:t>ommittee also provides assurance on the implementation of risk management in accordance with direction and guidance from the Board and Board Audit Committee</w:t>
      </w:r>
      <w:r>
        <w:rPr>
          <w:rFonts w:eastAsia="Times New Roman" w:cs="Arial"/>
          <w:color w:val="212121"/>
          <w:spacing w:val="3"/>
          <w:szCs w:val="24"/>
          <w:lang w:eastAsia="en-AU"/>
        </w:rPr>
        <w:t>,</w:t>
      </w:r>
      <w:r w:rsidRPr="00687E4A">
        <w:rPr>
          <w:rFonts w:eastAsia="Times New Roman" w:cs="Arial"/>
          <w:color w:val="212121"/>
          <w:spacing w:val="3"/>
          <w:szCs w:val="24"/>
          <w:lang w:eastAsia="en-AU"/>
        </w:rPr>
        <w:t xml:space="preserve"> and complements Board and Board Audit Committee responsibilities by considering risk at the operational and tactical level. The Risk and Investment Committee meets monthly. </w:t>
      </w:r>
    </w:p>
    <w:p w14:paraId="493CFFCA" w14:textId="77777777" w:rsidR="00860F8E" w:rsidRDefault="00860F8E" w:rsidP="00860F8E">
      <w:pPr>
        <w:shd w:val="clear" w:color="auto" w:fill="FFFFFF"/>
        <w:spacing w:after="150"/>
        <w:rPr>
          <w:rFonts w:eastAsia="Times New Roman" w:cs="Arial"/>
          <w:color w:val="212121"/>
          <w:spacing w:val="3"/>
          <w:szCs w:val="24"/>
          <w:lang w:eastAsia="en-AU"/>
        </w:rPr>
      </w:pPr>
      <w:r w:rsidRPr="00687E4A">
        <w:rPr>
          <w:rFonts w:eastAsia="Times New Roman" w:cs="Arial"/>
          <w:color w:val="212121"/>
          <w:spacing w:val="3"/>
          <w:szCs w:val="24"/>
          <w:lang w:eastAsia="en-AU"/>
        </w:rPr>
        <w:t xml:space="preserve">As an improvement measure </w:t>
      </w:r>
      <w:r>
        <w:rPr>
          <w:rFonts w:eastAsia="Times New Roman" w:cs="Arial"/>
          <w:color w:val="212121"/>
          <w:spacing w:val="3"/>
          <w:szCs w:val="24"/>
          <w:lang w:eastAsia="en-AU"/>
        </w:rPr>
        <w:t>in</w:t>
      </w:r>
      <w:r w:rsidRPr="00687E4A">
        <w:rPr>
          <w:rFonts w:eastAsia="Times New Roman" w:cs="Arial"/>
          <w:color w:val="212121"/>
          <w:spacing w:val="3"/>
          <w:szCs w:val="24"/>
          <w:lang w:eastAsia="en-AU"/>
        </w:rPr>
        <w:t xml:space="preserve"> 2018–19, th</w:t>
      </w:r>
      <w:r>
        <w:rPr>
          <w:rFonts w:eastAsia="Times New Roman" w:cs="Arial"/>
          <w:color w:val="212121"/>
          <w:spacing w:val="3"/>
          <w:szCs w:val="24"/>
          <w:lang w:eastAsia="en-AU"/>
        </w:rPr>
        <w:t>e</w:t>
      </w:r>
      <w:r w:rsidRPr="00687E4A">
        <w:rPr>
          <w:rFonts w:eastAsia="Times New Roman" w:cs="Arial"/>
          <w:color w:val="212121"/>
          <w:spacing w:val="3"/>
          <w:szCs w:val="24"/>
          <w:lang w:eastAsia="en-AU"/>
        </w:rPr>
        <w:t xml:space="preserve"> Risk and Investment Committee will undertake a periodic review in relation to CASA’s strategic risks.</w:t>
      </w:r>
    </w:p>
    <w:p w14:paraId="442DBA6E" w14:textId="77777777" w:rsidR="00860F8E" w:rsidRPr="00687E4A" w:rsidRDefault="00860F8E" w:rsidP="00860F8E">
      <w:pPr>
        <w:pStyle w:val="Heading3"/>
        <w:rPr>
          <w:lang w:val="en-GB"/>
        </w:rPr>
      </w:pPr>
      <w:r w:rsidRPr="00687E4A">
        <w:rPr>
          <w:lang w:val="en-GB"/>
        </w:rPr>
        <w:t>People Committee</w:t>
      </w:r>
    </w:p>
    <w:p w14:paraId="2955E3D5" w14:textId="77777777" w:rsidR="00860F8E" w:rsidRPr="00F33DA1" w:rsidRDefault="00860F8E" w:rsidP="00860F8E">
      <w:pPr>
        <w:shd w:val="clear" w:color="auto" w:fill="FFFFFF"/>
        <w:spacing w:after="150"/>
      </w:pPr>
      <w:r w:rsidRPr="00687E4A">
        <w:t>The People Committee oversees all strategic workforce</w:t>
      </w:r>
      <w:r>
        <w:t>-</w:t>
      </w:r>
      <w:r w:rsidRPr="00687E4A">
        <w:t xml:space="preserve">related matters that require collaboration across CASA functions. Key responsibilities include providing oversight of leadership, performance, recruitment, retention and staff training, and monitoring </w:t>
      </w:r>
      <w:r w:rsidRPr="00687E4A">
        <w:lastRenderedPageBreak/>
        <w:t>organisational health levels through unscheduled absence and staff turnover metrics. The People Committee meets quarterly.</w:t>
      </w:r>
    </w:p>
    <w:p w14:paraId="5F121BFF" w14:textId="77777777" w:rsidR="00860F8E" w:rsidRPr="00687E4A" w:rsidRDefault="00860F8E" w:rsidP="00860F8E">
      <w:pPr>
        <w:pStyle w:val="Heading2noTOC"/>
        <w:rPr>
          <w:lang w:val="en-GB"/>
        </w:rPr>
      </w:pPr>
      <w:r w:rsidRPr="00687E4A">
        <w:rPr>
          <w:lang w:val="en-GB"/>
        </w:rPr>
        <w:t>Public interest disclosure policy</w:t>
      </w:r>
    </w:p>
    <w:p w14:paraId="54C8F9A0" w14:textId="77777777" w:rsidR="00860F8E" w:rsidRPr="00687E4A" w:rsidRDefault="00860F8E" w:rsidP="00860F8E">
      <w:r w:rsidRPr="00687E4A">
        <w:t xml:space="preserve">CASA’s policy and procedures on public interest disclosure are consistent with the requirements of the </w:t>
      </w:r>
      <w:r w:rsidRPr="00687E4A">
        <w:rPr>
          <w:i/>
        </w:rPr>
        <w:t>Public Interest Disclosure Act 2013</w:t>
      </w:r>
      <w:r w:rsidRPr="00687E4A">
        <w:t>. They enable confidential disclosure of matters and protect disclosers from fear or threats of reprisal for making a disclosure. CASA provides an annual report of the number and types of disclosures to the Commonwealth Ombudsman.</w:t>
      </w:r>
    </w:p>
    <w:p w14:paraId="3D1D4FDC" w14:textId="77777777" w:rsidR="00860F8E" w:rsidRPr="00687E4A" w:rsidRDefault="00860F8E" w:rsidP="00860F8E">
      <w:pPr>
        <w:pStyle w:val="Heading2noTOC"/>
        <w:rPr>
          <w:lang w:val="en-GB"/>
        </w:rPr>
      </w:pPr>
      <w:r w:rsidRPr="00687E4A">
        <w:rPr>
          <w:lang w:val="en-GB"/>
        </w:rPr>
        <w:t>Code of Conduct</w:t>
      </w:r>
    </w:p>
    <w:p w14:paraId="288D7182" w14:textId="77777777" w:rsidR="00860F8E" w:rsidRPr="00687E4A" w:rsidRDefault="00860F8E" w:rsidP="00860F8E">
      <w:r w:rsidRPr="00687E4A">
        <w:t xml:space="preserve">As a condition of employment, all employees must comply with CASA’s Code of Conduct. The code is aligned with the Australian Public Service (APS) Code of Conduct and reflects the values and behaviours expected of all CASA employees in the course of conducting their duties or otherwise representing CASA. </w:t>
      </w:r>
    </w:p>
    <w:p w14:paraId="55483FBF" w14:textId="77777777" w:rsidR="00860F8E" w:rsidRPr="00687E4A" w:rsidRDefault="00860F8E" w:rsidP="00860F8E">
      <w:r w:rsidRPr="00687E4A">
        <w:t>CASA promotes the code to all new employees during their orientation. The presentation affirms CASA’s expectations on CASA</w:t>
      </w:r>
      <w:r>
        <w:t>’s</w:t>
      </w:r>
      <w:r w:rsidRPr="00687E4A">
        <w:t xml:space="preserve"> policy, regulatory philosophy and values. Online training for all employees covers content such as working with respect and </w:t>
      </w:r>
      <w:r>
        <w:t xml:space="preserve">applying </w:t>
      </w:r>
      <w:r w:rsidRPr="00687E4A">
        <w:t>equity and diversity principles.</w:t>
      </w:r>
    </w:p>
    <w:p w14:paraId="4FC27314" w14:textId="77777777" w:rsidR="00860F8E" w:rsidRPr="00687E4A" w:rsidRDefault="00860F8E" w:rsidP="00860F8E">
      <w:r w:rsidRPr="00687E4A">
        <w:t>During 2017–18</w:t>
      </w:r>
      <w:r>
        <w:t>,</w:t>
      </w:r>
      <w:r w:rsidRPr="00687E4A">
        <w:t xml:space="preserve"> there were nine allegations of potential misconduct. Of the nine allegations, three were referred for further investigation, two were managed through preliminary assessment</w:t>
      </w:r>
      <w:r>
        <w:t>,</w:t>
      </w:r>
      <w:r w:rsidRPr="00687E4A">
        <w:t xml:space="preserve"> and four </w:t>
      </w:r>
      <w:r>
        <w:t>were</w:t>
      </w:r>
      <w:r w:rsidRPr="00687E4A">
        <w:t xml:space="preserve"> undergoing preliminary assessment </w:t>
      </w:r>
      <w:r w:rsidR="006F007E">
        <w:t>at</w:t>
      </w:r>
      <w:r w:rsidRPr="00687E4A">
        <w:t xml:space="preserve"> 30 June 2018.</w:t>
      </w:r>
    </w:p>
    <w:p w14:paraId="71C5A74C" w14:textId="77777777" w:rsidR="00860F8E" w:rsidRPr="00687E4A" w:rsidRDefault="00860F8E" w:rsidP="00860F8E">
      <w:r>
        <w:t>T</w:t>
      </w:r>
      <w:r w:rsidRPr="00687E4A">
        <w:t>he three investigations</w:t>
      </w:r>
      <w:r>
        <w:t xml:space="preserve"> that were</w:t>
      </w:r>
      <w:r w:rsidRPr="00687E4A">
        <w:t xml:space="preserve"> finalised</w:t>
      </w:r>
      <w:r>
        <w:t xml:space="preserve"> involved</w:t>
      </w:r>
      <w:r w:rsidRPr="00687E4A">
        <w:t xml:space="preserve"> five employees. All employees involved were found to have breached the Code of Conduct. This resulted in two employees being terminated, one employee resign</w:t>
      </w:r>
      <w:r>
        <w:t>ing</w:t>
      </w:r>
      <w:r w:rsidRPr="00687E4A">
        <w:t xml:space="preserve"> </w:t>
      </w:r>
      <w:r>
        <w:t>in response to</w:t>
      </w:r>
      <w:r w:rsidRPr="00687E4A">
        <w:t xml:space="preserve"> proposed termination</w:t>
      </w:r>
      <w:r>
        <w:t>,</w:t>
      </w:r>
      <w:r w:rsidRPr="00687E4A">
        <w:t xml:space="preserve"> and two employees receiving employment</w:t>
      </w:r>
      <w:r>
        <w:t>-</w:t>
      </w:r>
      <w:r w:rsidRPr="00687E4A">
        <w:t xml:space="preserve">related sanctions. Two further allegations underwent a preliminary assessment which </w:t>
      </w:r>
      <w:r>
        <w:t>found that</w:t>
      </w:r>
      <w:r w:rsidRPr="00687E4A">
        <w:t xml:space="preserve"> there was no breach of the Code of Conduct. </w:t>
      </w:r>
    </w:p>
    <w:p w14:paraId="46AFF111" w14:textId="77777777" w:rsidR="00860F8E" w:rsidRPr="00687E4A" w:rsidRDefault="00860F8E" w:rsidP="00860F8E">
      <w:r w:rsidRPr="00687E4A">
        <w:t xml:space="preserve">The People Committee monitors Code of Conduct outcomes and considers the time taken to deal with those matters. The average time taken to investigate allegations of a contravention of the Code of Conduct during 2017–18 was 20 days. This is a slight increase on the 17 days taken in 2016–17. Throughout 2017–18, CASA continued to focus on streamlining processes and </w:t>
      </w:r>
      <w:r>
        <w:t>making</w:t>
      </w:r>
      <w:r w:rsidRPr="00687E4A">
        <w:t xml:space="preserve"> greater use of internal investigators. </w:t>
      </w:r>
    </w:p>
    <w:p w14:paraId="66BFE6B9" w14:textId="77777777" w:rsidR="00860F8E" w:rsidRPr="00687E4A" w:rsidRDefault="00860F8E" w:rsidP="00860F8E">
      <w:r w:rsidRPr="00687E4A">
        <w:t>Matters not reported here related to lower level workplace issues that were referred to managers, who developed and supported staff through the performance and communication scheme, increased staff awareness in relation to appropriate behaviour in the workplace, or accessed alternative dispute resolution methods.</w:t>
      </w:r>
    </w:p>
    <w:p w14:paraId="6B034755" w14:textId="77777777" w:rsidR="00860F8E" w:rsidRPr="00687E4A" w:rsidRDefault="00860F8E" w:rsidP="00860F8E">
      <w:pPr>
        <w:pStyle w:val="TableName"/>
        <w:rPr>
          <w:rFonts w:ascii="Cambria" w:hAnsi="Cambria"/>
          <w:b w:val="0"/>
          <w:color w:val="auto"/>
          <w:sz w:val="24"/>
          <w:szCs w:val="24"/>
          <w:lang w:val="en-AU"/>
        </w:rPr>
      </w:pPr>
      <w:r w:rsidRPr="00687E4A">
        <w:rPr>
          <w:rFonts w:ascii="Cambria" w:hAnsi="Cambria"/>
          <w:b w:val="0"/>
          <w:color w:val="auto"/>
          <w:sz w:val="24"/>
          <w:szCs w:val="24"/>
          <w:lang w:val="en-AU"/>
        </w:rPr>
        <w:lastRenderedPageBreak/>
        <w:t xml:space="preserve">Table </w:t>
      </w:r>
      <w:r w:rsidR="0050220E">
        <w:rPr>
          <w:rFonts w:ascii="Cambria" w:hAnsi="Cambria"/>
          <w:b w:val="0"/>
          <w:color w:val="auto"/>
          <w:sz w:val="24"/>
          <w:szCs w:val="24"/>
          <w:lang w:val="en-AU"/>
        </w:rPr>
        <w:t>7</w:t>
      </w:r>
      <w:r w:rsidR="0050220E" w:rsidRPr="00687E4A">
        <w:rPr>
          <w:rFonts w:ascii="Cambria" w:hAnsi="Cambria"/>
          <w:b w:val="0"/>
          <w:color w:val="auto"/>
          <w:sz w:val="24"/>
          <w:szCs w:val="24"/>
          <w:lang w:val="en-AU"/>
        </w:rPr>
        <w:t xml:space="preserve"> </w:t>
      </w:r>
      <w:r w:rsidRPr="00687E4A">
        <w:rPr>
          <w:rFonts w:ascii="Cambria" w:hAnsi="Cambria"/>
          <w:b w:val="0"/>
          <w:color w:val="auto"/>
          <w:sz w:val="24"/>
          <w:szCs w:val="24"/>
          <w:lang w:val="en-AU"/>
        </w:rPr>
        <w:t>provides details of investigations over the past five years.</w:t>
      </w:r>
    </w:p>
    <w:p w14:paraId="77D478F1" w14:textId="77777777" w:rsidR="00860F8E" w:rsidRPr="00687E4A" w:rsidRDefault="00860F8E" w:rsidP="00860F8E">
      <w:pPr>
        <w:pStyle w:val="TableName"/>
      </w:pPr>
      <w:bookmarkStart w:id="62" w:name="_Hlk524429313"/>
      <w:r w:rsidRPr="00687E4A">
        <w:t xml:space="preserve">Table </w:t>
      </w:r>
      <w:r w:rsidR="0050220E">
        <w:t>7</w:t>
      </w:r>
      <w:r w:rsidRPr="00687E4A">
        <w:tab/>
        <w:t xml:space="preserve">Code of Conduct investigations, 2013–14 to 2017–18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1093"/>
        <w:gridCol w:w="1094"/>
        <w:gridCol w:w="1094"/>
        <w:gridCol w:w="1010"/>
        <w:gridCol w:w="934"/>
      </w:tblGrid>
      <w:tr w:rsidR="00860F8E" w:rsidRPr="00687E4A" w14:paraId="34FA62B9" w14:textId="77777777" w:rsidTr="00A86663">
        <w:trPr>
          <w:tblHeader/>
        </w:trPr>
        <w:tc>
          <w:tcPr>
            <w:tcW w:w="3923" w:type="dxa"/>
            <w:tcMar>
              <w:top w:w="0" w:type="dxa"/>
              <w:left w:w="108" w:type="dxa"/>
              <w:bottom w:w="0" w:type="dxa"/>
              <w:right w:w="108" w:type="dxa"/>
            </w:tcMar>
            <w:hideMark/>
          </w:tcPr>
          <w:p w14:paraId="2D30B980" w14:textId="77777777" w:rsidR="00860F8E" w:rsidRPr="00687E4A" w:rsidRDefault="00860F8E" w:rsidP="00EF6063">
            <w:pPr>
              <w:pStyle w:val="TableHead"/>
            </w:pPr>
            <w:r w:rsidRPr="00687E4A">
              <w:t>Detail</w:t>
            </w:r>
          </w:p>
        </w:tc>
        <w:tc>
          <w:tcPr>
            <w:tcW w:w="1115" w:type="dxa"/>
            <w:tcMar>
              <w:top w:w="0" w:type="dxa"/>
              <w:left w:w="108" w:type="dxa"/>
              <w:bottom w:w="0" w:type="dxa"/>
              <w:right w:w="108" w:type="dxa"/>
            </w:tcMar>
          </w:tcPr>
          <w:p w14:paraId="41493865" w14:textId="77777777" w:rsidR="00860F8E" w:rsidRPr="00687E4A" w:rsidRDefault="00860F8E" w:rsidP="00EF6063">
            <w:pPr>
              <w:pStyle w:val="TableHead"/>
            </w:pPr>
            <w:r w:rsidRPr="00687E4A">
              <w:t>2013–14</w:t>
            </w:r>
          </w:p>
        </w:tc>
        <w:tc>
          <w:tcPr>
            <w:tcW w:w="1115" w:type="dxa"/>
          </w:tcPr>
          <w:p w14:paraId="31054CD0" w14:textId="77777777" w:rsidR="00860F8E" w:rsidRPr="00687E4A" w:rsidRDefault="00860F8E" w:rsidP="00EF6063">
            <w:pPr>
              <w:pStyle w:val="TableHead"/>
            </w:pPr>
            <w:r w:rsidRPr="00687E4A">
              <w:t>2014–15</w:t>
            </w:r>
          </w:p>
        </w:tc>
        <w:tc>
          <w:tcPr>
            <w:tcW w:w="1115" w:type="dxa"/>
          </w:tcPr>
          <w:p w14:paraId="3360A466" w14:textId="77777777" w:rsidR="00860F8E" w:rsidRPr="00687E4A" w:rsidRDefault="00860F8E" w:rsidP="00EF6063">
            <w:pPr>
              <w:pStyle w:val="TableHead"/>
            </w:pPr>
            <w:r w:rsidRPr="00687E4A">
              <w:t>2015–16</w:t>
            </w:r>
          </w:p>
        </w:tc>
        <w:tc>
          <w:tcPr>
            <w:tcW w:w="1027" w:type="dxa"/>
          </w:tcPr>
          <w:p w14:paraId="1D8FB8EB" w14:textId="77777777" w:rsidR="00860F8E" w:rsidRPr="00687E4A" w:rsidRDefault="00860F8E" w:rsidP="00EF6063">
            <w:pPr>
              <w:pStyle w:val="TableHead"/>
            </w:pPr>
            <w:r w:rsidRPr="00687E4A">
              <w:t>2016–17</w:t>
            </w:r>
          </w:p>
        </w:tc>
        <w:tc>
          <w:tcPr>
            <w:tcW w:w="947" w:type="dxa"/>
          </w:tcPr>
          <w:p w14:paraId="2DB5DD5F" w14:textId="77777777" w:rsidR="00860F8E" w:rsidRPr="00687E4A" w:rsidRDefault="00860F8E" w:rsidP="00EF6063">
            <w:pPr>
              <w:pStyle w:val="TableHead"/>
            </w:pPr>
            <w:r w:rsidRPr="00687E4A">
              <w:t>2017–18</w:t>
            </w:r>
          </w:p>
        </w:tc>
      </w:tr>
      <w:tr w:rsidR="00860F8E" w:rsidRPr="00687E4A" w14:paraId="3EA82B54" w14:textId="77777777" w:rsidTr="00A86663">
        <w:tc>
          <w:tcPr>
            <w:tcW w:w="3923" w:type="dxa"/>
            <w:tcMar>
              <w:top w:w="0" w:type="dxa"/>
              <w:left w:w="108" w:type="dxa"/>
              <w:bottom w:w="0" w:type="dxa"/>
              <w:right w:w="108" w:type="dxa"/>
            </w:tcMar>
            <w:hideMark/>
          </w:tcPr>
          <w:p w14:paraId="04AA2B8D" w14:textId="77777777" w:rsidR="00860F8E" w:rsidRPr="00687E4A" w:rsidRDefault="00860F8E" w:rsidP="00EF6063">
            <w:pPr>
              <w:pStyle w:val="TableText"/>
            </w:pPr>
            <w:r w:rsidRPr="00687E4A">
              <w:t xml:space="preserve">Investigations commenced </w:t>
            </w:r>
          </w:p>
        </w:tc>
        <w:tc>
          <w:tcPr>
            <w:tcW w:w="1115" w:type="dxa"/>
            <w:tcMar>
              <w:top w:w="0" w:type="dxa"/>
              <w:left w:w="108" w:type="dxa"/>
              <w:bottom w:w="0" w:type="dxa"/>
              <w:right w:w="108" w:type="dxa"/>
            </w:tcMar>
          </w:tcPr>
          <w:p w14:paraId="0F55799F" w14:textId="77777777" w:rsidR="00860F8E" w:rsidRPr="00687E4A" w:rsidRDefault="00860F8E" w:rsidP="00EF6063">
            <w:pPr>
              <w:pStyle w:val="TableText"/>
              <w:tabs>
                <w:tab w:val="left" w:pos="652"/>
              </w:tabs>
              <w:jc w:val="right"/>
            </w:pPr>
            <w:r w:rsidRPr="00687E4A">
              <w:t>2</w:t>
            </w:r>
          </w:p>
        </w:tc>
        <w:tc>
          <w:tcPr>
            <w:tcW w:w="1115" w:type="dxa"/>
          </w:tcPr>
          <w:p w14:paraId="5D27817B" w14:textId="77777777" w:rsidR="00860F8E" w:rsidRPr="00687E4A" w:rsidRDefault="00860F8E" w:rsidP="00EF6063">
            <w:pPr>
              <w:pStyle w:val="TableText"/>
              <w:jc w:val="right"/>
            </w:pPr>
            <w:r w:rsidRPr="00687E4A">
              <w:t>3</w:t>
            </w:r>
          </w:p>
        </w:tc>
        <w:tc>
          <w:tcPr>
            <w:tcW w:w="1115" w:type="dxa"/>
          </w:tcPr>
          <w:p w14:paraId="4F9F38C7" w14:textId="77777777" w:rsidR="00860F8E" w:rsidRPr="00687E4A" w:rsidRDefault="00860F8E" w:rsidP="00EF6063">
            <w:pPr>
              <w:pStyle w:val="TableText"/>
              <w:jc w:val="right"/>
            </w:pPr>
            <w:r w:rsidRPr="00687E4A">
              <w:t>9</w:t>
            </w:r>
          </w:p>
        </w:tc>
        <w:tc>
          <w:tcPr>
            <w:tcW w:w="1027" w:type="dxa"/>
          </w:tcPr>
          <w:p w14:paraId="2A52161E" w14:textId="77777777" w:rsidR="00860F8E" w:rsidRPr="00687E4A" w:rsidRDefault="00860F8E" w:rsidP="00EF6063">
            <w:pPr>
              <w:pStyle w:val="TableText"/>
              <w:jc w:val="right"/>
            </w:pPr>
            <w:r w:rsidRPr="00687E4A">
              <w:t>5</w:t>
            </w:r>
          </w:p>
        </w:tc>
        <w:tc>
          <w:tcPr>
            <w:tcW w:w="947" w:type="dxa"/>
          </w:tcPr>
          <w:p w14:paraId="2A273EFD" w14:textId="77777777" w:rsidR="00860F8E" w:rsidRPr="00687E4A" w:rsidRDefault="00D5627D" w:rsidP="00EF6063">
            <w:pPr>
              <w:pStyle w:val="TableText"/>
              <w:jc w:val="right"/>
            </w:pPr>
            <w:r>
              <w:t>6</w:t>
            </w:r>
          </w:p>
        </w:tc>
      </w:tr>
      <w:tr w:rsidR="00860F8E" w:rsidRPr="00687E4A" w14:paraId="01A43B61" w14:textId="77777777" w:rsidTr="00A86663">
        <w:tc>
          <w:tcPr>
            <w:tcW w:w="3923" w:type="dxa"/>
            <w:tcMar>
              <w:top w:w="0" w:type="dxa"/>
              <w:left w:w="108" w:type="dxa"/>
              <w:bottom w:w="0" w:type="dxa"/>
              <w:right w:w="108" w:type="dxa"/>
            </w:tcMar>
          </w:tcPr>
          <w:p w14:paraId="549310ED" w14:textId="77777777" w:rsidR="00860F8E" w:rsidRPr="00687E4A" w:rsidRDefault="00860F8E" w:rsidP="00EF6063">
            <w:pPr>
              <w:pStyle w:val="TableText"/>
            </w:pPr>
            <w:r w:rsidRPr="00687E4A">
              <w:t>Investigations finalised</w:t>
            </w:r>
          </w:p>
        </w:tc>
        <w:tc>
          <w:tcPr>
            <w:tcW w:w="1115" w:type="dxa"/>
            <w:tcMar>
              <w:top w:w="0" w:type="dxa"/>
              <w:left w:w="108" w:type="dxa"/>
              <w:bottom w:w="0" w:type="dxa"/>
              <w:right w:w="108" w:type="dxa"/>
            </w:tcMar>
          </w:tcPr>
          <w:p w14:paraId="28FD4504" w14:textId="77777777" w:rsidR="00860F8E" w:rsidRPr="00687E4A" w:rsidRDefault="00860F8E" w:rsidP="00EF6063">
            <w:pPr>
              <w:pStyle w:val="TableText"/>
              <w:jc w:val="right"/>
            </w:pPr>
            <w:r w:rsidRPr="00687E4A">
              <w:t>2</w:t>
            </w:r>
          </w:p>
        </w:tc>
        <w:tc>
          <w:tcPr>
            <w:tcW w:w="1115" w:type="dxa"/>
          </w:tcPr>
          <w:p w14:paraId="174D7A08" w14:textId="77777777" w:rsidR="00860F8E" w:rsidRPr="00687E4A" w:rsidRDefault="00860F8E" w:rsidP="00EF6063">
            <w:pPr>
              <w:pStyle w:val="TableText"/>
              <w:jc w:val="right"/>
            </w:pPr>
            <w:r w:rsidRPr="00687E4A">
              <w:t>3</w:t>
            </w:r>
          </w:p>
        </w:tc>
        <w:tc>
          <w:tcPr>
            <w:tcW w:w="1115" w:type="dxa"/>
          </w:tcPr>
          <w:p w14:paraId="124F34A4" w14:textId="77777777" w:rsidR="00860F8E" w:rsidRPr="00687E4A" w:rsidRDefault="00860F8E" w:rsidP="00EF6063">
            <w:pPr>
              <w:pStyle w:val="TableText"/>
              <w:jc w:val="right"/>
            </w:pPr>
            <w:r w:rsidRPr="00687E4A">
              <w:t>8</w:t>
            </w:r>
          </w:p>
        </w:tc>
        <w:tc>
          <w:tcPr>
            <w:tcW w:w="1027" w:type="dxa"/>
          </w:tcPr>
          <w:p w14:paraId="03A31FBE" w14:textId="77777777" w:rsidR="00860F8E" w:rsidRPr="00687E4A" w:rsidRDefault="00860F8E" w:rsidP="00EF6063">
            <w:pPr>
              <w:pStyle w:val="TableText"/>
              <w:jc w:val="right"/>
            </w:pPr>
            <w:r w:rsidRPr="00687E4A">
              <w:t>3</w:t>
            </w:r>
          </w:p>
        </w:tc>
        <w:tc>
          <w:tcPr>
            <w:tcW w:w="947" w:type="dxa"/>
          </w:tcPr>
          <w:p w14:paraId="24057D4A" w14:textId="77777777" w:rsidR="00860F8E" w:rsidRPr="00687E4A" w:rsidRDefault="00D5627D" w:rsidP="00EF6063">
            <w:pPr>
              <w:pStyle w:val="TableText"/>
              <w:jc w:val="right"/>
            </w:pPr>
            <w:r>
              <w:t>7</w:t>
            </w:r>
          </w:p>
        </w:tc>
      </w:tr>
      <w:tr w:rsidR="00860F8E" w:rsidRPr="00687E4A" w14:paraId="6B4031DD" w14:textId="77777777" w:rsidTr="00A86663">
        <w:tc>
          <w:tcPr>
            <w:tcW w:w="3923" w:type="dxa"/>
            <w:tcMar>
              <w:top w:w="0" w:type="dxa"/>
              <w:left w:w="108" w:type="dxa"/>
              <w:bottom w:w="0" w:type="dxa"/>
              <w:right w:w="108" w:type="dxa"/>
            </w:tcMar>
          </w:tcPr>
          <w:p w14:paraId="1486B442" w14:textId="77777777" w:rsidR="00860F8E" w:rsidRPr="00687E4A" w:rsidRDefault="00860F8E" w:rsidP="00EF6063">
            <w:pPr>
              <w:pStyle w:val="TableText"/>
            </w:pPr>
            <w:r w:rsidRPr="00687E4A">
              <w:t>Investigations ongoing at 30 June</w:t>
            </w:r>
          </w:p>
        </w:tc>
        <w:tc>
          <w:tcPr>
            <w:tcW w:w="1115" w:type="dxa"/>
            <w:tcMar>
              <w:top w:w="0" w:type="dxa"/>
              <w:left w:w="108" w:type="dxa"/>
              <w:bottom w:w="0" w:type="dxa"/>
              <w:right w:w="108" w:type="dxa"/>
            </w:tcMar>
          </w:tcPr>
          <w:p w14:paraId="0EBE0E6A" w14:textId="77777777" w:rsidR="00860F8E" w:rsidRPr="00687E4A" w:rsidRDefault="00860F8E" w:rsidP="00EF6063">
            <w:pPr>
              <w:pStyle w:val="TableText"/>
              <w:jc w:val="right"/>
            </w:pPr>
            <w:r w:rsidRPr="00687E4A">
              <w:t>0</w:t>
            </w:r>
          </w:p>
        </w:tc>
        <w:tc>
          <w:tcPr>
            <w:tcW w:w="1115" w:type="dxa"/>
          </w:tcPr>
          <w:p w14:paraId="2C3BAD99" w14:textId="77777777" w:rsidR="00860F8E" w:rsidRPr="00687E4A" w:rsidRDefault="00860F8E" w:rsidP="00EF6063">
            <w:pPr>
              <w:pStyle w:val="TableText"/>
              <w:jc w:val="right"/>
            </w:pPr>
            <w:r w:rsidRPr="00687E4A">
              <w:t>0</w:t>
            </w:r>
          </w:p>
        </w:tc>
        <w:tc>
          <w:tcPr>
            <w:tcW w:w="1115" w:type="dxa"/>
          </w:tcPr>
          <w:p w14:paraId="087F8171" w14:textId="77777777" w:rsidR="00860F8E" w:rsidRPr="00687E4A" w:rsidRDefault="00860F8E" w:rsidP="00EF6063">
            <w:pPr>
              <w:pStyle w:val="TableText"/>
              <w:jc w:val="right"/>
            </w:pPr>
            <w:r w:rsidRPr="00687E4A">
              <w:t>1</w:t>
            </w:r>
          </w:p>
        </w:tc>
        <w:tc>
          <w:tcPr>
            <w:tcW w:w="1027" w:type="dxa"/>
          </w:tcPr>
          <w:p w14:paraId="1E958663" w14:textId="77777777" w:rsidR="00860F8E" w:rsidRPr="00687E4A" w:rsidRDefault="00860F8E" w:rsidP="00EF6063">
            <w:pPr>
              <w:pStyle w:val="TableText"/>
              <w:jc w:val="right"/>
            </w:pPr>
            <w:r w:rsidRPr="00687E4A">
              <w:t>3</w:t>
            </w:r>
          </w:p>
        </w:tc>
        <w:tc>
          <w:tcPr>
            <w:tcW w:w="947" w:type="dxa"/>
          </w:tcPr>
          <w:p w14:paraId="695133E1" w14:textId="77777777" w:rsidR="00860F8E" w:rsidRPr="00687E4A" w:rsidRDefault="00860F8E" w:rsidP="00EF6063">
            <w:pPr>
              <w:pStyle w:val="TableText"/>
              <w:jc w:val="right"/>
            </w:pPr>
            <w:r w:rsidRPr="00687E4A">
              <w:t>0</w:t>
            </w:r>
          </w:p>
        </w:tc>
      </w:tr>
      <w:tr w:rsidR="00860F8E" w:rsidRPr="00687E4A" w14:paraId="75E1DD76" w14:textId="77777777" w:rsidTr="00A86663">
        <w:tc>
          <w:tcPr>
            <w:tcW w:w="3923" w:type="dxa"/>
            <w:tcMar>
              <w:top w:w="0" w:type="dxa"/>
              <w:left w:w="108" w:type="dxa"/>
              <w:bottom w:w="0" w:type="dxa"/>
              <w:right w:w="108" w:type="dxa"/>
            </w:tcMar>
            <w:hideMark/>
          </w:tcPr>
          <w:p w14:paraId="18C5DBD5" w14:textId="77777777" w:rsidR="00860F8E" w:rsidRPr="00687E4A" w:rsidRDefault="00860F8E" w:rsidP="00EF6063">
            <w:pPr>
              <w:pStyle w:val="TableText"/>
            </w:pPr>
            <w:r w:rsidRPr="00687E4A">
              <w:t>Employees who breached the Code of Conduct</w:t>
            </w:r>
          </w:p>
        </w:tc>
        <w:tc>
          <w:tcPr>
            <w:tcW w:w="1115" w:type="dxa"/>
            <w:tcMar>
              <w:top w:w="0" w:type="dxa"/>
              <w:left w:w="108" w:type="dxa"/>
              <w:bottom w:w="0" w:type="dxa"/>
              <w:right w:w="108" w:type="dxa"/>
            </w:tcMar>
          </w:tcPr>
          <w:p w14:paraId="798F2742" w14:textId="77777777" w:rsidR="00860F8E" w:rsidRPr="00687E4A" w:rsidRDefault="00860F8E" w:rsidP="00EF6063">
            <w:pPr>
              <w:pStyle w:val="TableText"/>
              <w:jc w:val="right"/>
            </w:pPr>
            <w:r w:rsidRPr="00687E4A">
              <w:t>2</w:t>
            </w:r>
          </w:p>
        </w:tc>
        <w:tc>
          <w:tcPr>
            <w:tcW w:w="1115" w:type="dxa"/>
          </w:tcPr>
          <w:p w14:paraId="03E2079D" w14:textId="77777777" w:rsidR="00860F8E" w:rsidRPr="00687E4A" w:rsidRDefault="00860F8E" w:rsidP="00EF6063">
            <w:pPr>
              <w:pStyle w:val="TableText"/>
              <w:jc w:val="right"/>
            </w:pPr>
            <w:r w:rsidRPr="00687E4A">
              <w:t>2</w:t>
            </w:r>
          </w:p>
        </w:tc>
        <w:tc>
          <w:tcPr>
            <w:tcW w:w="1115" w:type="dxa"/>
          </w:tcPr>
          <w:p w14:paraId="114AD699" w14:textId="77777777" w:rsidR="00860F8E" w:rsidRPr="00687E4A" w:rsidRDefault="00860F8E" w:rsidP="00EF6063">
            <w:pPr>
              <w:pStyle w:val="TableText"/>
              <w:jc w:val="right"/>
            </w:pPr>
            <w:r w:rsidRPr="00687E4A">
              <w:t>3</w:t>
            </w:r>
          </w:p>
        </w:tc>
        <w:tc>
          <w:tcPr>
            <w:tcW w:w="1027" w:type="dxa"/>
          </w:tcPr>
          <w:p w14:paraId="7F1766C6" w14:textId="77777777" w:rsidR="00860F8E" w:rsidRPr="00687E4A" w:rsidRDefault="00860F8E" w:rsidP="00EF6063">
            <w:pPr>
              <w:pStyle w:val="TableText"/>
              <w:jc w:val="right"/>
            </w:pPr>
            <w:r w:rsidRPr="00687E4A">
              <w:t>0</w:t>
            </w:r>
          </w:p>
        </w:tc>
        <w:tc>
          <w:tcPr>
            <w:tcW w:w="947" w:type="dxa"/>
          </w:tcPr>
          <w:p w14:paraId="3FCEA6CD" w14:textId="77777777" w:rsidR="00860F8E" w:rsidRPr="00687E4A" w:rsidRDefault="00860F8E" w:rsidP="00EF6063">
            <w:pPr>
              <w:pStyle w:val="TableText"/>
              <w:jc w:val="right"/>
            </w:pPr>
            <w:r w:rsidRPr="00687E4A">
              <w:t>6</w:t>
            </w:r>
          </w:p>
        </w:tc>
      </w:tr>
      <w:tr w:rsidR="00860F8E" w:rsidRPr="00687E4A" w14:paraId="14005022" w14:textId="77777777" w:rsidTr="00A86663">
        <w:tc>
          <w:tcPr>
            <w:tcW w:w="3923" w:type="dxa"/>
            <w:tcMar>
              <w:top w:w="0" w:type="dxa"/>
              <w:left w:w="108" w:type="dxa"/>
              <w:bottom w:w="0" w:type="dxa"/>
              <w:right w:w="108" w:type="dxa"/>
            </w:tcMar>
            <w:hideMark/>
          </w:tcPr>
          <w:p w14:paraId="74F9F3A5" w14:textId="77777777" w:rsidR="00860F8E" w:rsidRPr="00687E4A" w:rsidRDefault="00860F8E" w:rsidP="00EF6063">
            <w:pPr>
              <w:pStyle w:val="TableText"/>
            </w:pPr>
            <w:r w:rsidRPr="00687E4A">
              <w:t xml:space="preserve">Non-financial sanctions </w:t>
            </w:r>
          </w:p>
        </w:tc>
        <w:tc>
          <w:tcPr>
            <w:tcW w:w="1115" w:type="dxa"/>
            <w:tcMar>
              <w:top w:w="0" w:type="dxa"/>
              <w:left w:w="108" w:type="dxa"/>
              <w:bottom w:w="0" w:type="dxa"/>
              <w:right w:w="108" w:type="dxa"/>
            </w:tcMar>
          </w:tcPr>
          <w:p w14:paraId="340503D8" w14:textId="77777777" w:rsidR="00860F8E" w:rsidRPr="00687E4A" w:rsidRDefault="00860F8E" w:rsidP="00EF6063">
            <w:pPr>
              <w:pStyle w:val="TableText"/>
              <w:jc w:val="right"/>
            </w:pPr>
            <w:r w:rsidRPr="00687E4A">
              <w:t>2</w:t>
            </w:r>
          </w:p>
        </w:tc>
        <w:tc>
          <w:tcPr>
            <w:tcW w:w="1115" w:type="dxa"/>
          </w:tcPr>
          <w:p w14:paraId="3F713588" w14:textId="77777777" w:rsidR="00860F8E" w:rsidRPr="00687E4A" w:rsidRDefault="00860F8E" w:rsidP="00EF6063">
            <w:pPr>
              <w:pStyle w:val="TableText"/>
              <w:jc w:val="right"/>
            </w:pPr>
            <w:r w:rsidRPr="00687E4A">
              <w:t>1</w:t>
            </w:r>
          </w:p>
        </w:tc>
        <w:tc>
          <w:tcPr>
            <w:tcW w:w="1115" w:type="dxa"/>
          </w:tcPr>
          <w:p w14:paraId="751F87DB" w14:textId="77777777" w:rsidR="00860F8E" w:rsidRPr="00687E4A" w:rsidRDefault="00860F8E" w:rsidP="00EF6063">
            <w:pPr>
              <w:pStyle w:val="TableText"/>
              <w:jc w:val="right"/>
            </w:pPr>
            <w:r w:rsidRPr="00687E4A">
              <w:t>3</w:t>
            </w:r>
          </w:p>
        </w:tc>
        <w:tc>
          <w:tcPr>
            <w:tcW w:w="1027" w:type="dxa"/>
          </w:tcPr>
          <w:p w14:paraId="55ABDA83" w14:textId="77777777" w:rsidR="00860F8E" w:rsidRPr="00687E4A" w:rsidRDefault="00860F8E" w:rsidP="00EF6063">
            <w:pPr>
              <w:pStyle w:val="TableText"/>
              <w:jc w:val="right"/>
            </w:pPr>
            <w:r w:rsidRPr="00687E4A">
              <w:t>0</w:t>
            </w:r>
          </w:p>
        </w:tc>
        <w:tc>
          <w:tcPr>
            <w:tcW w:w="947" w:type="dxa"/>
          </w:tcPr>
          <w:p w14:paraId="3CEABA78" w14:textId="77777777" w:rsidR="00860F8E" w:rsidRPr="00687E4A" w:rsidRDefault="00860F8E" w:rsidP="00EF6063">
            <w:pPr>
              <w:pStyle w:val="TableText"/>
              <w:jc w:val="right"/>
            </w:pPr>
            <w:r w:rsidRPr="00687E4A">
              <w:t>1</w:t>
            </w:r>
          </w:p>
        </w:tc>
      </w:tr>
      <w:tr w:rsidR="00860F8E" w:rsidRPr="00687E4A" w14:paraId="562759F2" w14:textId="77777777" w:rsidTr="00A86663">
        <w:tc>
          <w:tcPr>
            <w:tcW w:w="3923" w:type="dxa"/>
            <w:tcMar>
              <w:top w:w="0" w:type="dxa"/>
              <w:left w:w="108" w:type="dxa"/>
              <w:bottom w:w="0" w:type="dxa"/>
              <w:right w:w="108" w:type="dxa"/>
            </w:tcMar>
            <w:hideMark/>
          </w:tcPr>
          <w:p w14:paraId="6B0EE737" w14:textId="77777777" w:rsidR="00860F8E" w:rsidRPr="00687E4A" w:rsidRDefault="00860F8E" w:rsidP="00EF6063">
            <w:pPr>
              <w:pStyle w:val="TableText"/>
            </w:pPr>
            <w:r w:rsidRPr="00687E4A">
              <w:t>Terminations</w:t>
            </w:r>
          </w:p>
        </w:tc>
        <w:tc>
          <w:tcPr>
            <w:tcW w:w="1115" w:type="dxa"/>
            <w:tcMar>
              <w:top w:w="0" w:type="dxa"/>
              <w:left w:w="108" w:type="dxa"/>
              <w:bottom w:w="0" w:type="dxa"/>
              <w:right w:w="108" w:type="dxa"/>
            </w:tcMar>
          </w:tcPr>
          <w:p w14:paraId="35C91208" w14:textId="77777777" w:rsidR="00860F8E" w:rsidRPr="00687E4A" w:rsidRDefault="00860F8E" w:rsidP="00EF6063">
            <w:pPr>
              <w:pStyle w:val="TableText"/>
              <w:jc w:val="right"/>
            </w:pPr>
            <w:r w:rsidRPr="00687E4A">
              <w:t>1</w:t>
            </w:r>
          </w:p>
        </w:tc>
        <w:tc>
          <w:tcPr>
            <w:tcW w:w="1115" w:type="dxa"/>
          </w:tcPr>
          <w:p w14:paraId="7DC589DB" w14:textId="77777777" w:rsidR="00860F8E" w:rsidRPr="00687E4A" w:rsidRDefault="00860F8E" w:rsidP="00EF6063">
            <w:pPr>
              <w:pStyle w:val="TableText"/>
              <w:jc w:val="right"/>
            </w:pPr>
            <w:r w:rsidRPr="00687E4A">
              <w:t>0</w:t>
            </w:r>
          </w:p>
        </w:tc>
        <w:tc>
          <w:tcPr>
            <w:tcW w:w="1115" w:type="dxa"/>
          </w:tcPr>
          <w:p w14:paraId="1E46854E" w14:textId="77777777" w:rsidR="00860F8E" w:rsidRPr="00687E4A" w:rsidRDefault="00860F8E" w:rsidP="00EF6063">
            <w:pPr>
              <w:pStyle w:val="TableText"/>
              <w:jc w:val="right"/>
            </w:pPr>
            <w:r w:rsidRPr="00687E4A">
              <w:t>0</w:t>
            </w:r>
          </w:p>
        </w:tc>
        <w:tc>
          <w:tcPr>
            <w:tcW w:w="1027" w:type="dxa"/>
          </w:tcPr>
          <w:p w14:paraId="1274C6CC" w14:textId="77777777" w:rsidR="00860F8E" w:rsidRPr="00687E4A" w:rsidRDefault="00860F8E" w:rsidP="00EF6063">
            <w:pPr>
              <w:pStyle w:val="TableText"/>
              <w:jc w:val="right"/>
            </w:pPr>
            <w:r w:rsidRPr="00687E4A">
              <w:t>0</w:t>
            </w:r>
          </w:p>
        </w:tc>
        <w:tc>
          <w:tcPr>
            <w:tcW w:w="947" w:type="dxa"/>
          </w:tcPr>
          <w:p w14:paraId="24FB4233" w14:textId="77777777" w:rsidR="00860F8E" w:rsidRPr="00687E4A" w:rsidRDefault="00860F8E" w:rsidP="00EF6063">
            <w:pPr>
              <w:pStyle w:val="TableText"/>
              <w:jc w:val="right"/>
            </w:pPr>
            <w:r w:rsidRPr="00687E4A">
              <w:t>4</w:t>
            </w:r>
          </w:p>
        </w:tc>
      </w:tr>
      <w:tr w:rsidR="00860F8E" w:rsidRPr="00687E4A" w14:paraId="4B75D069" w14:textId="77777777" w:rsidTr="00A86663">
        <w:tc>
          <w:tcPr>
            <w:tcW w:w="3923" w:type="dxa"/>
            <w:tcMar>
              <w:top w:w="0" w:type="dxa"/>
              <w:left w:w="108" w:type="dxa"/>
              <w:bottom w:w="0" w:type="dxa"/>
              <w:right w:w="108" w:type="dxa"/>
            </w:tcMar>
          </w:tcPr>
          <w:p w14:paraId="3EB27454" w14:textId="77777777" w:rsidR="00860F8E" w:rsidRPr="00687E4A" w:rsidRDefault="00860F8E" w:rsidP="00EF6063">
            <w:pPr>
              <w:pStyle w:val="TableText"/>
            </w:pPr>
            <w:r w:rsidRPr="00687E4A">
              <w:t>Financial sanctions</w:t>
            </w:r>
          </w:p>
        </w:tc>
        <w:tc>
          <w:tcPr>
            <w:tcW w:w="1115" w:type="dxa"/>
            <w:tcMar>
              <w:top w:w="0" w:type="dxa"/>
              <w:left w:w="108" w:type="dxa"/>
              <w:bottom w:w="0" w:type="dxa"/>
              <w:right w:w="108" w:type="dxa"/>
            </w:tcMar>
          </w:tcPr>
          <w:p w14:paraId="5F258511" w14:textId="77777777" w:rsidR="00860F8E" w:rsidRPr="00687E4A" w:rsidRDefault="00860F8E" w:rsidP="00EF6063">
            <w:pPr>
              <w:pStyle w:val="TableText"/>
              <w:jc w:val="right"/>
            </w:pPr>
            <w:r w:rsidRPr="00687E4A">
              <w:t>1</w:t>
            </w:r>
          </w:p>
        </w:tc>
        <w:tc>
          <w:tcPr>
            <w:tcW w:w="1115" w:type="dxa"/>
          </w:tcPr>
          <w:p w14:paraId="3D6ED31D" w14:textId="77777777" w:rsidR="00860F8E" w:rsidRPr="00687E4A" w:rsidRDefault="00860F8E" w:rsidP="00EF6063">
            <w:pPr>
              <w:pStyle w:val="TableText"/>
              <w:jc w:val="right"/>
            </w:pPr>
            <w:r w:rsidRPr="00687E4A">
              <w:t>0</w:t>
            </w:r>
          </w:p>
        </w:tc>
        <w:tc>
          <w:tcPr>
            <w:tcW w:w="1115" w:type="dxa"/>
          </w:tcPr>
          <w:p w14:paraId="5FA5D5A0" w14:textId="77777777" w:rsidR="00860F8E" w:rsidRPr="00687E4A" w:rsidRDefault="00860F8E" w:rsidP="00EF6063">
            <w:pPr>
              <w:pStyle w:val="TableText"/>
              <w:jc w:val="right"/>
            </w:pPr>
            <w:r w:rsidRPr="00687E4A">
              <w:t>0</w:t>
            </w:r>
          </w:p>
        </w:tc>
        <w:tc>
          <w:tcPr>
            <w:tcW w:w="1027" w:type="dxa"/>
          </w:tcPr>
          <w:p w14:paraId="78015003" w14:textId="77777777" w:rsidR="00860F8E" w:rsidRPr="00687E4A" w:rsidRDefault="00860F8E" w:rsidP="00EF6063">
            <w:pPr>
              <w:pStyle w:val="TableText"/>
              <w:jc w:val="right"/>
            </w:pPr>
            <w:r w:rsidRPr="00687E4A">
              <w:t>0</w:t>
            </w:r>
          </w:p>
        </w:tc>
        <w:tc>
          <w:tcPr>
            <w:tcW w:w="947" w:type="dxa"/>
          </w:tcPr>
          <w:p w14:paraId="65676AB7" w14:textId="77777777" w:rsidR="00860F8E" w:rsidRPr="00687E4A" w:rsidRDefault="00860F8E" w:rsidP="00EF6063">
            <w:pPr>
              <w:pStyle w:val="TableText"/>
              <w:jc w:val="right"/>
            </w:pPr>
            <w:r w:rsidRPr="00687E4A">
              <w:t>1</w:t>
            </w:r>
          </w:p>
        </w:tc>
      </w:tr>
    </w:tbl>
    <w:p w14:paraId="01C9357F" w14:textId="77777777" w:rsidR="00860F8E" w:rsidRPr="00687E4A" w:rsidRDefault="00860F8E" w:rsidP="00860F8E">
      <w:pPr>
        <w:spacing w:before="60"/>
        <w:rPr>
          <w:rFonts w:ascii="Arial Narrow" w:hAnsi="Arial Narrow"/>
          <w:sz w:val="16"/>
          <w:szCs w:val="16"/>
        </w:rPr>
      </w:pPr>
      <w:r w:rsidRPr="00687E4A">
        <w:rPr>
          <w:rFonts w:ascii="Arial Narrow" w:hAnsi="Arial Narrow"/>
          <w:b/>
          <w:sz w:val="16"/>
        </w:rPr>
        <w:t>Note</w:t>
      </w:r>
      <w:r w:rsidRPr="00687E4A">
        <w:rPr>
          <w:rFonts w:ascii="Arial Narrow" w:hAnsi="Arial Narrow"/>
          <w:sz w:val="16"/>
        </w:rPr>
        <w:t xml:space="preserve">: </w:t>
      </w:r>
      <w:r w:rsidRPr="00687E4A">
        <w:rPr>
          <w:rFonts w:ascii="Arial Narrow" w:hAnsi="Arial Narrow"/>
          <w:sz w:val="16"/>
          <w:szCs w:val="16"/>
        </w:rPr>
        <w:t xml:space="preserve">One investigation was carried over from the 2015–16 reporting period into 2016–17 and one from </w:t>
      </w:r>
      <w:r>
        <w:rPr>
          <w:rFonts w:ascii="Arial Narrow" w:hAnsi="Arial Narrow"/>
          <w:sz w:val="16"/>
          <w:szCs w:val="16"/>
        </w:rPr>
        <w:t xml:space="preserve">the </w:t>
      </w:r>
      <w:r w:rsidRPr="00687E4A">
        <w:rPr>
          <w:rFonts w:ascii="Arial Narrow" w:hAnsi="Arial Narrow"/>
          <w:sz w:val="16"/>
          <w:szCs w:val="16"/>
        </w:rPr>
        <w:t>2016–17 reporting period into 2017–18.</w:t>
      </w:r>
    </w:p>
    <w:bookmarkEnd w:id="62"/>
    <w:p w14:paraId="1F160B73" w14:textId="77777777" w:rsidR="00860F8E" w:rsidRPr="00687E4A" w:rsidRDefault="00860F8E" w:rsidP="00860F8E">
      <w:pPr>
        <w:pStyle w:val="Heading2noTOC"/>
        <w:rPr>
          <w:lang w:val="en-GB"/>
        </w:rPr>
      </w:pPr>
      <w:r w:rsidRPr="00687E4A">
        <w:rPr>
          <w:lang w:val="en-GB"/>
        </w:rPr>
        <w:t xml:space="preserve">Conflict of interest </w:t>
      </w:r>
    </w:p>
    <w:p w14:paraId="2BC20B1B" w14:textId="77777777" w:rsidR="00860F8E" w:rsidRPr="00687E4A" w:rsidRDefault="00860F8E" w:rsidP="00860F8E">
      <w:pPr>
        <w:pStyle w:val="Heading3"/>
        <w:rPr>
          <w:lang w:val="en-GB"/>
        </w:rPr>
      </w:pPr>
      <w:r w:rsidRPr="00687E4A">
        <w:rPr>
          <w:lang w:val="en-GB"/>
        </w:rPr>
        <w:t>Board members</w:t>
      </w:r>
    </w:p>
    <w:p w14:paraId="4E30CA7F" w14:textId="77777777" w:rsidR="00860F8E" w:rsidRPr="00687E4A" w:rsidRDefault="00860F8E" w:rsidP="00860F8E">
      <w:r w:rsidRPr="00687E4A">
        <w:t>Section 58 of the Civil Aviation Act provides that a Board member must not engage in any paid employment that, in the opinion of the Minister, conflicts with the proper performance of their duties as a member of CASA’s Board. Similarly, section 78 provides that the Director of Aviation Safety must not engage in any paid employment outside the duties of their office except with the Board’s approval.</w:t>
      </w:r>
    </w:p>
    <w:p w14:paraId="40D5531D" w14:textId="77777777" w:rsidR="00860F8E" w:rsidRPr="00687E4A" w:rsidRDefault="00860F8E" w:rsidP="00860F8E">
      <w:r w:rsidRPr="00687E4A">
        <w:t xml:space="preserve">The PGPA Act and the Public Governance, Performance and Accountability Rule 2014 provide that a Board member who has a material personal interest in a matter that relates to the affairs of CASA must disclose details of the interest to each of the other Board members. The notice must include details of the nature and extent of the Board member’s interest and how the interest relates to CASA’s affairs. Disclosures must be made at a Board meeting, as soon as practicable after the Board member becomes aware of the interest or, if there is a change in the nature or extent of the interest, as soon as practicable after the Board member becomes aware of that change. The details of the notice given are recorded in the minutes of the next Board meeting. </w:t>
      </w:r>
    </w:p>
    <w:p w14:paraId="52E2455E" w14:textId="77777777" w:rsidR="00860F8E" w:rsidRPr="00687E4A" w:rsidRDefault="00860F8E" w:rsidP="00860F8E">
      <w:pPr>
        <w:rPr>
          <w:szCs w:val="24"/>
        </w:rPr>
      </w:pPr>
      <w:r w:rsidRPr="00687E4A">
        <w:t xml:space="preserve">Disclosures of airline lounge memberships are included in a Board Member’s Standing Notice of Material Personal Interest, and the Board Secretary maintains a register of all information (records) concerning conflict of interest, hospitality and gifts. </w:t>
      </w:r>
    </w:p>
    <w:p w14:paraId="4D8C0C14" w14:textId="77777777" w:rsidR="00860F8E" w:rsidRPr="00687E4A" w:rsidRDefault="00860F8E" w:rsidP="00860F8E">
      <w:pPr>
        <w:pStyle w:val="Heading3"/>
        <w:rPr>
          <w:lang w:val="en-GB"/>
        </w:rPr>
      </w:pPr>
      <w:r w:rsidRPr="00687E4A">
        <w:rPr>
          <w:lang w:val="en-GB"/>
        </w:rPr>
        <w:t>Employees</w:t>
      </w:r>
    </w:p>
    <w:p w14:paraId="10B82872" w14:textId="77777777" w:rsidR="00860F8E" w:rsidRPr="00687E4A" w:rsidRDefault="00860F8E" w:rsidP="00860F8E">
      <w:r w:rsidRPr="00687E4A">
        <w:t>CASA’s conflict of interest policy and procedures ensure that the knowledge and experience of the aviation industry brought to CASA by an employee do not improperly influence the employee’s performance of their duties and responsibilities. All employees complete a brief online training package which reminds them of key elements of CASA’s conflict of interest policy.</w:t>
      </w:r>
    </w:p>
    <w:p w14:paraId="03F45457" w14:textId="77777777" w:rsidR="00860F8E" w:rsidRPr="00687E4A" w:rsidRDefault="00860F8E" w:rsidP="00860F8E">
      <w:r w:rsidRPr="00687E4A">
        <w:t xml:space="preserve">Every employee must complete conflict of interest declaration forms at various times during the course of their employment, including on commencement, </w:t>
      </w:r>
      <w:r>
        <w:t xml:space="preserve">and </w:t>
      </w:r>
      <w:r w:rsidRPr="00687E4A">
        <w:t xml:space="preserve">following a change of circumstance such as change of position. These declarations require disclosure of a range of matters that could potentially give rise to a conflict of interest. </w:t>
      </w:r>
      <w:r w:rsidRPr="00687E4A">
        <w:lastRenderedPageBreak/>
        <w:t>Disclosures are assessed in terms of actual, potential and perceived risk of conflict. A mitigation strategy is established for any conflicts identified, and reviewed and endorsed by the employee’s manager.</w:t>
      </w:r>
    </w:p>
    <w:p w14:paraId="4F54468D" w14:textId="77777777" w:rsidR="00860F8E" w:rsidRPr="00687E4A" w:rsidRDefault="00860F8E" w:rsidP="00860F8E">
      <w:r w:rsidRPr="00687E4A">
        <w:t>All conflict of interest management plans and associated declarations are reviewed by the Legal and Regulatory Affairs Division to ensure that the proposed strategies adequately address the risks and CASA maintains a consistent approach to the management of conflicts of interest.</w:t>
      </w:r>
    </w:p>
    <w:p w14:paraId="6F236ADB" w14:textId="77777777" w:rsidR="00860F8E" w:rsidRPr="00687E4A" w:rsidRDefault="00860F8E" w:rsidP="00860F8E">
      <w:pPr>
        <w:pStyle w:val="Heading2noTOC"/>
        <w:rPr>
          <w:lang w:val="en-GB"/>
        </w:rPr>
      </w:pPr>
      <w:r w:rsidRPr="00687E4A">
        <w:rPr>
          <w:lang w:val="en-GB"/>
        </w:rPr>
        <w:t>Fraud control</w:t>
      </w:r>
    </w:p>
    <w:p w14:paraId="3CC75962" w14:textId="77777777" w:rsidR="00860F8E" w:rsidRPr="00687E4A" w:rsidRDefault="00860F8E" w:rsidP="00860F8E">
      <w:r w:rsidRPr="00687E4A">
        <w:t xml:space="preserve">All CASA employees have completed online training on fraud, and new employees must complete the training within three months of commencing their employment. CASA’s Fraud Control Plan 2018–2020 was endorsed by the Board Audit Committee on an interim basis, pending extension of the </w:t>
      </w:r>
      <w:r>
        <w:t>p</w:t>
      </w:r>
      <w:r w:rsidRPr="00687E4A">
        <w:t xml:space="preserve">lan to sharpen its focus on broader integrity-related considerations. In its current form, the </w:t>
      </w:r>
      <w:r>
        <w:t>p</w:t>
      </w:r>
      <w:r w:rsidRPr="00687E4A">
        <w:t xml:space="preserve">lan is aligned with the Australian Government Fraud Control Framework. </w:t>
      </w:r>
    </w:p>
    <w:p w14:paraId="46BCC7F6" w14:textId="77777777" w:rsidR="00860F8E" w:rsidRPr="006C0823" w:rsidRDefault="00860F8E" w:rsidP="00860F8E">
      <w:r w:rsidRPr="00687E4A">
        <w:t>CASA did not investigate any matters of alleged internal fraud in 2017–18. A small number of minor irregularities in the use of CASA corporate travel cards were identified and reviewed and staff members were reminded of their obligations in relation to the use of the cards they hold. No fraud-related matters were referred to the Commonwealth Director of Public Prosecutions.</w:t>
      </w:r>
    </w:p>
    <w:p w14:paraId="53500D85" w14:textId="77777777" w:rsidR="00860F8E" w:rsidRPr="006C0823" w:rsidRDefault="00860F8E" w:rsidP="00860F8E">
      <w:pPr>
        <w:pStyle w:val="Heading1"/>
        <w:sectPr w:rsidR="00860F8E" w:rsidRPr="006C0823" w:rsidSect="001F77E0">
          <w:headerReference w:type="even" r:id="rId29"/>
          <w:headerReference w:type="default" r:id="rId30"/>
          <w:footerReference w:type="even" r:id="rId31"/>
          <w:footerReference w:type="default" r:id="rId32"/>
          <w:pgSz w:w="11906" w:h="16838" w:code="9"/>
          <w:pgMar w:top="1440" w:right="1440" w:bottom="1440" w:left="1440" w:header="709" w:footer="709" w:gutter="0"/>
          <w:cols w:space="708"/>
          <w:docGrid w:linePitch="360"/>
        </w:sectPr>
      </w:pPr>
      <w:bookmarkStart w:id="63" w:name="_Toc267485857"/>
      <w:bookmarkEnd w:id="58"/>
      <w:bookmarkEnd w:id="59"/>
      <w:bookmarkEnd w:id="60"/>
    </w:p>
    <w:p w14:paraId="41238966" w14:textId="77777777" w:rsidR="00860F8E" w:rsidRPr="00053FD1" w:rsidRDefault="00860F8E" w:rsidP="00860F8E">
      <w:pPr>
        <w:pStyle w:val="Heading1"/>
        <w:rPr>
          <w:lang w:val="en-GB"/>
        </w:rPr>
      </w:pPr>
      <w:bookmarkStart w:id="64" w:name="_Toc267485865"/>
      <w:bookmarkStart w:id="65" w:name="_Toc268006401"/>
      <w:bookmarkStart w:id="66" w:name="_Toc522537157"/>
      <w:bookmarkStart w:id="67" w:name="_Toc523924883"/>
      <w:bookmarkEnd w:id="63"/>
      <w:r w:rsidRPr="00053FD1">
        <w:rPr>
          <w:lang w:val="en-GB"/>
        </w:rPr>
        <w:lastRenderedPageBreak/>
        <w:t>People management</w:t>
      </w:r>
      <w:bookmarkEnd w:id="64"/>
      <w:bookmarkEnd w:id="65"/>
      <w:bookmarkEnd w:id="66"/>
      <w:bookmarkEnd w:id="67"/>
    </w:p>
    <w:p w14:paraId="0B5ADEFB" w14:textId="77777777" w:rsidR="00860F8E" w:rsidRPr="00053FD1" w:rsidRDefault="00860F8E" w:rsidP="00860F8E">
      <w:pPr>
        <w:rPr>
          <w:szCs w:val="24"/>
        </w:rPr>
      </w:pPr>
      <w:bookmarkStart w:id="68" w:name="_Toc267485866"/>
      <w:bookmarkStart w:id="69" w:name="_Toc267471738"/>
      <w:r w:rsidRPr="00053FD1">
        <w:t xml:space="preserve">CASA undertakes a wide range of activities to support and develop its workforce and workplace culture to assist CASA </w:t>
      </w:r>
      <w:r>
        <w:t xml:space="preserve">to </w:t>
      </w:r>
      <w:r w:rsidRPr="00053FD1">
        <w:t>achieve its corporate goals.</w:t>
      </w:r>
    </w:p>
    <w:p w14:paraId="3828FD41" w14:textId="77777777" w:rsidR="00860F8E" w:rsidRPr="00053FD1" w:rsidRDefault="00860F8E" w:rsidP="00860F8E">
      <w:pPr>
        <w:pStyle w:val="Heading2"/>
        <w:rPr>
          <w:lang w:val="en-GB"/>
        </w:rPr>
      </w:pPr>
      <w:r w:rsidRPr="00053FD1">
        <w:rPr>
          <w:lang w:val="en-GB"/>
        </w:rPr>
        <w:t>Staffing</w:t>
      </w:r>
    </w:p>
    <w:p w14:paraId="178877B0" w14:textId="77777777" w:rsidR="00860F8E" w:rsidRPr="006C0823" w:rsidRDefault="00860F8E" w:rsidP="00860F8E">
      <w:bookmarkStart w:id="70" w:name="OLE_LINK24"/>
      <w:r w:rsidRPr="00053FD1">
        <w:t>On 30 June 2018, CASA had 832 employees, includ</w:t>
      </w:r>
      <w:r>
        <w:t>ing</w:t>
      </w:r>
      <w:r w:rsidRPr="00053FD1">
        <w:t xml:space="preserve"> 63 temporary staff and 18 inoperative staff – that is</w:t>
      </w:r>
      <w:r>
        <w:t>, staff</w:t>
      </w:r>
      <w:r w:rsidRPr="00053FD1">
        <w:t xml:space="preserve"> on long-term leave for maternity or paternity reasons or staff on unpaid leave.</w:t>
      </w:r>
    </w:p>
    <w:p w14:paraId="696462F1" w14:textId="750A2F3A" w:rsidR="00860F8E" w:rsidRPr="006C0823" w:rsidRDefault="00860F8E" w:rsidP="00860F8E">
      <w:pPr>
        <w:rPr>
          <w:rFonts w:cs="Geometric415BT-LiteA"/>
          <w:color w:val="000000"/>
          <w:szCs w:val="24"/>
        </w:rPr>
      </w:pPr>
      <w:r w:rsidRPr="006C0823">
        <w:rPr>
          <w:rFonts w:cs="Geometric415BT-LiteA"/>
          <w:color w:val="000000"/>
          <w:szCs w:val="24"/>
        </w:rPr>
        <w:t>Tables B.1 to B.4 show details of employee numbers by classification and location, gender and age group.</w:t>
      </w:r>
    </w:p>
    <w:p w14:paraId="4B34A6BE" w14:textId="77777777" w:rsidR="00860F8E" w:rsidRPr="006C0823" w:rsidRDefault="00860F8E" w:rsidP="00860F8E">
      <w:pPr>
        <w:rPr>
          <w:b/>
          <w:szCs w:val="24"/>
        </w:rPr>
      </w:pPr>
      <w:r w:rsidRPr="006C0823">
        <w:rPr>
          <w:szCs w:val="24"/>
        </w:rPr>
        <w:t xml:space="preserve">Figure </w:t>
      </w:r>
      <w:r>
        <w:rPr>
          <w:szCs w:val="24"/>
        </w:rPr>
        <w:t>10</w:t>
      </w:r>
      <w:r w:rsidRPr="006C0823">
        <w:rPr>
          <w:szCs w:val="24"/>
        </w:rPr>
        <w:t xml:space="preserve"> shows the breakdown of employees into CASA’s main work areas.</w:t>
      </w:r>
    </w:p>
    <w:p w14:paraId="3DEDB624" w14:textId="77777777" w:rsidR="00860F8E" w:rsidRPr="00320266" w:rsidRDefault="00860F8E" w:rsidP="00320266">
      <w:pPr>
        <w:pStyle w:val="FigureName"/>
      </w:pPr>
      <w:bookmarkStart w:id="71" w:name="_Toc365737723"/>
      <w:bookmarkStart w:id="72" w:name="_Toc365794476"/>
      <w:r w:rsidRPr="00320266">
        <w:t>Figure 10</w:t>
      </w:r>
      <w:r w:rsidRPr="00320266">
        <w:tab/>
        <w:t xml:space="preserve">Proportion of employees across CASA’s organisational structure at 30 June </w:t>
      </w:r>
      <w:bookmarkEnd w:id="71"/>
      <w:bookmarkEnd w:id="72"/>
      <w:r w:rsidRPr="00320266">
        <w:t>2018</w:t>
      </w:r>
    </w:p>
    <w:p w14:paraId="5E1E7F1A" w14:textId="77777777" w:rsidR="006076CF" w:rsidRPr="00450B11" w:rsidRDefault="006076CF" w:rsidP="006076CF">
      <w:r w:rsidRPr="00450B11">
        <w:t>Content under this heading has been removed in this version to meet accessibility standards.</w:t>
      </w:r>
    </w:p>
    <w:p w14:paraId="4C4E0180" w14:textId="77777777" w:rsidR="00860F8E" w:rsidRPr="00053FD1" w:rsidRDefault="00860F8E" w:rsidP="00860F8E">
      <w:pPr>
        <w:pStyle w:val="Heading3"/>
        <w:rPr>
          <w:lang w:val="en-GB"/>
        </w:rPr>
      </w:pPr>
      <w:r w:rsidRPr="00053FD1">
        <w:rPr>
          <w:lang w:val="en-GB"/>
        </w:rPr>
        <w:t>Unplanned absences</w:t>
      </w:r>
    </w:p>
    <w:p w14:paraId="679C7AEB" w14:textId="77777777" w:rsidR="00860F8E" w:rsidRPr="00053FD1" w:rsidRDefault="00860F8E" w:rsidP="00860F8E">
      <w:pPr>
        <w:spacing w:before="200" w:after="90"/>
        <w:outlineLvl w:val="2"/>
        <w:rPr>
          <w:rFonts w:cs="Geometric415BT-LiteA"/>
          <w:bCs/>
        </w:rPr>
      </w:pPr>
      <w:r w:rsidRPr="00053FD1">
        <w:rPr>
          <w:rFonts w:cs="Geometric415BT-LiteA"/>
          <w:bCs/>
        </w:rPr>
        <w:t>In 2017–18, CASA employees used an average of 11.3 days of unscheduled leave per full</w:t>
      </w:r>
      <w:r>
        <w:rPr>
          <w:rFonts w:cs="Geometric415BT-LiteA"/>
          <w:bCs/>
        </w:rPr>
        <w:t>-</w:t>
      </w:r>
      <w:r w:rsidRPr="00053FD1">
        <w:rPr>
          <w:rFonts w:cs="Geometric415BT-LiteA"/>
          <w:bCs/>
        </w:rPr>
        <w:t xml:space="preserve">time employee. Most absences were taken as sick leave (74 per cent) or carers leave (20 per cent). This is on par with the APS average, as shown in </w:t>
      </w:r>
      <w:r>
        <w:rPr>
          <w:rFonts w:cs="Geometric415BT-LiteA"/>
          <w:bCs/>
        </w:rPr>
        <w:t>T</w:t>
      </w:r>
      <w:r w:rsidRPr="00053FD1">
        <w:rPr>
          <w:rFonts w:cs="Geometric415BT-LiteA"/>
          <w:bCs/>
        </w:rPr>
        <w:t xml:space="preserve">able </w:t>
      </w:r>
      <w:r w:rsidR="0050220E">
        <w:rPr>
          <w:rFonts w:cs="Geometric415BT-LiteA"/>
          <w:bCs/>
        </w:rPr>
        <w:t>8</w:t>
      </w:r>
      <w:r w:rsidRPr="00053FD1">
        <w:rPr>
          <w:rFonts w:cs="Geometric415BT-LiteA"/>
          <w:bCs/>
        </w:rPr>
        <w:t>.</w:t>
      </w:r>
    </w:p>
    <w:p w14:paraId="79246707" w14:textId="77777777" w:rsidR="00860F8E" w:rsidRPr="00053FD1" w:rsidRDefault="00860F8E" w:rsidP="00860F8E">
      <w:pPr>
        <w:rPr>
          <w:bCs/>
          <w:szCs w:val="24"/>
        </w:rPr>
      </w:pPr>
      <w:r w:rsidRPr="00053FD1">
        <w:rPr>
          <w:rFonts w:cs="Geometric415BT-LiteA"/>
          <w:bCs/>
        </w:rPr>
        <w:t>CASA uses the Australian Public Service Commission definition to calculate unscheduled absences. This rate includes: sick leave, carers leave, compassionate leave and unplanned emergency leave. This method allows us to benchmark our performance against the wider APS.</w:t>
      </w:r>
    </w:p>
    <w:p w14:paraId="049179B3" w14:textId="77777777" w:rsidR="00860F8E" w:rsidRPr="00053FD1" w:rsidRDefault="00860F8E" w:rsidP="00860F8E">
      <w:pPr>
        <w:pStyle w:val="TableName"/>
        <w:rPr>
          <w:lang w:eastAsia="en-AU"/>
        </w:rPr>
      </w:pPr>
      <w:r w:rsidRPr="00053FD1">
        <w:rPr>
          <w:lang w:eastAsia="en-AU"/>
        </w:rPr>
        <w:t xml:space="preserve">Table </w:t>
      </w:r>
      <w:r w:rsidR="0050220E">
        <w:rPr>
          <w:lang w:eastAsia="en-AU"/>
        </w:rPr>
        <w:t>8</w:t>
      </w:r>
      <w:r w:rsidRPr="00053FD1">
        <w:rPr>
          <w:lang w:eastAsia="en-AU"/>
        </w:rPr>
        <w:tab/>
        <w:t>Unplanned absence rates, 2013–14 to 2017–18 (days)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2998"/>
        <w:gridCol w:w="3011"/>
      </w:tblGrid>
      <w:tr w:rsidR="00860F8E" w:rsidRPr="00053FD1" w14:paraId="51471A6D" w14:textId="77777777" w:rsidTr="00A86663">
        <w:trPr>
          <w:tblHeader/>
        </w:trPr>
        <w:tc>
          <w:tcPr>
            <w:tcW w:w="3082" w:type="dxa"/>
            <w:shd w:val="clear" w:color="auto" w:fill="auto"/>
          </w:tcPr>
          <w:p w14:paraId="5BF668C5"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Financial year</w:t>
            </w:r>
          </w:p>
        </w:tc>
        <w:tc>
          <w:tcPr>
            <w:tcW w:w="3078" w:type="dxa"/>
            <w:shd w:val="clear" w:color="auto" w:fill="auto"/>
          </w:tcPr>
          <w:p w14:paraId="171E35DF" w14:textId="77777777" w:rsidR="00860F8E" w:rsidRPr="00053FD1" w:rsidRDefault="00860F8E" w:rsidP="00EF6063">
            <w:pPr>
              <w:keepNext/>
              <w:spacing w:before="80" w:after="80"/>
              <w:jc w:val="right"/>
              <w:rPr>
                <w:rFonts w:ascii="Arial Narrow" w:hAnsi="Arial Narrow"/>
                <w:b/>
                <w:sz w:val="20"/>
              </w:rPr>
            </w:pPr>
            <w:r w:rsidRPr="00053FD1">
              <w:rPr>
                <w:rFonts w:ascii="Arial Narrow" w:hAnsi="Arial Narrow"/>
                <w:b/>
                <w:sz w:val="20"/>
              </w:rPr>
              <w:t>CASA</w:t>
            </w:r>
            <w:r w:rsidRPr="00053FD1">
              <w:rPr>
                <w:rFonts w:ascii="Arial Narrow" w:hAnsi="Arial Narrow"/>
                <w:b/>
                <w:sz w:val="20"/>
                <w:vertAlign w:val="superscript"/>
              </w:rPr>
              <w:t>a</w:t>
            </w:r>
          </w:p>
        </w:tc>
        <w:tc>
          <w:tcPr>
            <w:tcW w:w="3082" w:type="dxa"/>
            <w:shd w:val="clear" w:color="auto" w:fill="auto"/>
          </w:tcPr>
          <w:p w14:paraId="7D05597D" w14:textId="77777777" w:rsidR="00860F8E" w:rsidRPr="00053FD1" w:rsidRDefault="00860F8E" w:rsidP="00EF6063">
            <w:pPr>
              <w:keepNext/>
              <w:spacing w:before="80" w:after="80"/>
              <w:jc w:val="right"/>
              <w:rPr>
                <w:rFonts w:ascii="Arial Narrow" w:hAnsi="Arial Narrow"/>
                <w:b/>
                <w:sz w:val="20"/>
              </w:rPr>
            </w:pPr>
            <w:r w:rsidRPr="00053FD1">
              <w:rPr>
                <w:rFonts w:ascii="Arial Narrow" w:hAnsi="Arial Narrow"/>
                <w:b/>
                <w:sz w:val="20"/>
              </w:rPr>
              <w:t>Australian Public Service</w:t>
            </w:r>
            <w:r w:rsidRPr="00053FD1">
              <w:rPr>
                <w:rFonts w:ascii="Arial Narrow" w:hAnsi="Arial Narrow"/>
                <w:b/>
                <w:sz w:val="20"/>
                <w:vertAlign w:val="superscript"/>
              </w:rPr>
              <w:t>a</w:t>
            </w:r>
          </w:p>
        </w:tc>
      </w:tr>
      <w:tr w:rsidR="00860F8E" w:rsidRPr="00053FD1" w14:paraId="180EDF9F" w14:textId="77777777" w:rsidTr="00A86663">
        <w:tc>
          <w:tcPr>
            <w:tcW w:w="3082" w:type="dxa"/>
            <w:shd w:val="clear" w:color="auto" w:fill="auto"/>
          </w:tcPr>
          <w:p w14:paraId="2FCDB7EB"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2013–14</w:t>
            </w:r>
          </w:p>
        </w:tc>
        <w:tc>
          <w:tcPr>
            <w:tcW w:w="3078" w:type="dxa"/>
            <w:shd w:val="clear" w:color="auto" w:fill="auto"/>
          </w:tcPr>
          <w:p w14:paraId="02157091"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9.7</w:t>
            </w:r>
          </w:p>
        </w:tc>
        <w:tc>
          <w:tcPr>
            <w:tcW w:w="3082" w:type="dxa"/>
            <w:shd w:val="clear" w:color="auto" w:fill="auto"/>
          </w:tcPr>
          <w:p w14:paraId="0B8C1504"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11.2</w:t>
            </w:r>
          </w:p>
        </w:tc>
      </w:tr>
      <w:tr w:rsidR="00860F8E" w:rsidRPr="00053FD1" w14:paraId="0AE211FD" w14:textId="77777777" w:rsidTr="00A86663">
        <w:tc>
          <w:tcPr>
            <w:tcW w:w="3082" w:type="dxa"/>
            <w:shd w:val="clear" w:color="auto" w:fill="auto"/>
          </w:tcPr>
          <w:p w14:paraId="0DA5A4D5"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2014–15</w:t>
            </w:r>
          </w:p>
        </w:tc>
        <w:tc>
          <w:tcPr>
            <w:tcW w:w="3078" w:type="dxa"/>
            <w:shd w:val="clear" w:color="auto" w:fill="auto"/>
          </w:tcPr>
          <w:p w14:paraId="26B12DF3"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10.7</w:t>
            </w:r>
          </w:p>
        </w:tc>
        <w:tc>
          <w:tcPr>
            <w:tcW w:w="3082" w:type="dxa"/>
            <w:shd w:val="clear" w:color="auto" w:fill="auto"/>
          </w:tcPr>
          <w:p w14:paraId="763C85B3"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11.6</w:t>
            </w:r>
          </w:p>
        </w:tc>
      </w:tr>
      <w:tr w:rsidR="00860F8E" w:rsidRPr="00053FD1" w14:paraId="2010ED9E" w14:textId="77777777" w:rsidTr="00A86663">
        <w:tc>
          <w:tcPr>
            <w:tcW w:w="3082" w:type="dxa"/>
            <w:shd w:val="clear" w:color="auto" w:fill="auto"/>
          </w:tcPr>
          <w:p w14:paraId="1DD8CCA3"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2015–16</w:t>
            </w:r>
          </w:p>
        </w:tc>
        <w:tc>
          <w:tcPr>
            <w:tcW w:w="3078" w:type="dxa"/>
            <w:shd w:val="clear" w:color="auto" w:fill="auto"/>
          </w:tcPr>
          <w:p w14:paraId="212F45C2"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11.4</w:t>
            </w:r>
          </w:p>
        </w:tc>
        <w:tc>
          <w:tcPr>
            <w:tcW w:w="3082" w:type="dxa"/>
            <w:shd w:val="clear" w:color="auto" w:fill="auto"/>
          </w:tcPr>
          <w:p w14:paraId="2D93F453"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 xml:space="preserve">11.5 </w:t>
            </w:r>
          </w:p>
        </w:tc>
      </w:tr>
      <w:tr w:rsidR="00860F8E" w:rsidRPr="00053FD1" w14:paraId="0B839839" w14:textId="77777777" w:rsidTr="00A86663">
        <w:tc>
          <w:tcPr>
            <w:tcW w:w="3082" w:type="dxa"/>
            <w:shd w:val="clear" w:color="auto" w:fill="auto"/>
          </w:tcPr>
          <w:p w14:paraId="44789B98"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2016–17</w:t>
            </w:r>
          </w:p>
        </w:tc>
        <w:tc>
          <w:tcPr>
            <w:tcW w:w="3078" w:type="dxa"/>
            <w:shd w:val="clear" w:color="auto" w:fill="auto"/>
          </w:tcPr>
          <w:p w14:paraId="61F5DDD9"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11.5</w:t>
            </w:r>
          </w:p>
        </w:tc>
        <w:tc>
          <w:tcPr>
            <w:tcW w:w="3082" w:type="dxa"/>
            <w:shd w:val="clear" w:color="auto" w:fill="auto"/>
          </w:tcPr>
          <w:p w14:paraId="304CC08C"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11.4</w:t>
            </w:r>
          </w:p>
        </w:tc>
      </w:tr>
      <w:tr w:rsidR="00860F8E" w:rsidRPr="00053FD1" w14:paraId="66FC442D" w14:textId="77777777" w:rsidTr="00A86663">
        <w:tc>
          <w:tcPr>
            <w:tcW w:w="3082" w:type="dxa"/>
            <w:shd w:val="clear" w:color="auto" w:fill="auto"/>
          </w:tcPr>
          <w:p w14:paraId="5273829F" w14:textId="77777777" w:rsidR="00860F8E" w:rsidRPr="00053FD1" w:rsidRDefault="00860F8E" w:rsidP="00EF6063">
            <w:pPr>
              <w:keepNext/>
              <w:spacing w:before="80" w:after="80"/>
              <w:rPr>
                <w:rFonts w:ascii="Arial Narrow" w:hAnsi="Arial Narrow"/>
                <w:sz w:val="20"/>
              </w:rPr>
            </w:pPr>
            <w:r>
              <w:rPr>
                <w:rFonts w:ascii="Arial Narrow" w:hAnsi="Arial Narrow"/>
                <w:sz w:val="20"/>
              </w:rPr>
              <w:t>2017–18</w:t>
            </w:r>
          </w:p>
        </w:tc>
        <w:tc>
          <w:tcPr>
            <w:tcW w:w="3078" w:type="dxa"/>
            <w:shd w:val="clear" w:color="auto" w:fill="auto"/>
          </w:tcPr>
          <w:p w14:paraId="3466E547"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11.3</w:t>
            </w:r>
          </w:p>
        </w:tc>
        <w:tc>
          <w:tcPr>
            <w:tcW w:w="3082" w:type="dxa"/>
            <w:shd w:val="clear" w:color="auto" w:fill="auto"/>
          </w:tcPr>
          <w:p w14:paraId="6A76B4A0"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Not available</w:t>
            </w:r>
            <w:r w:rsidRPr="00053FD1">
              <w:rPr>
                <w:rFonts w:ascii="Arial Narrow" w:hAnsi="Arial Narrow"/>
                <w:sz w:val="20"/>
                <w:vertAlign w:val="superscript"/>
              </w:rPr>
              <w:t>b</w:t>
            </w:r>
          </w:p>
        </w:tc>
      </w:tr>
    </w:tbl>
    <w:p w14:paraId="76D05B52" w14:textId="77777777" w:rsidR="00860F8E" w:rsidRPr="00053FD1" w:rsidRDefault="00860F8E" w:rsidP="00860F8E">
      <w:pPr>
        <w:pStyle w:val="TableNotesHang"/>
      </w:pPr>
      <w:r w:rsidRPr="00053FD1">
        <w:t>a</w:t>
      </w:r>
      <w:r w:rsidRPr="00053FD1">
        <w:tab/>
        <w:t>Pr</w:t>
      </w:r>
      <w:r>
        <w:t>ior to 2016–17, CASA</w:t>
      </w:r>
      <w:r w:rsidRPr="00053FD1">
        <w:t xml:space="preserve"> annual reports included personal leave – special circumstances and workers compensation leave in the calculation of unscheduled absences. In 2015, the Australian Public Service Commission updated the definition of unscheduled leave to exclude those types of leave. The figures in this report reflect the updated definition.</w:t>
      </w:r>
    </w:p>
    <w:p w14:paraId="324C44FD" w14:textId="77777777" w:rsidR="00860F8E" w:rsidRPr="00053FD1" w:rsidRDefault="00860F8E" w:rsidP="00860F8E">
      <w:pPr>
        <w:pStyle w:val="TableNotesHangLast"/>
      </w:pPr>
      <w:r w:rsidRPr="00053FD1">
        <w:t>b</w:t>
      </w:r>
      <w:r w:rsidRPr="00053FD1">
        <w:tab/>
        <w:t>The Australian Public Service average for 2017–18 will be published in late 2018.</w:t>
      </w:r>
    </w:p>
    <w:p w14:paraId="32FF5C7A" w14:textId="77777777" w:rsidR="00860F8E" w:rsidRPr="00053FD1" w:rsidRDefault="00860F8E" w:rsidP="00860F8E">
      <w:pPr>
        <w:pStyle w:val="Heading3"/>
        <w:rPr>
          <w:lang w:val="en-GB"/>
        </w:rPr>
      </w:pPr>
      <w:r w:rsidRPr="00053FD1">
        <w:rPr>
          <w:lang w:val="en-GB"/>
        </w:rPr>
        <w:t>Staff turnover</w:t>
      </w:r>
    </w:p>
    <w:p w14:paraId="098B8180" w14:textId="77777777" w:rsidR="00860F8E" w:rsidRPr="00053FD1" w:rsidRDefault="00860F8E" w:rsidP="00860F8E">
      <w:bookmarkStart w:id="73" w:name="OLE_LINK26"/>
      <w:bookmarkStart w:id="74" w:name="OLE_LINK29"/>
      <w:bookmarkEnd w:id="70"/>
      <w:r w:rsidRPr="00053FD1">
        <w:rPr>
          <w:rFonts w:cs="Geometric415BT-LiteA"/>
          <w:bCs/>
        </w:rPr>
        <w:t>In 2017–18, CASA’s staff turnover rate was 10.5 per cent</w:t>
      </w:r>
      <w:r w:rsidR="003C4D63">
        <w:rPr>
          <w:rFonts w:cs="Geometric415BT-LiteA"/>
          <w:bCs/>
        </w:rPr>
        <w:t xml:space="preserve">, as shown in Table </w:t>
      </w:r>
      <w:r w:rsidR="0050220E">
        <w:rPr>
          <w:rFonts w:cs="Geometric415BT-LiteA"/>
          <w:bCs/>
        </w:rPr>
        <w:t>9</w:t>
      </w:r>
      <w:r w:rsidRPr="00053FD1">
        <w:rPr>
          <w:rFonts w:cs="Geometric415BT-LiteA"/>
          <w:bCs/>
        </w:rPr>
        <w:t>. This is lower than the 2016–17 rate of 11.6 per cent and reflects an overall reduction in the number of permanent staff leaving CASA.</w:t>
      </w:r>
    </w:p>
    <w:p w14:paraId="47F3C26C" w14:textId="77777777" w:rsidR="00860F8E" w:rsidRPr="00053FD1" w:rsidRDefault="00860F8E" w:rsidP="00860F8E">
      <w:pPr>
        <w:keepNext/>
        <w:spacing w:before="180" w:after="240"/>
        <w:ind w:left="1440" w:hanging="1440"/>
        <w:rPr>
          <w:rFonts w:ascii="Arial Narrow" w:hAnsi="Arial Narrow"/>
          <w:b/>
          <w:color w:val="0099CC"/>
          <w:sz w:val="22"/>
          <w:szCs w:val="22"/>
          <w:u w:color="0099CC"/>
        </w:rPr>
      </w:pPr>
      <w:bookmarkStart w:id="75" w:name="_Toc365737785"/>
      <w:r w:rsidRPr="00E35B2E">
        <w:rPr>
          <w:rFonts w:ascii="Arial Narrow" w:hAnsi="Arial Narrow"/>
          <w:b/>
          <w:color w:val="4472C4" w:themeColor="accent1"/>
          <w:sz w:val="22"/>
          <w:szCs w:val="22"/>
          <w:u w:color="0099CC"/>
        </w:rPr>
        <w:lastRenderedPageBreak/>
        <w:t xml:space="preserve">Table </w:t>
      </w:r>
      <w:r w:rsidR="0050220E" w:rsidRPr="00E35B2E">
        <w:rPr>
          <w:rFonts w:ascii="Arial Narrow" w:hAnsi="Arial Narrow"/>
          <w:b/>
          <w:color w:val="4472C4" w:themeColor="accent1"/>
          <w:sz w:val="22"/>
          <w:szCs w:val="22"/>
          <w:u w:color="0099CC"/>
        </w:rPr>
        <w:t>9</w:t>
      </w:r>
      <w:r w:rsidRPr="00E35B2E">
        <w:rPr>
          <w:rFonts w:ascii="Arial Narrow" w:hAnsi="Arial Narrow"/>
          <w:b/>
          <w:color w:val="4472C4" w:themeColor="accent1"/>
          <w:sz w:val="22"/>
          <w:szCs w:val="22"/>
          <w:u w:color="0099CC"/>
        </w:rPr>
        <w:tab/>
        <w:t>Staff turnover, 2013–14 to 2017–1</w:t>
      </w:r>
      <w:bookmarkEnd w:id="75"/>
      <w:r w:rsidRPr="00E35B2E">
        <w:rPr>
          <w:rFonts w:ascii="Arial Narrow" w:hAnsi="Arial Narrow"/>
          <w:b/>
          <w:color w:val="4472C4" w:themeColor="accent1"/>
          <w:sz w:val="22"/>
          <w:szCs w:val="22"/>
          <w:u w:color="0099CC"/>
        </w:rPr>
        <w:t>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2996"/>
        <w:gridCol w:w="3012"/>
      </w:tblGrid>
      <w:tr w:rsidR="00860F8E" w:rsidRPr="00053FD1" w14:paraId="6D5361B7" w14:textId="77777777" w:rsidTr="00A86663">
        <w:trPr>
          <w:tblHeader/>
        </w:trPr>
        <w:tc>
          <w:tcPr>
            <w:tcW w:w="3082" w:type="dxa"/>
            <w:shd w:val="clear" w:color="auto" w:fill="auto"/>
          </w:tcPr>
          <w:p w14:paraId="6D76888A"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Financial year</w:t>
            </w:r>
          </w:p>
        </w:tc>
        <w:tc>
          <w:tcPr>
            <w:tcW w:w="3078" w:type="dxa"/>
            <w:shd w:val="clear" w:color="auto" w:fill="auto"/>
          </w:tcPr>
          <w:p w14:paraId="77611821" w14:textId="77777777" w:rsidR="00860F8E" w:rsidRPr="00053FD1" w:rsidRDefault="00860F8E" w:rsidP="00EF6063">
            <w:pPr>
              <w:keepNext/>
              <w:spacing w:before="80" w:after="80"/>
              <w:jc w:val="right"/>
              <w:rPr>
                <w:rFonts w:ascii="Arial Narrow" w:hAnsi="Arial Narrow"/>
                <w:b/>
                <w:sz w:val="20"/>
              </w:rPr>
            </w:pPr>
            <w:r w:rsidRPr="00053FD1">
              <w:rPr>
                <w:rFonts w:ascii="Arial Narrow" w:hAnsi="Arial Narrow"/>
                <w:b/>
                <w:sz w:val="20"/>
              </w:rPr>
              <w:t>CASA</w:t>
            </w:r>
          </w:p>
        </w:tc>
        <w:tc>
          <w:tcPr>
            <w:tcW w:w="3082" w:type="dxa"/>
            <w:shd w:val="clear" w:color="auto" w:fill="auto"/>
          </w:tcPr>
          <w:p w14:paraId="62E7AFE2" w14:textId="77777777" w:rsidR="00860F8E" w:rsidRPr="00053FD1" w:rsidRDefault="00860F8E" w:rsidP="00EF6063">
            <w:pPr>
              <w:keepNext/>
              <w:spacing w:before="80" w:after="80"/>
              <w:jc w:val="right"/>
              <w:rPr>
                <w:rFonts w:ascii="Arial Narrow" w:hAnsi="Arial Narrow"/>
                <w:b/>
                <w:sz w:val="20"/>
              </w:rPr>
            </w:pPr>
            <w:r w:rsidRPr="00053FD1">
              <w:rPr>
                <w:rFonts w:ascii="Arial Narrow" w:hAnsi="Arial Narrow"/>
                <w:b/>
                <w:sz w:val="20"/>
              </w:rPr>
              <w:t>Australian Public Service</w:t>
            </w:r>
          </w:p>
        </w:tc>
      </w:tr>
      <w:tr w:rsidR="00860F8E" w:rsidRPr="00053FD1" w14:paraId="0EA80869" w14:textId="77777777" w:rsidTr="00A86663">
        <w:tc>
          <w:tcPr>
            <w:tcW w:w="3082" w:type="dxa"/>
            <w:shd w:val="clear" w:color="auto" w:fill="auto"/>
          </w:tcPr>
          <w:p w14:paraId="32D8A9E9"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2013–14</w:t>
            </w:r>
          </w:p>
        </w:tc>
        <w:tc>
          <w:tcPr>
            <w:tcW w:w="3078" w:type="dxa"/>
            <w:shd w:val="clear" w:color="auto" w:fill="auto"/>
          </w:tcPr>
          <w:p w14:paraId="3CFB1002"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8.8</w:t>
            </w:r>
          </w:p>
        </w:tc>
        <w:tc>
          <w:tcPr>
            <w:tcW w:w="3082" w:type="dxa"/>
            <w:shd w:val="clear" w:color="auto" w:fill="auto"/>
          </w:tcPr>
          <w:p w14:paraId="06A1F7B1"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8.5</w:t>
            </w:r>
          </w:p>
        </w:tc>
      </w:tr>
      <w:tr w:rsidR="00860F8E" w:rsidRPr="00053FD1" w14:paraId="17EBA0D8" w14:textId="77777777" w:rsidTr="00A86663">
        <w:tc>
          <w:tcPr>
            <w:tcW w:w="3082" w:type="dxa"/>
            <w:shd w:val="clear" w:color="auto" w:fill="auto"/>
          </w:tcPr>
          <w:p w14:paraId="5F576614"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2014–15</w:t>
            </w:r>
          </w:p>
        </w:tc>
        <w:tc>
          <w:tcPr>
            <w:tcW w:w="3078" w:type="dxa"/>
            <w:shd w:val="clear" w:color="auto" w:fill="auto"/>
          </w:tcPr>
          <w:p w14:paraId="36F40779"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11.2</w:t>
            </w:r>
          </w:p>
        </w:tc>
        <w:tc>
          <w:tcPr>
            <w:tcW w:w="3082" w:type="dxa"/>
            <w:shd w:val="clear" w:color="auto" w:fill="auto"/>
          </w:tcPr>
          <w:p w14:paraId="4ACF909C"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9.2</w:t>
            </w:r>
          </w:p>
        </w:tc>
      </w:tr>
      <w:tr w:rsidR="00860F8E" w:rsidRPr="00053FD1" w14:paraId="7D75CC9B" w14:textId="77777777" w:rsidTr="00A86663">
        <w:tc>
          <w:tcPr>
            <w:tcW w:w="3082" w:type="dxa"/>
            <w:shd w:val="clear" w:color="auto" w:fill="auto"/>
          </w:tcPr>
          <w:p w14:paraId="45862EB9"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2015–16</w:t>
            </w:r>
          </w:p>
        </w:tc>
        <w:tc>
          <w:tcPr>
            <w:tcW w:w="3078" w:type="dxa"/>
            <w:shd w:val="clear" w:color="auto" w:fill="auto"/>
          </w:tcPr>
          <w:p w14:paraId="47BB4826"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13.8</w:t>
            </w:r>
          </w:p>
        </w:tc>
        <w:tc>
          <w:tcPr>
            <w:tcW w:w="3082" w:type="dxa"/>
            <w:shd w:val="clear" w:color="auto" w:fill="auto"/>
          </w:tcPr>
          <w:p w14:paraId="76CBA495"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9.6</w:t>
            </w:r>
          </w:p>
        </w:tc>
      </w:tr>
      <w:tr w:rsidR="00860F8E" w:rsidRPr="00053FD1" w14:paraId="084CA2AA" w14:textId="77777777" w:rsidTr="00A86663">
        <w:tc>
          <w:tcPr>
            <w:tcW w:w="3082" w:type="dxa"/>
            <w:shd w:val="clear" w:color="auto" w:fill="auto"/>
          </w:tcPr>
          <w:p w14:paraId="2B37467A"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2016–17</w:t>
            </w:r>
          </w:p>
        </w:tc>
        <w:tc>
          <w:tcPr>
            <w:tcW w:w="3078" w:type="dxa"/>
            <w:shd w:val="clear" w:color="auto" w:fill="auto"/>
          </w:tcPr>
          <w:p w14:paraId="02978D04"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11.6</w:t>
            </w:r>
          </w:p>
        </w:tc>
        <w:tc>
          <w:tcPr>
            <w:tcW w:w="3082" w:type="dxa"/>
            <w:shd w:val="clear" w:color="auto" w:fill="auto"/>
          </w:tcPr>
          <w:p w14:paraId="0B098C00"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9.1</w:t>
            </w:r>
          </w:p>
        </w:tc>
      </w:tr>
      <w:tr w:rsidR="00860F8E" w:rsidRPr="00053FD1" w14:paraId="15C4C5D8" w14:textId="77777777" w:rsidTr="00A86663">
        <w:tc>
          <w:tcPr>
            <w:tcW w:w="3082" w:type="dxa"/>
            <w:shd w:val="clear" w:color="auto" w:fill="auto"/>
          </w:tcPr>
          <w:p w14:paraId="7F0902E0" w14:textId="77777777" w:rsidR="00860F8E" w:rsidRPr="00053FD1" w:rsidRDefault="00860F8E" w:rsidP="00EF6063">
            <w:pPr>
              <w:keepNext/>
              <w:spacing w:before="80" w:after="80"/>
              <w:rPr>
                <w:rFonts w:ascii="Arial Narrow" w:hAnsi="Arial Narrow"/>
                <w:sz w:val="20"/>
              </w:rPr>
            </w:pPr>
            <w:r>
              <w:rPr>
                <w:rFonts w:ascii="Arial Narrow" w:hAnsi="Arial Narrow"/>
                <w:sz w:val="20"/>
              </w:rPr>
              <w:t>2017–18</w:t>
            </w:r>
          </w:p>
        </w:tc>
        <w:tc>
          <w:tcPr>
            <w:tcW w:w="3078" w:type="dxa"/>
            <w:shd w:val="clear" w:color="auto" w:fill="auto"/>
          </w:tcPr>
          <w:p w14:paraId="17C045FD"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10.5</w:t>
            </w:r>
          </w:p>
        </w:tc>
        <w:tc>
          <w:tcPr>
            <w:tcW w:w="3082" w:type="dxa"/>
            <w:shd w:val="clear" w:color="auto" w:fill="auto"/>
          </w:tcPr>
          <w:p w14:paraId="4649BC2C"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Not available</w:t>
            </w:r>
            <w:r w:rsidRPr="00053FD1">
              <w:rPr>
                <w:rFonts w:ascii="Arial Narrow" w:hAnsi="Arial Narrow"/>
                <w:sz w:val="20"/>
                <w:vertAlign w:val="superscript"/>
              </w:rPr>
              <w:t>a</w:t>
            </w:r>
          </w:p>
        </w:tc>
      </w:tr>
    </w:tbl>
    <w:p w14:paraId="38E6AB7D" w14:textId="77777777" w:rsidR="00860F8E" w:rsidRPr="00053FD1" w:rsidRDefault="00860F8E" w:rsidP="00860F8E">
      <w:pPr>
        <w:pStyle w:val="TableNotesHangLast"/>
      </w:pPr>
      <w:r w:rsidRPr="00053FD1">
        <w:t>a</w:t>
      </w:r>
      <w:r w:rsidRPr="00053FD1">
        <w:tab/>
        <w:t>The Australian Public Service average for 201</w:t>
      </w:r>
      <w:r>
        <w:t>7</w:t>
      </w:r>
      <w:r w:rsidRPr="00053FD1">
        <w:t>–1</w:t>
      </w:r>
      <w:r>
        <w:t>8</w:t>
      </w:r>
      <w:r w:rsidRPr="00053FD1">
        <w:t xml:space="preserve"> will be published in late 201</w:t>
      </w:r>
      <w:r>
        <w:t>8</w:t>
      </w:r>
      <w:r w:rsidRPr="00053FD1">
        <w:t>.</w:t>
      </w:r>
    </w:p>
    <w:p w14:paraId="044DA0D9" w14:textId="77777777" w:rsidR="00860F8E" w:rsidRPr="00053FD1" w:rsidRDefault="00860F8E" w:rsidP="00860F8E">
      <w:pPr>
        <w:pStyle w:val="Heading2"/>
        <w:rPr>
          <w:lang w:val="en-GB"/>
        </w:rPr>
      </w:pPr>
      <w:r w:rsidRPr="00053FD1">
        <w:rPr>
          <w:lang w:val="en-GB"/>
        </w:rPr>
        <w:t>Workplace diversity and inclusion</w:t>
      </w:r>
    </w:p>
    <w:p w14:paraId="31204E6B" w14:textId="77777777" w:rsidR="00860F8E" w:rsidRPr="00053FD1" w:rsidRDefault="00860F8E" w:rsidP="00860F8E">
      <w:pPr>
        <w:autoSpaceDE w:val="0"/>
        <w:autoSpaceDN w:val="0"/>
        <w:adjustRightInd w:val="0"/>
        <w:rPr>
          <w:rFonts w:cs="Geometric415BT-LiteA"/>
        </w:rPr>
      </w:pPr>
      <w:r w:rsidRPr="00053FD1">
        <w:rPr>
          <w:rFonts w:cs="Geometric415BT-LiteA"/>
        </w:rPr>
        <w:t>CASA’s Workplace Diversity Program encourages and celebrates diversity in the workplace and promotes a safe, supportive and inclusive working environment to meet the needs of a diverse workforce.</w:t>
      </w:r>
      <w:r>
        <w:rPr>
          <w:rFonts w:cs="Geometric415BT-LiteA"/>
        </w:rPr>
        <w:t xml:space="preserve"> </w:t>
      </w:r>
      <w:r w:rsidRPr="00053FD1">
        <w:t>The program</w:t>
      </w:r>
      <w:r>
        <w:t xml:space="preserve"> is consistent </w:t>
      </w:r>
      <w:r>
        <w:rPr>
          <w:lang w:val="en-AU"/>
        </w:rPr>
        <w:t>with the principles of the National Disability Strategy 2010–2020 and</w:t>
      </w:r>
      <w:r w:rsidRPr="00053FD1">
        <w:t xml:space="preserve"> was </w:t>
      </w:r>
      <w:r w:rsidRPr="00053FD1">
        <w:rPr>
          <w:rFonts w:cs="Geometric415BT-LiteA"/>
        </w:rPr>
        <w:t>developed in consultation with employees</w:t>
      </w:r>
      <w:r>
        <w:rPr>
          <w:rFonts w:cs="Geometric415BT-LiteA"/>
        </w:rPr>
        <w:t xml:space="preserve">. </w:t>
      </w:r>
    </w:p>
    <w:p w14:paraId="3F6D3171" w14:textId="77777777" w:rsidR="00860F8E" w:rsidRPr="00053FD1" w:rsidRDefault="00860F8E" w:rsidP="00860F8E">
      <w:r w:rsidRPr="00053FD1">
        <w:t xml:space="preserve">Through the program, CASA sets out its objectives and actions to promote equal opportunity in employment, in accordance with the requirements of the </w:t>
      </w:r>
      <w:r w:rsidRPr="00053FD1">
        <w:rPr>
          <w:i/>
        </w:rPr>
        <w:t>Equal Employment Opportunity (Commonwealth Authorities) Act 1987</w:t>
      </w:r>
      <w:r w:rsidRPr="00053FD1">
        <w:t>.</w:t>
      </w:r>
      <w:r>
        <w:rPr>
          <w:lang w:val="en-AU"/>
        </w:rPr>
        <w:t xml:space="preserve"> </w:t>
      </w:r>
      <w:r w:rsidRPr="00053FD1">
        <w:t>Planning is underway to develop a diversity and inclusion strategy.</w:t>
      </w:r>
    </w:p>
    <w:p w14:paraId="5B0E9C55" w14:textId="77777777" w:rsidR="00860F8E" w:rsidRPr="00053FD1" w:rsidRDefault="00860F8E" w:rsidP="00860F8E">
      <w:pPr>
        <w:pStyle w:val="Heading3"/>
        <w:rPr>
          <w:lang w:val="en-GB"/>
        </w:rPr>
      </w:pPr>
      <w:r w:rsidRPr="00053FD1">
        <w:rPr>
          <w:lang w:val="en-GB"/>
        </w:rPr>
        <w:t>Achievements</w:t>
      </w:r>
    </w:p>
    <w:p w14:paraId="5A905260" w14:textId="77777777" w:rsidR="00860F8E" w:rsidRPr="00053FD1" w:rsidRDefault="00860F8E" w:rsidP="00860F8E">
      <w:pPr>
        <w:pStyle w:val="BulletIntro"/>
      </w:pPr>
      <w:r w:rsidRPr="00053FD1">
        <w:t>CASA undertook a range of activities to support a diverse and inclusive workplace</w:t>
      </w:r>
      <w:r>
        <w:rPr>
          <w:lang w:val="en-AU"/>
        </w:rPr>
        <w:t>,</w:t>
      </w:r>
      <w:r w:rsidRPr="00053FD1">
        <w:t xml:space="preserve"> including:</w:t>
      </w:r>
    </w:p>
    <w:p w14:paraId="6DB5237C" w14:textId="77777777" w:rsidR="00860F8E" w:rsidRPr="00053FD1" w:rsidRDefault="00860F8E" w:rsidP="00860F8E">
      <w:pPr>
        <w:pStyle w:val="Bullet"/>
      </w:pPr>
      <w:r w:rsidRPr="00053FD1">
        <w:t>continued engagement of an executive diversity champion</w:t>
      </w:r>
    </w:p>
    <w:p w14:paraId="591F3A7D" w14:textId="77777777" w:rsidR="00860F8E" w:rsidRDefault="00860F8E" w:rsidP="00860F8E">
      <w:pPr>
        <w:pStyle w:val="Bullet"/>
      </w:pPr>
      <w:r w:rsidRPr="00053FD1">
        <w:t>a diversity data drive to encourage staff to self-identify on CASA’s human resource information management system</w:t>
      </w:r>
      <w:r>
        <w:t xml:space="preserve">, resulting in increased numbers of employees identifying within diversity groups through </w:t>
      </w:r>
      <w:r w:rsidR="00EA214A">
        <w:t>the</w:t>
      </w:r>
      <w:r>
        <w:t xml:space="preserve"> system</w:t>
      </w:r>
    </w:p>
    <w:p w14:paraId="1E13C3B9" w14:textId="77777777" w:rsidR="00860F8E" w:rsidRDefault="00860F8E" w:rsidP="00860F8E">
      <w:pPr>
        <w:pStyle w:val="Bullet"/>
      </w:pPr>
      <w:r>
        <w:t xml:space="preserve">the establishment of the Indigenous Engagement Network by CASA’s </w:t>
      </w:r>
      <w:r w:rsidRPr="00053FD1">
        <w:t>Aboriginal and Torres Strait Islander employees</w:t>
      </w:r>
    </w:p>
    <w:p w14:paraId="774862C6" w14:textId="77777777" w:rsidR="00860F8E" w:rsidRPr="00053FD1" w:rsidRDefault="00DE3DF3" w:rsidP="00860F8E">
      <w:pPr>
        <w:pStyle w:val="Bullet"/>
      </w:pPr>
      <w:r>
        <w:rPr>
          <w:lang w:eastAsia="en-AU"/>
        </w:rPr>
        <w:t>the development</w:t>
      </w:r>
      <w:r w:rsidR="00860F8E">
        <w:rPr>
          <w:lang w:eastAsia="en-AU"/>
        </w:rPr>
        <w:t xml:space="preserve"> </w:t>
      </w:r>
      <w:r w:rsidR="00EA214A">
        <w:rPr>
          <w:lang w:eastAsia="en-AU"/>
        </w:rPr>
        <w:t xml:space="preserve">of </w:t>
      </w:r>
      <w:r w:rsidR="00860F8E">
        <w:rPr>
          <w:lang w:eastAsia="en-AU"/>
        </w:rPr>
        <w:t>p</w:t>
      </w:r>
      <w:r w:rsidR="00860F8E" w:rsidRPr="001640BA">
        <w:rPr>
          <w:lang w:eastAsia="en-AU"/>
        </w:rPr>
        <w:t xml:space="preserve">ersonal </w:t>
      </w:r>
      <w:r w:rsidR="00860F8E">
        <w:rPr>
          <w:lang w:eastAsia="en-AU"/>
        </w:rPr>
        <w:t>e</w:t>
      </w:r>
      <w:r w:rsidR="00860F8E" w:rsidRPr="001640BA">
        <w:rPr>
          <w:lang w:eastAsia="en-AU"/>
        </w:rPr>
        <w:t xml:space="preserve">mergency </w:t>
      </w:r>
      <w:r w:rsidR="00860F8E">
        <w:rPr>
          <w:lang w:eastAsia="en-AU"/>
        </w:rPr>
        <w:t>e</w:t>
      </w:r>
      <w:r w:rsidR="00860F8E" w:rsidRPr="001640BA">
        <w:rPr>
          <w:lang w:eastAsia="en-AU"/>
        </w:rPr>
        <w:t xml:space="preserve">vacuation </w:t>
      </w:r>
      <w:r w:rsidR="00860F8E">
        <w:rPr>
          <w:lang w:eastAsia="en-AU"/>
        </w:rPr>
        <w:t>p</w:t>
      </w:r>
      <w:r w:rsidR="00860F8E" w:rsidRPr="001640BA">
        <w:rPr>
          <w:lang w:eastAsia="en-AU"/>
        </w:rPr>
        <w:t xml:space="preserve">lans for </w:t>
      </w:r>
      <w:r w:rsidR="00860F8E">
        <w:rPr>
          <w:lang w:eastAsia="en-AU"/>
        </w:rPr>
        <w:t>employees</w:t>
      </w:r>
      <w:r w:rsidR="00860F8E" w:rsidRPr="001640BA">
        <w:rPr>
          <w:lang w:eastAsia="en-AU"/>
        </w:rPr>
        <w:t xml:space="preserve"> with disability</w:t>
      </w:r>
      <w:r w:rsidR="00860F8E" w:rsidRPr="00053FD1">
        <w:t>.</w:t>
      </w:r>
    </w:p>
    <w:p w14:paraId="2F024C94" w14:textId="77777777" w:rsidR="00860F8E" w:rsidRPr="00053FD1" w:rsidRDefault="00860F8E" w:rsidP="00860F8E">
      <w:pPr>
        <w:pStyle w:val="Heading3"/>
        <w:rPr>
          <w:lang w:val="en-GB"/>
        </w:rPr>
      </w:pPr>
      <w:r w:rsidRPr="00053FD1">
        <w:rPr>
          <w:lang w:val="en-GB"/>
        </w:rPr>
        <w:t>Key activities</w:t>
      </w:r>
    </w:p>
    <w:p w14:paraId="06408CFB" w14:textId="77777777" w:rsidR="00860F8E" w:rsidRPr="00053FD1" w:rsidRDefault="00860F8E" w:rsidP="00860F8E">
      <w:r w:rsidRPr="00053FD1">
        <w:t xml:space="preserve">CASA promotes diversity and inclusion in the workplace with a series of inspiring and motivational speakers and </w:t>
      </w:r>
      <w:r>
        <w:t xml:space="preserve">a </w:t>
      </w:r>
      <w:r w:rsidRPr="00053FD1">
        <w:t xml:space="preserve">calendar of events. </w:t>
      </w:r>
    </w:p>
    <w:p w14:paraId="756D2A09" w14:textId="77777777" w:rsidR="00860F8E" w:rsidRPr="00053FD1" w:rsidRDefault="00860F8E" w:rsidP="00860F8E">
      <w:r w:rsidRPr="00053FD1">
        <w:t xml:space="preserve">NAIDOC </w:t>
      </w:r>
      <w:r>
        <w:t>W</w:t>
      </w:r>
      <w:r w:rsidRPr="00053FD1">
        <w:t>eek was celebrated across CASA offices on 5 July 2017</w:t>
      </w:r>
      <w:r>
        <w:t>,</w:t>
      </w:r>
      <w:r w:rsidRPr="00053FD1">
        <w:t xml:space="preserve"> providing an opportunity for CASA employees to celebrate the history, culture and achievements of Aboriginal and Torres Strait Islander peoples. Community leader and tribal warrior Shane Phillips was invited to share his inspiring story of initiating and maintaining positive change and sharing his passion of working to improve the quality of life for Indigenous Australians</w:t>
      </w:r>
      <w:r w:rsidR="00EA214A">
        <w:t>,</w:t>
      </w:r>
      <w:r>
        <w:t xml:space="preserve"> through a video-conferenced morning tea across CASA’s offices</w:t>
      </w:r>
      <w:r w:rsidRPr="00053FD1">
        <w:t xml:space="preserve">. </w:t>
      </w:r>
    </w:p>
    <w:p w14:paraId="77F28597" w14:textId="77777777" w:rsidR="00860F8E" w:rsidRPr="00053FD1" w:rsidRDefault="00860F8E" w:rsidP="00860F8E">
      <w:r w:rsidRPr="00053FD1">
        <w:lastRenderedPageBreak/>
        <w:t>CASA celebrated International Day of People with Disability on 4 December 2017 with staff from all CASA locations treated to a motivational speech from Dave Jacka, who shared his experiences o</w:t>
      </w:r>
      <w:r>
        <w:t>f</w:t>
      </w:r>
      <w:r w:rsidRPr="00053FD1">
        <w:t xml:space="preserve"> overcoming the challenges of becoming a quadriplegic at the age of 19. Dave shared his inspirational story of being the first person with quadriplegia to fly solo around Australia.</w:t>
      </w:r>
    </w:p>
    <w:p w14:paraId="2DFBE878" w14:textId="77777777" w:rsidR="00860F8E" w:rsidRPr="00053FD1" w:rsidRDefault="00860F8E" w:rsidP="00860F8E">
      <w:r w:rsidRPr="00053FD1">
        <w:t xml:space="preserve">CASA staff from across the regions attended the second in </w:t>
      </w:r>
      <w:r w:rsidR="00DE3DF3">
        <w:t>CASA’s</w:t>
      </w:r>
      <w:r w:rsidRPr="00053FD1">
        <w:t xml:space="preserve"> series of Women in Leadership Panel event</w:t>
      </w:r>
      <w:r>
        <w:t>s</w:t>
      </w:r>
      <w:r w:rsidR="00DE3DF3">
        <w:t>,</w:t>
      </w:r>
      <w:r w:rsidRPr="00053FD1">
        <w:t xml:space="preserve"> held</w:t>
      </w:r>
      <w:r w:rsidR="00DE3DF3">
        <w:t xml:space="preserve"> annually</w:t>
      </w:r>
      <w:r w:rsidRPr="00053FD1">
        <w:t xml:space="preserve"> as part of International Women’s Day. </w:t>
      </w:r>
      <w:r>
        <w:t>The event was f</w:t>
      </w:r>
      <w:r w:rsidRPr="00053FD1">
        <w:t>acilitated by the CEO</w:t>
      </w:r>
      <w:r>
        <w:t>/DAS</w:t>
      </w:r>
      <w:r w:rsidRPr="00053FD1">
        <w:t xml:space="preserve">, </w:t>
      </w:r>
      <w:r>
        <w:t xml:space="preserve">and </w:t>
      </w:r>
      <w:r w:rsidRPr="00053FD1">
        <w:t xml:space="preserve">the panel members included Samantha Freebairn, </w:t>
      </w:r>
      <w:r>
        <w:t>a s</w:t>
      </w:r>
      <w:r w:rsidRPr="00053FD1">
        <w:t xml:space="preserve">quadron </w:t>
      </w:r>
      <w:r>
        <w:t>l</w:t>
      </w:r>
      <w:r w:rsidRPr="00053FD1">
        <w:t>eader and pilot in the Royal Australian Air Force</w:t>
      </w:r>
      <w:r>
        <w:t>,</w:t>
      </w:r>
      <w:r w:rsidRPr="00053FD1">
        <w:t xml:space="preserve"> and Yvette Lutze, </w:t>
      </w:r>
      <w:r>
        <w:t>a f</w:t>
      </w:r>
      <w:r w:rsidRPr="00053FD1">
        <w:t xml:space="preserve">lying </w:t>
      </w:r>
      <w:r>
        <w:t>o</w:t>
      </w:r>
      <w:r w:rsidRPr="00053FD1">
        <w:t xml:space="preserve">perations </w:t>
      </w:r>
      <w:r>
        <w:t>i</w:t>
      </w:r>
      <w:r w:rsidRPr="00053FD1">
        <w:t xml:space="preserve">nspector and </w:t>
      </w:r>
      <w:r>
        <w:t>s</w:t>
      </w:r>
      <w:r w:rsidRPr="00053FD1">
        <w:t xml:space="preserve">enior </w:t>
      </w:r>
      <w:r>
        <w:t>s</w:t>
      </w:r>
      <w:r w:rsidRPr="00053FD1">
        <w:t xml:space="preserve">tandards </w:t>
      </w:r>
      <w:r>
        <w:t>o</w:t>
      </w:r>
      <w:r w:rsidRPr="00053FD1">
        <w:t>fficer</w:t>
      </w:r>
      <w:r>
        <w:t xml:space="preserve"> in CASA</w:t>
      </w:r>
      <w:r w:rsidRPr="00053FD1">
        <w:t xml:space="preserve">. Panel members discussed their personal experiences as women in aviation leadership roles and drew on those experiences to provide insightful tips and advice for those in attendance. </w:t>
      </w:r>
    </w:p>
    <w:p w14:paraId="34120BC0" w14:textId="77777777" w:rsidR="00860F8E" w:rsidRPr="00053FD1" w:rsidRDefault="00860F8E" w:rsidP="00860F8E">
      <w:r w:rsidRPr="00053FD1">
        <w:t>To reflect the diversity of sexuality and gender among CASA’s workforce, the lesbian, gay, bisexual, transgender and intersex (LGBTI+) community celebrated IDAHOBIT on 17 May 2018</w:t>
      </w:r>
      <w:r>
        <w:t xml:space="preserve"> – </w:t>
      </w:r>
      <w:r w:rsidRPr="00053FD1">
        <w:t>the International Day Against Homophobia, Biphobia, Intersexism and Transphobia. CASA employees supported IDAHOBIT at a special event where a guest speaker from the Australian Tax</w:t>
      </w:r>
      <w:r>
        <w:t>ation</w:t>
      </w:r>
      <w:r w:rsidRPr="00053FD1">
        <w:t xml:space="preserve"> Office Making Inclusion Count (ATOMIC) network and a transgender advocate shared their personal and inspiring </w:t>
      </w:r>
      <w:r>
        <w:t>storie</w:t>
      </w:r>
      <w:r w:rsidRPr="00053FD1">
        <w:t>s.</w:t>
      </w:r>
    </w:p>
    <w:p w14:paraId="33599B85" w14:textId="77777777" w:rsidR="00860F8E" w:rsidRPr="00053FD1" w:rsidRDefault="00860F8E" w:rsidP="00860F8E">
      <w:r w:rsidRPr="00053FD1">
        <w:t xml:space="preserve">National Reconciliation Week was celebrated as a series of special activities and events between 27 May and 3 June 2018. The week culminated with employees from around Australia coming together to learn about reconciliation through the eyes of CASA’s Aboriginal and Torres Strait Islander employees. </w:t>
      </w:r>
      <w:r>
        <w:t>The</w:t>
      </w:r>
      <w:r w:rsidRPr="00053FD1">
        <w:t xml:space="preserve"> CEO</w:t>
      </w:r>
      <w:r>
        <w:t>/DAS</w:t>
      </w:r>
      <w:r w:rsidRPr="00053FD1">
        <w:t xml:space="preserve"> reflected on CASA’s 2017–2019 Innovate R</w:t>
      </w:r>
      <w:r>
        <w:t xml:space="preserve">econciliation </w:t>
      </w:r>
      <w:r w:rsidRPr="00053FD1">
        <w:t>A</w:t>
      </w:r>
      <w:r>
        <w:t xml:space="preserve">ction </w:t>
      </w:r>
      <w:r w:rsidRPr="00053FD1">
        <w:t>P</w:t>
      </w:r>
      <w:r>
        <w:t>lan</w:t>
      </w:r>
      <w:r w:rsidRPr="00053FD1">
        <w:t xml:space="preserve"> achievements over the previous 12 months. </w:t>
      </w:r>
    </w:p>
    <w:p w14:paraId="0FAFFDD5" w14:textId="77777777" w:rsidR="00860F8E" w:rsidRPr="00053FD1" w:rsidRDefault="00860F8E" w:rsidP="00860F8E">
      <w:r w:rsidRPr="00053FD1">
        <w:t xml:space="preserve">CASA also implemented a mentoring program for Aboriginal and Torres Strait Islander employees, led by the 2018 ACT Australian of the Year, Dion Devow, who praised CASA for its support of Aboriginal and Torres Strait Islander employees and its commitment to </w:t>
      </w:r>
      <w:r>
        <w:t>r</w:t>
      </w:r>
      <w:r w:rsidRPr="00053FD1">
        <w:t>econciliation.</w:t>
      </w:r>
    </w:p>
    <w:p w14:paraId="6DA996EA" w14:textId="77777777" w:rsidR="00860F8E" w:rsidRPr="00053FD1" w:rsidRDefault="00860F8E" w:rsidP="00860F8E">
      <w:pPr>
        <w:pStyle w:val="Heading3"/>
        <w:rPr>
          <w:lang w:val="en-GB"/>
        </w:rPr>
      </w:pPr>
      <w:bookmarkStart w:id="76" w:name="_Hlk523992673"/>
      <w:r w:rsidRPr="00053FD1">
        <w:rPr>
          <w:lang w:val="en-GB"/>
        </w:rPr>
        <w:t>Diversity profile</w:t>
      </w:r>
    </w:p>
    <w:p w14:paraId="1E0F743D" w14:textId="77777777" w:rsidR="00860F8E" w:rsidRPr="00053FD1" w:rsidRDefault="00860F8E" w:rsidP="00860F8E">
      <w:pPr>
        <w:autoSpaceDE w:val="0"/>
        <w:autoSpaceDN w:val="0"/>
        <w:adjustRightInd w:val="0"/>
        <w:rPr>
          <w:rFonts w:cs="Geometric415BT-LiteA"/>
        </w:rPr>
      </w:pPr>
      <w:r w:rsidRPr="00053FD1">
        <w:rPr>
          <w:rFonts w:cs="Geometric415BT-LiteA"/>
        </w:rPr>
        <w:t>Figure 11 provides an overview of diversity in CASA’s workforce.</w:t>
      </w:r>
    </w:p>
    <w:p w14:paraId="51EB0AEC" w14:textId="77777777" w:rsidR="00860F8E" w:rsidRPr="00053FD1" w:rsidRDefault="00860F8E" w:rsidP="00860F8E">
      <w:pPr>
        <w:autoSpaceDE w:val="0"/>
        <w:autoSpaceDN w:val="0"/>
        <w:adjustRightInd w:val="0"/>
        <w:rPr>
          <w:rFonts w:cs="Geometric415BT-LiteA"/>
        </w:rPr>
      </w:pPr>
      <w:r w:rsidRPr="00053FD1">
        <w:rPr>
          <w:rFonts w:cs="Geometric415BT-LiteA"/>
        </w:rPr>
        <w:t>Diversity data on CASA employees, by classification, are provided in Table B.4 in Appendix B.</w:t>
      </w:r>
    </w:p>
    <w:p w14:paraId="410ED381" w14:textId="77777777" w:rsidR="00860F8E" w:rsidRPr="00053FD1" w:rsidRDefault="00860F8E" w:rsidP="00860F8E">
      <w:pPr>
        <w:pStyle w:val="FigureName"/>
      </w:pPr>
      <w:r w:rsidRPr="00053FD1">
        <w:t>Figure 11</w:t>
      </w:r>
      <w:r w:rsidRPr="00053FD1">
        <w:tab/>
        <w:t>Representation of diversity groups in CASA’s permanent workforce at 30 June 2018</w:t>
      </w:r>
    </w:p>
    <w:p w14:paraId="70D4D88C" w14:textId="77777777" w:rsidR="00860F8E" w:rsidRPr="00E57600" w:rsidRDefault="00860F8E" w:rsidP="009A6C3B">
      <w:pPr>
        <w:pStyle w:val="ListParagraph"/>
        <w:numPr>
          <w:ilvl w:val="0"/>
          <w:numId w:val="37"/>
        </w:numPr>
        <w:rPr>
          <w:rFonts w:cs="Geometric415BT-LiteA"/>
        </w:rPr>
      </w:pPr>
      <w:r w:rsidRPr="00E57600">
        <w:rPr>
          <w:rFonts w:cs="Geometric415BT-LiteA"/>
        </w:rPr>
        <w:t>34.5 per cent of staff are female *</w:t>
      </w:r>
    </w:p>
    <w:p w14:paraId="30846726" w14:textId="77777777" w:rsidR="00860F8E" w:rsidRPr="00E57600" w:rsidRDefault="00860F8E" w:rsidP="009A6C3B">
      <w:pPr>
        <w:pStyle w:val="ListParagraph"/>
        <w:numPr>
          <w:ilvl w:val="0"/>
          <w:numId w:val="37"/>
        </w:numPr>
        <w:rPr>
          <w:rFonts w:cs="Geometric415BT-LiteA"/>
        </w:rPr>
      </w:pPr>
      <w:r w:rsidRPr="00E57600">
        <w:rPr>
          <w:rFonts w:cs="Geometric415BT-LiteA"/>
        </w:rPr>
        <w:t>29.6 per cent of staff are aged 55 and over</w:t>
      </w:r>
    </w:p>
    <w:p w14:paraId="6275F30C" w14:textId="77777777" w:rsidR="00860F8E" w:rsidRPr="00E57600" w:rsidRDefault="00860F8E" w:rsidP="009A6C3B">
      <w:pPr>
        <w:pStyle w:val="ListParagraph"/>
        <w:numPr>
          <w:ilvl w:val="0"/>
          <w:numId w:val="37"/>
        </w:numPr>
        <w:rPr>
          <w:rFonts w:cs="Geometric415BT-LiteA"/>
        </w:rPr>
      </w:pPr>
      <w:r w:rsidRPr="00E57600">
        <w:rPr>
          <w:rFonts w:cs="Geometric415BT-LiteA"/>
        </w:rPr>
        <w:t xml:space="preserve">1.3 per cent of staff identify as Aboriginal and Torres Strait Islander </w:t>
      </w:r>
    </w:p>
    <w:p w14:paraId="61F9EFD2" w14:textId="77777777" w:rsidR="00860F8E" w:rsidRPr="00E57600" w:rsidRDefault="00860F8E" w:rsidP="009A6C3B">
      <w:pPr>
        <w:pStyle w:val="ListParagraph"/>
        <w:numPr>
          <w:ilvl w:val="0"/>
          <w:numId w:val="37"/>
        </w:numPr>
        <w:rPr>
          <w:rFonts w:cs="Geometric415BT-LiteA"/>
        </w:rPr>
      </w:pPr>
      <w:r w:rsidRPr="00E57600">
        <w:rPr>
          <w:rFonts w:cs="Geometric415BT-LiteA"/>
        </w:rPr>
        <w:t>2.7 per cent of staff identify as having disability</w:t>
      </w:r>
    </w:p>
    <w:p w14:paraId="4C722AAC" w14:textId="77777777" w:rsidR="00860F8E" w:rsidRPr="00E57600" w:rsidRDefault="00860F8E" w:rsidP="009A6C3B">
      <w:pPr>
        <w:pStyle w:val="ListParagraph"/>
        <w:numPr>
          <w:ilvl w:val="0"/>
          <w:numId w:val="37"/>
        </w:numPr>
        <w:rPr>
          <w:rFonts w:cs="Geometric415BT-LiteA"/>
        </w:rPr>
      </w:pPr>
      <w:r w:rsidRPr="00E57600">
        <w:rPr>
          <w:rFonts w:cs="Geometric415BT-LiteA"/>
        </w:rPr>
        <w:t>10.4 per cent of staff are from a non-English speaking background</w:t>
      </w:r>
    </w:p>
    <w:p w14:paraId="52DBEB17" w14:textId="77777777" w:rsidR="00860F8E" w:rsidRPr="00B51009" w:rsidRDefault="00860F8E" w:rsidP="00E57600">
      <w:r>
        <w:t>*</w:t>
      </w:r>
      <w:r w:rsidRPr="00B51009">
        <w:t xml:space="preserve"> Females are reported as a proportion of all employees (permanent and temporary).</w:t>
      </w:r>
    </w:p>
    <w:p w14:paraId="59D6ACB1" w14:textId="77777777" w:rsidR="00860F8E" w:rsidRPr="00053FD1" w:rsidRDefault="00860F8E" w:rsidP="00860F8E">
      <w:pPr>
        <w:pStyle w:val="Heading2noTOC"/>
        <w:rPr>
          <w:lang w:val="en-GB"/>
        </w:rPr>
      </w:pPr>
      <w:r w:rsidRPr="00053FD1">
        <w:rPr>
          <w:lang w:val="en-GB"/>
        </w:rPr>
        <w:t>Staff training and development</w:t>
      </w:r>
    </w:p>
    <w:p w14:paraId="1BABEC40" w14:textId="77777777" w:rsidR="00860F8E" w:rsidRPr="00053FD1" w:rsidRDefault="00860F8E" w:rsidP="00860F8E">
      <w:pPr>
        <w:pStyle w:val="BulletIntro"/>
        <w:rPr>
          <w:lang w:val="en-GB"/>
        </w:rPr>
      </w:pPr>
      <w:r w:rsidRPr="00053FD1">
        <w:rPr>
          <w:lang w:val="en-GB"/>
        </w:rPr>
        <w:t>The highlights of CASA staff training and development activities in 2017–18 included:</w:t>
      </w:r>
    </w:p>
    <w:p w14:paraId="2D9326F2" w14:textId="77777777" w:rsidR="00860F8E" w:rsidRPr="00053FD1" w:rsidRDefault="00860F8E" w:rsidP="00860F8E">
      <w:pPr>
        <w:pStyle w:val="Bullet"/>
        <w:rPr>
          <w:rFonts w:ascii="Arial" w:hAnsi="Arial" w:cs="Arial"/>
          <w:sz w:val="20"/>
        </w:rPr>
      </w:pPr>
      <w:r>
        <w:lastRenderedPageBreak/>
        <w:t>t</w:t>
      </w:r>
      <w:r w:rsidRPr="00053FD1">
        <w:t xml:space="preserve">he amalgamation of </w:t>
      </w:r>
      <w:r>
        <w:t xml:space="preserve">the </w:t>
      </w:r>
      <w:r w:rsidRPr="00053FD1">
        <w:t xml:space="preserve">Regulatory and Technical Training and Professional Development </w:t>
      </w:r>
      <w:r>
        <w:t>T</w:t>
      </w:r>
      <w:r w:rsidRPr="00053FD1">
        <w:t xml:space="preserve">raining sections into a unified Training Branch </w:t>
      </w:r>
    </w:p>
    <w:p w14:paraId="0149E7A3" w14:textId="77777777" w:rsidR="00860F8E" w:rsidRPr="00053FD1" w:rsidRDefault="00860F8E" w:rsidP="00860F8E">
      <w:pPr>
        <w:pStyle w:val="Bullet"/>
      </w:pPr>
      <w:r>
        <w:t>t</w:t>
      </w:r>
      <w:r w:rsidRPr="00053FD1">
        <w:t>he introduction of the Learning Advisory Panel</w:t>
      </w:r>
      <w:r>
        <w:t>,</w:t>
      </w:r>
      <w:r w:rsidRPr="00053FD1">
        <w:t xml:space="preserve"> to allow greater organisational oversight and input into the strategic direction of </w:t>
      </w:r>
      <w:r>
        <w:t xml:space="preserve">the </w:t>
      </w:r>
      <w:r w:rsidRPr="00053FD1">
        <w:t xml:space="preserve">Training Branch </w:t>
      </w:r>
    </w:p>
    <w:p w14:paraId="0B4803E7" w14:textId="77777777" w:rsidR="00860F8E" w:rsidRPr="00053FD1" w:rsidRDefault="00860F8E" w:rsidP="00860F8E">
      <w:pPr>
        <w:pStyle w:val="Bullet"/>
        <w:rPr>
          <w:rFonts w:ascii="Arial" w:hAnsi="Arial" w:cs="Arial"/>
          <w:sz w:val="20"/>
        </w:rPr>
      </w:pPr>
      <w:r>
        <w:t>r</w:t>
      </w:r>
      <w:r w:rsidRPr="00053FD1">
        <w:t xml:space="preserve">ecognition of </w:t>
      </w:r>
      <w:r>
        <w:t>CASA’s</w:t>
      </w:r>
      <w:r w:rsidRPr="00053FD1">
        <w:t xml:space="preserve"> </w:t>
      </w:r>
      <w:r>
        <w:t>t</w:t>
      </w:r>
      <w:r w:rsidRPr="00053FD1">
        <w:t xml:space="preserve">echnical </w:t>
      </w:r>
      <w:r>
        <w:t>t</w:t>
      </w:r>
      <w:r w:rsidRPr="00053FD1">
        <w:t xml:space="preserve">raining </w:t>
      </w:r>
      <w:r>
        <w:t>p</w:t>
      </w:r>
      <w:r w:rsidRPr="00053FD1">
        <w:t xml:space="preserve">athways and related training programs during the </w:t>
      </w:r>
      <w:r>
        <w:t xml:space="preserve">2017 </w:t>
      </w:r>
      <w:r w:rsidRPr="00053FD1">
        <w:t xml:space="preserve">ICAO </w:t>
      </w:r>
      <w:r>
        <w:t>c</w:t>
      </w:r>
      <w:r w:rsidRPr="00053FD1">
        <w:t xml:space="preserve">oordinated </w:t>
      </w:r>
      <w:r>
        <w:t>v</w:t>
      </w:r>
      <w:r w:rsidRPr="00053FD1">
        <w:t xml:space="preserve">alidation </w:t>
      </w:r>
      <w:r>
        <w:t>m</w:t>
      </w:r>
      <w:r w:rsidRPr="00053FD1">
        <w:t>ission</w:t>
      </w:r>
    </w:p>
    <w:p w14:paraId="64CA646C" w14:textId="77777777" w:rsidR="00860F8E" w:rsidRPr="00053FD1" w:rsidRDefault="00860F8E" w:rsidP="00860F8E">
      <w:pPr>
        <w:pStyle w:val="BulletLast"/>
        <w:rPr>
          <w:rFonts w:ascii="Arial" w:hAnsi="Arial" w:cs="Arial"/>
          <w:sz w:val="20"/>
        </w:rPr>
      </w:pPr>
      <w:r>
        <w:t>t</w:t>
      </w:r>
      <w:r w:rsidRPr="00053FD1">
        <w:t>he introduction in February 2018 of an online learning resource comprising over 7,000 training programs designed to support individual professional development</w:t>
      </w:r>
      <w:r>
        <w:t>.</w:t>
      </w:r>
    </w:p>
    <w:p w14:paraId="437B6EB8" w14:textId="77777777" w:rsidR="00860F8E" w:rsidRPr="00053FD1" w:rsidRDefault="00860F8E" w:rsidP="00860F8E">
      <w:pPr>
        <w:pStyle w:val="Bullet"/>
        <w:numPr>
          <w:ilvl w:val="0"/>
          <w:numId w:val="0"/>
        </w:numPr>
        <w:rPr>
          <w:szCs w:val="24"/>
        </w:rPr>
      </w:pPr>
      <w:r w:rsidRPr="00053FD1">
        <w:rPr>
          <w:rFonts w:eastAsia="Calibri" w:cs="Arial"/>
          <w:color w:val="000000"/>
          <w:szCs w:val="24"/>
        </w:rPr>
        <w:t>CASA continues to refine and improve programs within the Regulatory and Technical Training Framework as part of the continual improvement of course offerings. Leadership and professional development solutions are also being rolled out in support of CASA’s Capability Framework.</w:t>
      </w:r>
    </w:p>
    <w:p w14:paraId="71536527" w14:textId="77777777" w:rsidR="00860F8E" w:rsidRPr="00053FD1" w:rsidRDefault="00860F8E" w:rsidP="00860F8E">
      <w:pPr>
        <w:pStyle w:val="Heading3"/>
        <w:rPr>
          <w:lang w:val="en-GB"/>
        </w:rPr>
      </w:pPr>
      <w:r w:rsidRPr="00053FD1">
        <w:rPr>
          <w:lang w:val="en-GB"/>
        </w:rPr>
        <w:t>Content</w:t>
      </w:r>
    </w:p>
    <w:p w14:paraId="275C80FB" w14:textId="77777777" w:rsidR="00860F8E" w:rsidRPr="00053FD1" w:rsidRDefault="00860F8E" w:rsidP="00860F8E">
      <w:pPr>
        <w:autoSpaceDE w:val="0"/>
        <w:autoSpaceDN w:val="0"/>
        <w:adjustRightInd w:val="0"/>
        <w:rPr>
          <w:rFonts w:cs="Arial"/>
          <w:color w:val="000000"/>
          <w:szCs w:val="24"/>
        </w:rPr>
      </w:pPr>
      <w:r>
        <w:rPr>
          <w:rFonts w:cs="Arial"/>
          <w:color w:val="000000"/>
          <w:szCs w:val="24"/>
        </w:rPr>
        <w:t>CASA</w:t>
      </w:r>
      <w:r w:rsidRPr="00053FD1">
        <w:rPr>
          <w:rFonts w:cs="Arial"/>
          <w:color w:val="000000"/>
          <w:szCs w:val="24"/>
        </w:rPr>
        <w:t xml:space="preserve"> developed and reviewed significant training content during 2017–18 in support of the mandatory training programs for </w:t>
      </w:r>
      <w:r>
        <w:rPr>
          <w:rFonts w:cs="Arial"/>
          <w:color w:val="000000"/>
          <w:szCs w:val="24"/>
        </w:rPr>
        <w:t>i</w:t>
      </w:r>
      <w:r w:rsidRPr="00053FD1">
        <w:rPr>
          <w:rFonts w:cs="Arial"/>
          <w:color w:val="000000"/>
          <w:szCs w:val="24"/>
        </w:rPr>
        <w:t>nspectors. Additionally, specialist courses were created to enhance expertise in areas such as aircraft certification, air display approvals and performance</w:t>
      </w:r>
      <w:r>
        <w:rPr>
          <w:rFonts w:cs="Arial"/>
          <w:color w:val="000000"/>
          <w:szCs w:val="24"/>
        </w:rPr>
        <w:t>-</w:t>
      </w:r>
      <w:r w:rsidRPr="00053FD1">
        <w:rPr>
          <w:rFonts w:cs="Arial"/>
          <w:color w:val="000000"/>
          <w:szCs w:val="24"/>
        </w:rPr>
        <w:t>based navigation.</w:t>
      </w:r>
    </w:p>
    <w:p w14:paraId="22CCE1BF" w14:textId="77777777" w:rsidR="00860F8E" w:rsidRPr="00053FD1" w:rsidRDefault="00860F8E" w:rsidP="00860F8E">
      <w:pPr>
        <w:autoSpaceDE w:val="0"/>
        <w:autoSpaceDN w:val="0"/>
        <w:adjustRightInd w:val="0"/>
        <w:rPr>
          <w:rFonts w:cs="Arial"/>
          <w:szCs w:val="24"/>
        </w:rPr>
      </w:pPr>
      <w:r w:rsidRPr="00053FD1">
        <w:rPr>
          <w:rFonts w:cs="Arial"/>
          <w:szCs w:val="24"/>
        </w:rPr>
        <w:t xml:space="preserve">Inspectorate capability was also enhanced through the procurement of externally provided courses covering aircraft weight and balance, B787 general familiarisation for engineers, </w:t>
      </w:r>
      <w:r w:rsidRPr="00053FD1">
        <w:t xml:space="preserve">aircraft composite materials training, </w:t>
      </w:r>
      <w:r w:rsidRPr="00053FD1">
        <w:rPr>
          <w:rFonts w:cs="Arial"/>
          <w:szCs w:val="24"/>
        </w:rPr>
        <w:t>and non-destructive inspection training for engineers.</w:t>
      </w:r>
    </w:p>
    <w:p w14:paraId="28FD1795" w14:textId="77777777" w:rsidR="00860F8E" w:rsidRPr="00053FD1" w:rsidRDefault="00860F8E" w:rsidP="00860F8E">
      <w:pPr>
        <w:autoSpaceDE w:val="0"/>
        <w:autoSpaceDN w:val="0"/>
        <w:adjustRightInd w:val="0"/>
        <w:rPr>
          <w:rFonts w:cs="Arial"/>
          <w:szCs w:val="24"/>
        </w:rPr>
      </w:pPr>
      <w:r>
        <w:rPr>
          <w:rFonts w:cs="Arial"/>
          <w:szCs w:val="24"/>
        </w:rPr>
        <w:t xml:space="preserve">CASA’s </w:t>
      </w:r>
      <w:r w:rsidRPr="00053FD1">
        <w:rPr>
          <w:rFonts w:cs="Arial"/>
          <w:szCs w:val="24"/>
        </w:rPr>
        <w:t xml:space="preserve">Training Branch is working to assist </w:t>
      </w:r>
      <w:r>
        <w:rPr>
          <w:rFonts w:cs="Arial"/>
          <w:szCs w:val="24"/>
        </w:rPr>
        <w:t>CASA’s</w:t>
      </w:r>
      <w:r w:rsidRPr="00053FD1">
        <w:rPr>
          <w:rFonts w:cs="Arial"/>
          <w:szCs w:val="24"/>
        </w:rPr>
        <w:t xml:space="preserve"> </w:t>
      </w:r>
      <w:r>
        <w:rPr>
          <w:rFonts w:cs="Arial"/>
          <w:szCs w:val="24"/>
        </w:rPr>
        <w:t>r</w:t>
      </w:r>
      <w:r w:rsidRPr="00053FD1">
        <w:rPr>
          <w:rFonts w:cs="Arial"/>
          <w:szCs w:val="24"/>
        </w:rPr>
        <w:t xml:space="preserve">egulatory </w:t>
      </w:r>
      <w:r>
        <w:rPr>
          <w:rFonts w:cs="Arial"/>
          <w:szCs w:val="24"/>
        </w:rPr>
        <w:t>reform program</w:t>
      </w:r>
      <w:r w:rsidRPr="00053FD1">
        <w:rPr>
          <w:rFonts w:cs="Arial"/>
          <w:szCs w:val="24"/>
        </w:rPr>
        <w:t xml:space="preserve">, </w:t>
      </w:r>
      <w:r>
        <w:rPr>
          <w:rFonts w:cs="Arial"/>
          <w:szCs w:val="24"/>
        </w:rPr>
        <w:t>by creating content</w:t>
      </w:r>
      <w:r w:rsidRPr="00053FD1">
        <w:rPr>
          <w:rFonts w:cs="Arial"/>
          <w:szCs w:val="24"/>
        </w:rPr>
        <w:t xml:space="preserve"> to support the introduction of </w:t>
      </w:r>
      <w:r>
        <w:rPr>
          <w:rFonts w:cs="Arial"/>
          <w:szCs w:val="24"/>
        </w:rPr>
        <w:t xml:space="preserve">CASR </w:t>
      </w:r>
      <w:r w:rsidRPr="00053FD1">
        <w:rPr>
          <w:rFonts w:cs="Arial"/>
          <w:szCs w:val="24"/>
        </w:rPr>
        <w:t>Parts 149 (</w:t>
      </w:r>
      <w:r>
        <w:rPr>
          <w:rFonts w:cs="Arial"/>
          <w:szCs w:val="24"/>
        </w:rPr>
        <w:t>s</w:t>
      </w:r>
      <w:r w:rsidRPr="00053FD1">
        <w:rPr>
          <w:rFonts w:cs="Arial"/>
          <w:szCs w:val="24"/>
        </w:rPr>
        <w:t>elf</w:t>
      </w:r>
      <w:r>
        <w:rPr>
          <w:rFonts w:cs="Arial"/>
          <w:szCs w:val="24"/>
        </w:rPr>
        <w:t>-a</w:t>
      </w:r>
      <w:r w:rsidRPr="00053FD1">
        <w:rPr>
          <w:rFonts w:cs="Arial"/>
          <w:szCs w:val="24"/>
        </w:rPr>
        <w:t xml:space="preserve">dministering </w:t>
      </w:r>
      <w:r>
        <w:rPr>
          <w:rFonts w:cs="Arial"/>
          <w:szCs w:val="24"/>
        </w:rPr>
        <w:t>s</w:t>
      </w:r>
      <w:r w:rsidRPr="00053FD1">
        <w:rPr>
          <w:rFonts w:cs="Arial"/>
          <w:szCs w:val="24"/>
        </w:rPr>
        <w:t xml:space="preserve">ports </w:t>
      </w:r>
      <w:r>
        <w:rPr>
          <w:rFonts w:cs="Arial"/>
          <w:szCs w:val="24"/>
        </w:rPr>
        <w:t>o</w:t>
      </w:r>
      <w:r w:rsidRPr="00053FD1">
        <w:rPr>
          <w:rFonts w:cs="Arial"/>
          <w:szCs w:val="24"/>
        </w:rPr>
        <w:t>rganisations)</w:t>
      </w:r>
      <w:r>
        <w:rPr>
          <w:rFonts w:cs="Arial"/>
          <w:szCs w:val="24"/>
        </w:rPr>
        <w:t xml:space="preserve"> and</w:t>
      </w:r>
      <w:r w:rsidRPr="00053FD1">
        <w:rPr>
          <w:rFonts w:cs="Arial"/>
          <w:szCs w:val="24"/>
        </w:rPr>
        <w:t xml:space="preserve"> 139 (</w:t>
      </w:r>
      <w:r>
        <w:rPr>
          <w:rFonts w:cs="Arial"/>
          <w:szCs w:val="24"/>
        </w:rPr>
        <w:t>a</w:t>
      </w:r>
      <w:r w:rsidRPr="00053FD1">
        <w:rPr>
          <w:rFonts w:cs="Arial"/>
          <w:szCs w:val="24"/>
        </w:rPr>
        <w:t>erodromes) and C</w:t>
      </w:r>
      <w:r>
        <w:rPr>
          <w:rFonts w:cs="Arial"/>
          <w:szCs w:val="24"/>
        </w:rPr>
        <w:t xml:space="preserve">ivil </w:t>
      </w:r>
      <w:r w:rsidRPr="00053FD1">
        <w:rPr>
          <w:rFonts w:cs="Arial"/>
          <w:szCs w:val="24"/>
        </w:rPr>
        <w:t>A</w:t>
      </w:r>
      <w:r>
        <w:rPr>
          <w:rFonts w:cs="Arial"/>
          <w:szCs w:val="24"/>
        </w:rPr>
        <w:t xml:space="preserve">viation </w:t>
      </w:r>
      <w:r w:rsidRPr="00053FD1">
        <w:rPr>
          <w:rFonts w:cs="Arial"/>
          <w:szCs w:val="24"/>
        </w:rPr>
        <w:t>R</w:t>
      </w:r>
      <w:r>
        <w:rPr>
          <w:rFonts w:cs="Arial"/>
          <w:szCs w:val="24"/>
        </w:rPr>
        <w:t xml:space="preserve">egulation </w:t>
      </w:r>
      <w:r w:rsidRPr="00053FD1">
        <w:rPr>
          <w:rFonts w:cs="Arial"/>
          <w:szCs w:val="24"/>
        </w:rPr>
        <w:t>234 (</w:t>
      </w:r>
      <w:r>
        <w:rPr>
          <w:rFonts w:cs="Arial"/>
          <w:szCs w:val="24"/>
        </w:rPr>
        <w:t>f</w:t>
      </w:r>
      <w:r w:rsidRPr="00053FD1">
        <w:rPr>
          <w:rFonts w:cs="Arial"/>
          <w:szCs w:val="24"/>
        </w:rPr>
        <w:t>uel).</w:t>
      </w:r>
    </w:p>
    <w:bookmarkEnd w:id="76"/>
    <w:p w14:paraId="107E75A4" w14:textId="77777777" w:rsidR="00860F8E" w:rsidRPr="00053FD1" w:rsidRDefault="00860F8E" w:rsidP="00860F8E">
      <w:pPr>
        <w:pStyle w:val="Heading3"/>
        <w:rPr>
          <w:lang w:val="en-GB"/>
        </w:rPr>
      </w:pPr>
      <w:r w:rsidRPr="00053FD1">
        <w:rPr>
          <w:lang w:val="en-GB"/>
        </w:rPr>
        <w:t>Delivery</w:t>
      </w:r>
    </w:p>
    <w:p w14:paraId="5E73C521" w14:textId="77777777" w:rsidR="00860F8E" w:rsidRPr="00053FD1" w:rsidRDefault="00860F8E" w:rsidP="00860F8E">
      <w:pPr>
        <w:autoSpaceDE w:val="0"/>
        <w:autoSpaceDN w:val="0"/>
        <w:adjustRightInd w:val="0"/>
        <w:rPr>
          <w:rFonts w:cs="Arial"/>
          <w:color w:val="000000"/>
          <w:szCs w:val="24"/>
        </w:rPr>
      </w:pPr>
      <w:r w:rsidRPr="00053FD1">
        <w:rPr>
          <w:rFonts w:cs="Arial"/>
          <w:color w:val="000000"/>
          <w:szCs w:val="24"/>
        </w:rPr>
        <w:t>During 2017–18</w:t>
      </w:r>
      <w:r>
        <w:rPr>
          <w:rFonts w:cs="Arial"/>
          <w:color w:val="000000"/>
          <w:szCs w:val="24"/>
        </w:rPr>
        <w:t>, CASA</w:t>
      </w:r>
      <w:r w:rsidRPr="00053FD1">
        <w:rPr>
          <w:rFonts w:cs="Arial"/>
          <w:color w:val="000000"/>
          <w:szCs w:val="24"/>
        </w:rPr>
        <w:t xml:space="preserve"> delivered four </w:t>
      </w:r>
      <w:r>
        <w:rPr>
          <w:rFonts w:cs="Arial"/>
          <w:color w:val="000000"/>
          <w:szCs w:val="24"/>
        </w:rPr>
        <w:t>three</w:t>
      </w:r>
      <w:r w:rsidRPr="00053FD1">
        <w:rPr>
          <w:rFonts w:cs="Arial"/>
          <w:color w:val="000000"/>
          <w:szCs w:val="24"/>
        </w:rPr>
        <w:t>-day orientation programs</w:t>
      </w:r>
      <w:r>
        <w:rPr>
          <w:rFonts w:cs="Arial"/>
          <w:color w:val="000000"/>
          <w:szCs w:val="24"/>
        </w:rPr>
        <w:t xml:space="preserve"> and</w:t>
      </w:r>
      <w:r w:rsidRPr="00053FD1">
        <w:rPr>
          <w:rFonts w:cs="Arial"/>
          <w:color w:val="000000"/>
          <w:szCs w:val="24"/>
        </w:rPr>
        <w:t xml:space="preserve"> four </w:t>
      </w:r>
      <w:r>
        <w:rPr>
          <w:rFonts w:cs="Arial"/>
          <w:color w:val="000000"/>
          <w:szCs w:val="24"/>
        </w:rPr>
        <w:t>four</w:t>
      </w:r>
      <w:r w:rsidRPr="00053FD1">
        <w:rPr>
          <w:rFonts w:cs="Arial"/>
          <w:color w:val="000000"/>
          <w:szCs w:val="24"/>
        </w:rPr>
        <w:t xml:space="preserve">-week foundation training programs, and completed two advanced training programs for each of the key inspectorate roles. </w:t>
      </w:r>
    </w:p>
    <w:p w14:paraId="1A5E77CE" w14:textId="77777777" w:rsidR="00860F8E" w:rsidRDefault="00860F8E" w:rsidP="00860F8E">
      <w:pPr>
        <w:pStyle w:val="BulletIntro"/>
      </w:pPr>
      <w:r>
        <w:t>Classroom-based training in 2017–18 comprised:</w:t>
      </w:r>
    </w:p>
    <w:p w14:paraId="3526D422" w14:textId="77777777" w:rsidR="00860F8E" w:rsidRPr="00F8012D" w:rsidRDefault="00860F8E" w:rsidP="00860F8E">
      <w:pPr>
        <w:pStyle w:val="Bullet"/>
        <w:rPr>
          <w:rFonts w:eastAsia="Calibri"/>
        </w:rPr>
      </w:pPr>
      <w:r>
        <w:rPr>
          <w:rFonts w:eastAsia="Calibri"/>
        </w:rPr>
        <w:t>37</w:t>
      </w:r>
      <w:r w:rsidRPr="00F8012D">
        <w:rPr>
          <w:rFonts w:eastAsia="Calibri"/>
        </w:rPr>
        <w:t xml:space="preserve"> </w:t>
      </w:r>
      <w:r w:rsidRPr="00F8012D">
        <w:t xml:space="preserve">regulatory and technical training </w:t>
      </w:r>
      <w:r w:rsidRPr="00F8012D">
        <w:rPr>
          <w:rFonts w:eastAsia="Calibri"/>
        </w:rPr>
        <w:t>courses, attended by a total of 76</w:t>
      </w:r>
      <w:r>
        <w:rPr>
          <w:rFonts w:eastAsia="Calibri"/>
        </w:rPr>
        <w:t>0</w:t>
      </w:r>
      <w:r w:rsidRPr="00F8012D">
        <w:rPr>
          <w:rFonts w:eastAsia="Calibri"/>
        </w:rPr>
        <w:t xml:space="preserve"> participants over a total of 66 individual sessions</w:t>
      </w:r>
    </w:p>
    <w:p w14:paraId="2DA4DBF8" w14:textId="77777777" w:rsidR="00860F8E" w:rsidRDefault="00860F8E" w:rsidP="00860F8E">
      <w:pPr>
        <w:pStyle w:val="BulletLast"/>
        <w:rPr>
          <w:rFonts w:eastAsia="Calibri"/>
        </w:rPr>
      </w:pPr>
      <w:r w:rsidRPr="00053FD1">
        <w:rPr>
          <w:rFonts w:eastAsia="Calibri"/>
        </w:rPr>
        <w:t xml:space="preserve">32 </w:t>
      </w:r>
      <w:r w:rsidRPr="00053FD1">
        <w:t>professional development</w:t>
      </w:r>
      <w:r w:rsidRPr="00053FD1">
        <w:rPr>
          <w:rFonts w:eastAsia="Calibri"/>
        </w:rPr>
        <w:t xml:space="preserve"> courses</w:t>
      </w:r>
      <w:r>
        <w:rPr>
          <w:rFonts w:eastAsia="Calibri"/>
        </w:rPr>
        <w:t>,</w:t>
      </w:r>
      <w:r w:rsidRPr="00053FD1">
        <w:rPr>
          <w:rFonts w:eastAsia="Calibri"/>
        </w:rPr>
        <w:t xml:space="preserve"> attended by a total of 1,068 participants</w:t>
      </w:r>
      <w:r>
        <w:rPr>
          <w:rFonts w:eastAsia="Calibri"/>
        </w:rPr>
        <w:t>.</w:t>
      </w:r>
    </w:p>
    <w:p w14:paraId="289774BD" w14:textId="77777777" w:rsidR="00860F8E" w:rsidRPr="00053FD1" w:rsidRDefault="00860F8E" w:rsidP="00860F8E">
      <w:r>
        <w:t xml:space="preserve">CASA </w:t>
      </w:r>
      <w:r w:rsidRPr="00053FD1">
        <w:t xml:space="preserve">staff completed 3,312 training sessions </w:t>
      </w:r>
      <w:r>
        <w:t xml:space="preserve">through CASA e-learning, </w:t>
      </w:r>
      <w:r w:rsidRPr="00053FD1">
        <w:t>across 26 courses</w:t>
      </w:r>
      <w:r>
        <w:t>; and completed 122 courses and accessed 8,715 training videos online through Lynda.com.</w:t>
      </w:r>
      <w:r w:rsidRPr="00053FD1">
        <w:t xml:space="preserve"> </w:t>
      </w:r>
    </w:p>
    <w:p w14:paraId="5566409D" w14:textId="77777777" w:rsidR="00860F8E" w:rsidRPr="00053FD1" w:rsidRDefault="00860F8E" w:rsidP="00860F8E">
      <w:r>
        <w:t xml:space="preserve">CASA also provided external e-learning opportunities for industry. A total of </w:t>
      </w:r>
      <w:r w:rsidRPr="00053FD1">
        <w:t xml:space="preserve">415 </w:t>
      </w:r>
      <w:r>
        <w:t>f</w:t>
      </w:r>
      <w:r w:rsidRPr="00053FD1">
        <w:t xml:space="preserve">light </w:t>
      </w:r>
      <w:r>
        <w:t>e</w:t>
      </w:r>
      <w:r w:rsidRPr="00053FD1">
        <w:t>xaminer sessions were completed</w:t>
      </w:r>
      <w:r>
        <w:t xml:space="preserve">, and </w:t>
      </w:r>
      <w:r w:rsidRPr="00053FD1">
        <w:t>9,384 sessions were completed through the Aviation Works portal.</w:t>
      </w:r>
    </w:p>
    <w:p w14:paraId="4EC9AB97" w14:textId="77777777" w:rsidR="00860F8E" w:rsidRPr="00053FD1" w:rsidRDefault="00860F8E" w:rsidP="00860F8E">
      <w:r w:rsidRPr="00053FD1">
        <w:t xml:space="preserve">Table </w:t>
      </w:r>
      <w:r w:rsidR="0050220E">
        <w:t>10</w:t>
      </w:r>
      <w:r w:rsidR="003C4D63" w:rsidRPr="00053FD1">
        <w:t xml:space="preserve"> </w:t>
      </w:r>
      <w:r w:rsidRPr="00053FD1">
        <w:t>shows staff training and professional development activities for CASA employees from 2013–14 to 2017–18.</w:t>
      </w:r>
    </w:p>
    <w:p w14:paraId="29C8908E" w14:textId="77777777" w:rsidR="00860F8E" w:rsidRPr="00053FD1" w:rsidRDefault="00860F8E" w:rsidP="00860F8E">
      <w:pPr>
        <w:pStyle w:val="TableName"/>
      </w:pPr>
      <w:bookmarkStart w:id="77" w:name="_Toc365737725"/>
      <w:bookmarkStart w:id="78" w:name="_Toc365794478"/>
      <w:r w:rsidRPr="00053FD1">
        <w:lastRenderedPageBreak/>
        <w:t xml:space="preserve">Table </w:t>
      </w:r>
      <w:r w:rsidR="0050220E">
        <w:t>10</w:t>
      </w:r>
      <w:r w:rsidRPr="00053FD1">
        <w:tab/>
        <w:t xml:space="preserve">Staff training and professional development per employee, </w:t>
      </w:r>
      <w:bookmarkEnd w:id="77"/>
      <w:bookmarkEnd w:id="78"/>
      <w:r>
        <w:t>2013–14 to 2017–18</w:t>
      </w:r>
      <w:r w:rsidRPr="00053FD1">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364"/>
        <w:gridCol w:w="1364"/>
        <w:gridCol w:w="1364"/>
        <w:gridCol w:w="1364"/>
        <w:gridCol w:w="1364"/>
        <w:gridCol w:w="1365"/>
      </w:tblGrid>
      <w:tr w:rsidR="00860F8E" w:rsidRPr="00053FD1" w14:paraId="0989C401" w14:textId="77777777" w:rsidTr="00A86663">
        <w:trPr>
          <w:tblHeader/>
        </w:trPr>
        <w:tc>
          <w:tcPr>
            <w:tcW w:w="1101" w:type="dxa"/>
            <w:vMerge w:val="restart"/>
            <w:shd w:val="clear" w:color="auto" w:fill="auto"/>
          </w:tcPr>
          <w:p w14:paraId="0E5E631E" w14:textId="77777777" w:rsidR="00860F8E" w:rsidRPr="00053FD1" w:rsidRDefault="00860F8E" w:rsidP="00EF6063">
            <w:pPr>
              <w:pStyle w:val="TableHeading"/>
            </w:pPr>
            <w:r w:rsidRPr="00053FD1">
              <w:t>Financial year</w:t>
            </w:r>
          </w:p>
        </w:tc>
        <w:tc>
          <w:tcPr>
            <w:tcW w:w="5456" w:type="dxa"/>
            <w:gridSpan w:val="4"/>
            <w:shd w:val="clear" w:color="auto" w:fill="auto"/>
          </w:tcPr>
          <w:p w14:paraId="560D2CF8" w14:textId="77777777" w:rsidR="00860F8E" w:rsidRPr="00053FD1" w:rsidRDefault="00860F8E" w:rsidP="00EF6063">
            <w:pPr>
              <w:pStyle w:val="TableHeading"/>
              <w:jc w:val="center"/>
              <w:rPr>
                <w:bCs/>
              </w:rPr>
            </w:pPr>
            <w:r w:rsidRPr="00053FD1">
              <w:rPr>
                <w:bCs/>
              </w:rPr>
              <w:t>Classroom-based courses</w:t>
            </w:r>
          </w:p>
        </w:tc>
        <w:tc>
          <w:tcPr>
            <w:tcW w:w="2729" w:type="dxa"/>
            <w:gridSpan w:val="2"/>
            <w:vMerge w:val="restart"/>
            <w:shd w:val="clear" w:color="auto" w:fill="auto"/>
          </w:tcPr>
          <w:p w14:paraId="52831357" w14:textId="77777777" w:rsidR="00860F8E" w:rsidRPr="00053FD1" w:rsidRDefault="00860F8E" w:rsidP="00EF6063">
            <w:pPr>
              <w:pStyle w:val="TableHeading"/>
              <w:jc w:val="center"/>
              <w:rPr>
                <w:bCs/>
              </w:rPr>
            </w:pPr>
            <w:r>
              <w:rPr>
                <w:bCs/>
              </w:rPr>
              <w:t>E</w:t>
            </w:r>
            <w:r w:rsidRPr="00053FD1">
              <w:rPr>
                <w:bCs/>
              </w:rPr>
              <w:t>-learning</w:t>
            </w:r>
            <w:r w:rsidRPr="00B70EBD">
              <w:rPr>
                <w:bCs/>
                <w:vertAlign w:val="superscript"/>
              </w:rPr>
              <w:t>a</w:t>
            </w:r>
          </w:p>
        </w:tc>
      </w:tr>
      <w:tr w:rsidR="00860F8E" w:rsidRPr="00053FD1" w14:paraId="1BB99E98" w14:textId="77777777" w:rsidTr="00A86663">
        <w:trPr>
          <w:tblHeader/>
        </w:trPr>
        <w:tc>
          <w:tcPr>
            <w:tcW w:w="1101" w:type="dxa"/>
            <w:vMerge/>
            <w:shd w:val="clear" w:color="auto" w:fill="auto"/>
          </w:tcPr>
          <w:p w14:paraId="05311436" w14:textId="77777777" w:rsidR="00860F8E" w:rsidRPr="00053FD1" w:rsidRDefault="00860F8E" w:rsidP="00EF6063">
            <w:pPr>
              <w:pStyle w:val="TableHeading"/>
            </w:pPr>
          </w:p>
        </w:tc>
        <w:tc>
          <w:tcPr>
            <w:tcW w:w="2728" w:type="dxa"/>
            <w:gridSpan w:val="2"/>
            <w:shd w:val="clear" w:color="auto" w:fill="auto"/>
          </w:tcPr>
          <w:p w14:paraId="46E117C9" w14:textId="77777777" w:rsidR="00860F8E" w:rsidRPr="00053FD1" w:rsidRDefault="00860F8E" w:rsidP="00EF6063">
            <w:pPr>
              <w:pStyle w:val="TableHeading"/>
            </w:pPr>
            <w:r w:rsidRPr="00053FD1">
              <w:rPr>
                <w:bCs/>
              </w:rPr>
              <w:t>Regulatory and technical training</w:t>
            </w:r>
          </w:p>
        </w:tc>
        <w:tc>
          <w:tcPr>
            <w:tcW w:w="2728" w:type="dxa"/>
            <w:gridSpan w:val="2"/>
            <w:shd w:val="clear" w:color="auto" w:fill="auto"/>
          </w:tcPr>
          <w:p w14:paraId="445A4E64" w14:textId="77777777" w:rsidR="00860F8E" w:rsidRPr="00053FD1" w:rsidRDefault="00860F8E" w:rsidP="00EF6063">
            <w:pPr>
              <w:pStyle w:val="TableHeading"/>
              <w:rPr>
                <w:bCs/>
              </w:rPr>
            </w:pPr>
            <w:r w:rsidRPr="00053FD1">
              <w:rPr>
                <w:bCs/>
              </w:rPr>
              <w:t>Professional development</w:t>
            </w:r>
          </w:p>
        </w:tc>
        <w:tc>
          <w:tcPr>
            <w:tcW w:w="2729" w:type="dxa"/>
            <w:gridSpan w:val="2"/>
            <w:vMerge/>
            <w:shd w:val="clear" w:color="auto" w:fill="auto"/>
          </w:tcPr>
          <w:p w14:paraId="577E1A09" w14:textId="77777777" w:rsidR="00860F8E" w:rsidRPr="00053FD1" w:rsidRDefault="00860F8E" w:rsidP="00EF6063">
            <w:pPr>
              <w:pStyle w:val="TableHeading"/>
              <w:rPr>
                <w:bCs/>
              </w:rPr>
            </w:pPr>
          </w:p>
        </w:tc>
      </w:tr>
      <w:tr w:rsidR="00860F8E" w:rsidRPr="00053FD1" w14:paraId="0AE5F9FF" w14:textId="77777777" w:rsidTr="00A86663">
        <w:trPr>
          <w:tblHeader/>
        </w:trPr>
        <w:tc>
          <w:tcPr>
            <w:tcW w:w="1101" w:type="dxa"/>
            <w:vMerge/>
            <w:shd w:val="clear" w:color="auto" w:fill="auto"/>
            <w:vAlign w:val="bottom"/>
          </w:tcPr>
          <w:p w14:paraId="3B05E018" w14:textId="77777777" w:rsidR="00860F8E" w:rsidRPr="00053FD1" w:rsidRDefault="00860F8E" w:rsidP="00EF6063">
            <w:pPr>
              <w:pStyle w:val="TableHeading"/>
            </w:pPr>
          </w:p>
        </w:tc>
        <w:tc>
          <w:tcPr>
            <w:tcW w:w="1364" w:type="dxa"/>
            <w:shd w:val="clear" w:color="auto" w:fill="auto"/>
            <w:vAlign w:val="bottom"/>
          </w:tcPr>
          <w:p w14:paraId="6B72DF5E" w14:textId="77777777" w:rsidR="00860F8E" w:rsidRPr="00053FD1" w:rsidRDefault="00860F8E" w:rsidP="00EF6063">
            <w:pPr>
              <w:pStyle w:val="TableHeading"/>
              <w:rPr>
                <w:bCs/>
              </w:rPr>
            </w:pPr>
            <w:r w:rsidRPr="00053FD1">
              <w:rPr>
                <w:bCs/>
              </w:rPr>
              <w:t>Courses</w:t>
            </w:r>
          </w:p>
        </w:tc>
        <w:tc>
          <w:tcPr>
            <w:tcW w:w="1364" w:type="dxa"/>
            <w:shd w:val="clear" w:color="auto" w:fill="auto"/>
            <w:vAlign w:val="bottom"/>
          </w:tcPr>
          <w:p w14:paraId="30F01382" w14:textId="77777777" w:rsidR="00860F8E" w:rsidRPr="00053FD1" w:rsidRDefault="00860F8E" w:rsidP="00EF6063">
            <w:pPr>
              <w:pStyle w:val="TableHeading"/>
            </w:pPr>
            <w:r w:rsidRPr="00053FD1">
              <w:t>Participants</w:t>
            </w:r>
          </w:p>
        </w:tc>
        <w:tc>
          <w:tcPr>
            <w:tcW w:w="1364" w:type="dxa"/>
            <w:shd w:val="clear" w:color="auto" w:fill="auto"/>
            <w:vAlign w:val="bottom"/>
          </w:tcPr>
          <w:p w14:paraId="05292D89" w14:textId="77777777" w:rsidR="00860F8E" w:rsidRPr="00053FD1" w:rsidRDefault="00860F8E" w:rsidP="00EF6063">
            <w:pPr>
              <w:pStyle w:val="TableHeading"/>
              <w:rPr>
                <w:bCs/>
              </w:rPr>
            </w:pPr>
            <w:r w:rsidRPr="00053FD1">
              <w:rPr>
                <w:bCs/>
              </w:rPr>
              <w:t>Courses</w:t>
            </w:r>
          </w:p>
        </w:tc>
        <w:tc>
          <w:tcPr>
            <w:tcW w:w="1364" w:type="dxa"/>
            <w:shd w:val="clear" w:color="auto" w:fill="auto"/>
            <w:vAlign w:val="bottom"/>
          </w:tcPr>
          <w:p w14:paraId="17C482F1" w14:textId="77777777" w:rsidR="00860F8E" w:rsidRPr="00053FD1" w:rsidRDefault="00860F8E" w:rsidP="00EF6063">
            <w:pPr>
              <w:pStyle w:val="TableHeading"/>
              <w:rPr>
                <w:bCs/>
              </w:rPr>
            </w:pPr>
            <w:r w:rsidRPr="00053FD1">
              <w:rPr>
                <w:bCs/>
              </w:rPr>
              <w:t>Participants</w:t>
            </w:r>
          </w:p>
        </w:tc>
        <w:tc>
          <w:tcPr>
            <w:tcW w:w="1364" w:type="dxa"/>
            <w:shd w:val="clear" w:color="auto" w:fill="auto"/>
            <w:vAlign w:val="bottom"/>
          </w:tcPr>
          <w:p w14:paraId="68E0046E" w14:textId="77777777" w:rsidR="00860F8E" w:rsidRPr="00053FD1" w:rsidRDefault="00860F8E" w:rsidP="00EF6063">
            <w:pPr>
              <w:pStyle w:val="TableHeading"/>
              <w:rPr>
                <w:bCs/>
              </w:rPr>
            </w:pPr>
            <w:r w:rsidRPr="00053FD1">
              <w:rPr>
                <w:bCs/>
              </w:rPr>
              <w:t>Courses</w:t>
            </w:r>
          </w:p>
        </w:tc>
        <w:tc>
          <w:tcPr>
            <w:tcW w:w="1365" w:type="dxa"/>
            <w:shd w:val="clear" w:color="auto" w:fill="auto"/>
            <w:vAlign w:val="bottom"/>
          </w:tcPr>
          <w:p w14:paraId="7516E898" w14:textId="77777777" w:rsidR="00860F8E" w:rsidRPr="00053FD1" w:rsidRDefault="00860F8E" w:rsidP="00EF6063">
            <w:pPr>
              <w:pStyle w:val="TableHeading"/>
              <w:rPr>
                <w:bCs/>
              </w:rPr>
            </w:pPr>
            <w:r w:rsidRPr="00053FD1">
              <w:rPr>
                <w:bCs/>
              </w:rPr>
              <w:t>Participants</w:t>
            </w:r>
          </w:p>
        </w:tc>
      </w:tr>
      <w:tr w:rsidR="00860F8E" w:rsidRPr="00053FD1" w14:paraId="57D9D3DA" w14:textId="77777777" w:rsidTr="00A86663">
        <w:tc>
          <w:tcPr>
            <w:tcW w:w="1101" w:type="dxa"/>
            <w:shd w:val="clear" w:color="auto" w:fill="auto"/>
            <w:vAlign w:val="bottom"/>
          </w:tcPr>
          <w:p w14:paraId="33B458F8" w14:textId="77777777" w:rsidR="00860F8E" w:rsidRPr="00053FD1" w:rsidRDefault="00860F8E" w:rsidP="00EF6063">
            <w:pPr>
              <w:pStyle w:val="TableText"/>
            </w:pPr>
            <w:r w:rsidRPr="00053FD1">
              <w:t>2013–14</w:t>
            </w:r>
          </w:p>
        </w:tc>
        <w:tc>
          <w:tcPr>
            <w:tcW w:w="1364" w:type="dxa"/>
            <w:shd w:val="clear" w:color="auto" w:fill="auto"/>
          </w:tcPr>
          <w:p w14:paraId="28C5F7D0" w14:textId="77777777" w:rsidR="00860F8E" w:rsidRPr="00053FD1" w:rsidRDefault="00860F8E" w:rsidP="00EF6063">
            <w:pPr>
              <w:pStyle w:val="TableText"/>
              <w:jc w:val="right"/>
            </w:pPr>
            <w:r w:rsidRPr="00053FD1">
              <w:t>20</w:t>
            </w:r>
          </w:p>
        </w:tc>
        <w:tc>
          <w:tcPr>
            <w:tcW w:w="1364" w:type="dxa"/>
            <w:shd w:val="clear" w:color="auto" w:fill="auto"/>
          </w:tcPr>
          <w:p w14:paraId="4DC0B89C" w14:textId="77777777" w:rsidR="00860F8E" w:rsidRPr="00053FD1" w:rsidRDefault="00860F8E" w:rsidP="00EF6063">
            <w:pPr>
              <w:pStyle w:val="TableText"/>
              <w:jc w:val="right"/>
            </w:pPr>
            <w:r w:rsidRPr="00053FD1">
              <w:t>900</w:t>
            </w:r>
          </w:p>
        </w:tc>
        <w:tc>
          <w:tcPr>
            <w:tcW w:w="1364" w:type="dxa"/>
            <w:shd w:val="clear" w:color="auto" w:fill="auto"/>
          </w:tcPr>
          <w:p w14:paraId="75770E89" w14:textId="77777777" w:rsidR="00860F8E" w:rsidRPr="00053FD1" w:rsidRDefault="00860F8E" w:rsidP="00EF6063">
            <w:pPr>
              <w:pStyle w:val="TableText"/>
              <w:jc w:val="right"/>
            </w:pPr>
            <w:r w:rsidRPr="00053FD1">
              <w:t>52</w:t>
            </w:r>
          </w:p>
        </w:tc>
        <w:tc>
          <w:tcPr>
            <w:tcW w:w="1364" w:type="dxa"/>
            <w:shd w:val="clear" w:color="auto" w:fill="auto"/>
          </w:tcPr>
          <w:p w14:paraId="7375A41D" w14:textId="77777777" w:rsidR="00860F8E" w:rsidRPr="00053FD1" w:rsidRDefault="00860F8E" w:rsidP="00EF6063">
            <w:pPr>
              <w:pStyle w:val="TableText"/>
              <w:jc w:val="right"/>
            </w:pPr>
            <w:r w:rsidRPr="00053FD1">
              <w:t>822</w:t>
            </w:r>
          </w:p>
        </w:tc>
        <w:tc>
          <w:tcPr>
            <w:tcW w:w="1364" w:type="dxa"/>
            <w:shd w:val="clear" w:color="auto" w:fill="auto"/>
          </w:tcPr>
          <w:p w14:paraId="0325E09A" w14:textId="77777777" w:rsidR="00860F8E" w:rsidRPr="00053FD1" w:rsidRDefault="00860F8E" w:rsidP="00EF6063">
            <w:pPr>
              <w:pStyle w:val="TableText"/>
              <w:jc w:val="right"/>
            </w:pPr>
            <w:r w:rsidRPr="00053FD1">
              <w:t>33</w:t>
            </w:r>
          </w:p>
        </w:tc>
        <w:tc>
          <w:tcPr>
            <w:tcW w:w="1365" w:type="dxa"/>
            <w:shd w:val="clear" w:color="auto" w:fill="auto"/>
          </w:tcPr>
          <w:p w14:paraId="5F26355B" w14:textId="77777777" w:rsidR="00860F8E" w:rsidRPr="00053FD1" w:rsidRDefault="00860F8E" w:rsidP="00EF6063">
            <w:pPr>
              <w:pStyle w:val="TableText"/>
              <w:jc w:val="right"/>
            </w:pPr>
            <w:r w:rsidRPr="00053FD1">
              <w:t>2,687</w:t>
            </w:r>
          </w:p>
        </w:tc>
      </w:tr>
      <w:tr w:rsidR="00860F8E" w:rsidRPr="00053FD1" w14:paraId="2E96F46F" w14:textId="77777777" w:rsidTr="00A86663">
        <w:tc>
          <w:tcPr>
            <w:tcW w:w="1101" w:type="dxa"/>
            <w:shd w:val="clear" w:color="auto" w:fill="auto"/>
            <w:vAlign w:val="bottom"/>
          </w:tcPr>
          <w:p w14:paraId="5AA14356" w14:textId="77777777" w:rsidR="00860F8E" w:rsidRPr="00053FD1" w:rsidRDefault="00860F8E" w:rsidP="00EF6063">
            <w:pPr>
              <w:pStyle w:val="TableText"/>
            </w:pPr>
            <w:r w:rsidRPr="00053FD1">
              <w:t>2014–15</w:t>
            </w:r>
          </w:p>
        </w:tc>
        <w:tc>
          <w:tcPr>
            <w:tcW w:w="1364" w:type="dxa"/>
            <w:shd w:val="clear" w:color="auto" w:fill="auto"/>
          </w:tcPr>
          <w:p w14:paraId="77A11EB8" w14:textId="77777777" w:rsidR="00860F8E" w:rsidRPr="00053FD1" w:rsidRDefault="00860F8E" w:rsidP="00EF6063">
            <w:pPr>
              <w:pStyle w:val="TableText"/>
              <w:jc w:val="right"/>
            </w:pPr>
            <w:r w:rsidRPr="00053FD1">
              <w:t>45</w:t>
            </w:r>
          </w:p>
        </w:tc>
        <w:tc>
          <w:tcPr>
            <w:tcW w:w="1364" w:type="dxa"/>
            <w:shd w:val="clear" w:color="auto" w:fill="auto"/>
          </w:tcPr>
          <w:p w14:paraId="7B2468EF" w14:textId="77777777" w:rsidR="00860F8E" w:rsidRPr="00053FD1" w:rsidRDefault="00860F8E" w:rsidP="00EF6063">
            <w:pPr>
              <w:pStyle w:val="TableText"/>
              <w:jc w:val="right"/>
            </w:pPr>
            <w:r w:rsidRPr="00053FD1">
              <w:t>2,085</w:t>
            </w:r>
          </w:p>
        </w:tc>
        <w:tc>
          <w:tcPr>
            <w:tcW w:w="1364" w:type="dxa"/>
            <w:shd w:val="clear" w:color="auto" w:fill="auto"/>
          </w:tcPr>
          <w:p w14:paraId="3EDA8ED6" w14:textId="77777777" w:rsidR="00860F8E" w:rsidRPr="00053FD1" w:rsidRDefault="00860F8E" w:rsidP="00EF6063">
            <w:pPr>
              <w:pStyle w:val="TableText"/>
              <w:jc w:val="right"/>
            </w:pPr>
            <w:r w:rsidRPr="00053FD1">
              <w:t>17</w:t>
            </w:r>
          </w:p>
        </w:tc>
        <w:tc>
          <w:tcPr>
            <w:tcW w:w="1364" w:type="dxa"/>
            <w:shd w:val="clear" w:color="auto" w:fill="auto"/>
          </w:tcPr>
          <w:p w14:paraId="61A684E0" w14:textId="77777777" w:rsidR="00860F8E" w:rsidRPr="00053FD1" w:rsidRDefault="00860F8E" w:rsidP="00EF6063">
            <w:pPr>
              <w:pStyle w:val="TableText"/>
              <w:jc w:val="right"/>
            </w:pPr>
            <w:r w:rsidRPr="00053FD1">
              <w:t>358</w:t>
            </w:r>
          </w:p>
        </w:tc>
        <w:tc>
          <w:tcPr>
            <w:tcW w:w="1364" w:type="dxa"/>
            <w:shd w:val="clear" w:color="auto" w:fill="auto"/>
          </w:tcPr>
          <w:p w14:paraId="4C447D1C" w14:textId="77777777" w:rsidR="00860F8E" w:rsidRPr="00053FD1" w:rsidRDefault="00860F8E" w:rsidP="00EF6063">
            <w:pPr>
              <w:pStyle w:val="TableText"/>
              <w:jc w:val="right"/>
            </w:pPr>
            <w:r w:rsidRPr="00053FD1">
              <w:t>40</w:t>
            </w:r>
          </w:p>
        </w:tc>
        <w:tc>
          <w:tcPr>
            <w:tcW w:w="1365" w:type="dxa"/>
            <w:shd w:val="clear" w:color="auto" w:fill="auto"/>
          </w:tcPr>
          <w:p w14:paraId="7A807F0C" w14:textId="77777777" w:rsidR="00860F8E" w:rsidRPr="00053FD1" w:rsidRDefault="00860F8E" w:rsidP="00EF6063">
            <w:pPr>
              <w:pStyle w:val="TableText"/>
              <w:jc w:val="right"/>
            </w:pPr>
            <w:r w:rsidRPr="00053FD1">
              <w:t>2,278</w:t>
            </w:r>
          </w:p>
        </w:tc>
      </w:tr>
      <w:tr w:rsidR="00860F8E" w:rsidRPr="00053FD1" w14:paraId="0E8BCCA9" w14:textId="77777777" w:rsidTr="00A86663">
        <w:tc>
          <w:tcPr>
            <w:tcW w:w="1101" w:type="dxa"/>
            <w:shd w:val="clear" w:color="auto" w:fill="auto"/>
            <w:vAlign w:val="bottom"/>
          </w:tcPr>
          <w:p w14:paraId="702C1093" w14:textId="77777777" w:rsidR="00860F8E" w:rsidRPr="00053FD1" w:rsidRDefault="00860F8E" w:rsidP="00EF6063">
            <w:pPr>
              <w:pStyle w:val="TableText"/>
            </w:pPr>
            <w:r w:rsidRPr="00053FD1">
              <w:t>2015–16</w:t>
            </w:r>
          </w:p>
        </w:tc>
        <w:tc>
          <w:tcPr>
            <w:tcW w:w="1364" w:type="dxa"/>
            <w:shd w:val="clear" w:color="auto" w:fill="auto"/>
          </w:tcPr>
          <w:p w14:paraId="6584D7D4" w14:textId="77777777" w:rsidR="00860F8E" w:rsidRPr="00053FD1" w:rsidRDefault="00860F8E" w:rsidP="00EF6063">
            <w:pPr>
              <w:pStyle w:val="TableText"/>
              <w:jc w:val="right"/>
            </w:pPr>
            <w:r w:rsidRPr="00053FD1">
              <w:t>24</w:t>
            </w:r>
          </w:p>
        </w:tc>
        <w:tc>
          <w:tcPr>
            <w:tcW w:w="1364" w:type="dxa"/>
            <w:shd w:val="clear" w:color="auto" w:fill="auto"/>
          </w:tcPr>
          <w:p w14:paraId="3458C6BE" w14:textId="77777777" w:rsidR="00860F8E" w:rsidRPr="00053FD1" w:rsidRDefault="00860F8E" w:rsidP="00EF6063">
            <w:pPr>
              <w:pStyle w:val="TableText"/>
              <w:jc w:val="right"/>
            </w:pPr>
            <w:r w:rsidRPr="00053FD1">
              <w:t>971</w:t>
            </w:r>
          </w:p>
        </w:tc>
        <w:tc>
          <w:tcPr>
            <w:tcW w:w="1364" w:type="dxa"/>
            <w:shd w:val="clear" w:color="auto" w:fill="auto"/>
          </w:tcPr>
          <w:p w14:paraId="4CCD41FC" w14:textId="77777777" w:rsidR="00860F8E" w:rsidRPr="00053FD1" w:rsidRDefault="00860F8E" w:rsidP="00EF6063">
            <w:pPr>
              <w:pStyle w:val="TableText"/>
              <w:jc w:val="right"/>
            </w:pPr>
            <w:r w:rsidRPr="00053FD1">
              <w:t>15</w:t>
            </w:r>
          </w:p>
        </w:tc>
        <w:tc>
          <w:tcPr>
            <w:tcW w:w="1364" w:type="dxa"/>
            <w:shd w:val="clear" w:color="auto" w:fill="auto"/>
          </w:tcPr>
          <w:p w14:paraId="79694E04" w14:textId="77777777" w:rsidR="00860F8E" w:rsidRPr="00053FD1" w:rsidRDefault="00860F8E" w:rsidP="00EF6063">
            <w:pPr>
              <w:pStyle w:val="TableText"/>
              <w:jc w:val="right"/>
            </w:pPr>
            <w:r w:rsidRPr="00053FD1">
              <w:t>232</w:t>
            </w:r>
          </w:p>
        </w:tc>
        <w:tc>
          <w:tcPr>
            <w:tcW w:w="1364" w:type="dxa"/>
            <w:shd w:val="clear" w:color="auto" w:fill="auto"/>
          </w:tcPr>
          <w:p w14:paraId="57E2D7C1" w14:textId="77777777" w:rsidR="00860F8E" w:rsidRPr="00053FD1" w:rsidRDefault="00860F8E" w:rsidP="00EF6063">
            <w:pPr>
              <w:pStyle w:val="TableText"/>
              <w:jc w:val="right"/>
            </w:pPr>
            <w:r w:rsidRPr="00053FD1">
              <w:t>33</w:t>
            </w:r>
          </w:p>
        </w:tc>
        <w:tc>
          <w:tcPr>
            <w:tcW w:w="1365" w:type="dxa"/>
            <w:shd w:val="clear" w:color="auto" w:fill="auto"/>
          </w:tcPr>
          <w:p w14:paraId="347BDAF6" w14:textId="77777777" w:rsidR="00860F8E" w:rsidRPr="00053FD1" w:rsidRDefault="00860F8E" w:rsidP="00EF6063">
            <w:pPr>
              <w:pStyle w:val="TableText"/>
              <w:jc w:val="right"/>
            </w:pPr>
            <w:r w:rsidRPr="00053FD1">
              <w:t>1,022</w:t>
            </w:r>
          </w:p>
        </w:tc>
      </w:tr>
      <w:tr w:rsidR="00860F8E" w:rsidRPr="00053FD1" w14:paraId="6398FD27" w14:textId="77777777" w:rsidTr="00A86663">
        <w:tc>
          <w:tcPr>
            <w:tcW w:w="1101" w:type="dxa"/>
            <w:shd w:val="clear" w:color="auto" w:fill="auto"/>
            <w:vAlign w:val="bottom"/>
          </w:tcPr>
          <w:p w14:paraId="24373933" w14:textId="77777777" w:rsidR="00860F8E" w:rsidRPr="00053FD1" w:rsidRDefault="00860F8E" w:rsidP="00EF6063">
            <w:pPr>
              <w:pStyle w:val="TableText"/>
            </w:pPr>
            <w:r w:rsidRPr="00053FD1">
              <w:t>2016–17</w:t>
            </w:r>
          </w:p>
        </w:tc>
        <w:tc>
          <w:tcPr>
            <w:tcW w:w="1364" w:type="dxa"/>
            <w:shd w:val="clear" w:color="auto" w:fill="auto"/>
          </w:tcPr>
          <w:p w14:paraId="759A3024" w14:textId="77777777" w:rsidR="00860F8E" w:rsidRPr="00053FD1" w:rsidRDefault="00860F8E" w:rsidP="00EF6063">
            <w:pPr>
              <w:pStyle w:val="TableText"/>
              <w:jc w:val="right"/>
            </w:pPr>
            <w:r w:rsidRPr="00053FD1">
              <w:t>23</w:t>
            </w:r>
          </w:p>
        </w:tc>
        <w:tc>
          <w:tcPr>
            <w:tcW w:w="1364" w:type="dxa"/>
            <w:shd w:val="clear" w:color="auto" w:fill="auto"/>
          </w:tcPr>
          <w:p w14:paraId="3735D462" w14:textId="77777777" w:rsidR="00860F8E" w:rsidRPr="00053FD1" w:rsidRDefault="00860F8E" w:rsidP="00EF6063">
            <w:pPr>
              <w:pStyle w:val="TableText"/>
              <w:jc w:val="right"/>
            </w:pPr>
            <w:r w:rsidRPr="00053FD1">
              <w:t>1,108</w:t>
            </w:r>
          </w:p>
        </w:tc>
        <w:tc>
          <w:tcPr>
            <w:tcW w:w="1364" w:type="dxa"/>
            <w:shd w:val="clear" w:color="auto" w:fill="auto"/>
          </w:tcPr>
          <w:p w14:paraId="27217E75" w14:textId="77777777" w:rsidR="00860F8E" w:rsidRPr="00053FD1" w:rsidRDefault="00860F8E" w:rsidP="00EF6063">
            <w:pPr>
              <w:pStyle w:val="TableText"/>
              <w:jc w:val="right"/>
            </w:pPr>
            <w:r w:rsidRPr="00053FD1">
              <w:t>10</w:t>
            </w:r>
          </w:p>
        </w:tc>
        <w:tc>
          <w:tcPr>
            <w:tcW w:w="1364" w:type="dxa"/>
            <w:shd w:val="clear" w:color="auto" w:fill="auto"/>
          </w:tcPr>
          <w:p w14:paraId="4AFD1396" w14:textId="77777777" w:rsidR="00860F8E" w:rsidRPr="00053FD1" w:rsidRDefault="00860F8E" w:rsidP="00EF6063">
            <w:pPr>
              <w:pStyle w:val="TableText"/>
              <w:jc w:val="right"/>
            </w:pPr>
            <w:r w:rsidRPr="00053FD1">
              <w:t>290</w:t>
            </w:r>
          </w:p>
        </w:tc>
        <w:tc>
          <w:tcPr>
            <w:tcW w:w="1364" w:type="dxa"/>
            <w:shd w:val="clear" w:color="auto" w:fill="auto"/>
          </w:tcPr>
          <w:p w14:paraId="69E54D76" w14:textId="77777777" w:rsidR="00860F8E" w:rsidRPr="00053FD1" w:rsidRDefault="00860F8E" w:rsidP="00EF6063">
            <w:pPr>
              <w:pStyle w:val="TableText"/>
              <w:jc w:val="right"/>
            </w:pPr>
            <w:r w:rsidRPr="00053FD1">
              <w:t>56</w:t>
            </w:r>
          </w:p>
        </w:tc>
        <w:tc>
          <w:tcPr>
            <w:tcW w:w="1365" w:type="dxa"/>
            <w:shd w:val="clear" w:color="auto" w:fill="auto"/>
          </w:tcPr>
          <w:p w14:paraId="1CD99E42" w14:textId="77777777" w:rsidR="00860F8E" w:rsidRPr="00053FD1" w:rsidRDefault="00860F8E" w:rsidP="00EF6063">
            <w:pPr>
              <w:pStyle w:val="TableText"/>
              <w:jc w:val="right"/>
            </w:pPr>
            <w:r w:rsidRPr="00053FD1">
              <w:t>1,928</w:t>
            </w:r>
          </w:p>
        </w:tc>
      </w:tr>
      <w:tr w:rsidR="00860F8E" w:rsidRPr="00053FD1" w14:paraId="376875D6" w14:textId="77777777" w:rsidTr="00A86663">
        <w:tc>
          <w:tcPr>
            <w:tcW w:w="1101" w:type="dxa"/>
            <w:shd w:val="clear" w:color="auto" w:fill="auto"/>
            <w:vAlign w:val="bottom"/>
          </w:tcPr>
          <w:p w14:paraId="7F349D54" w14:textId="77777777" w:rsidR="00860F8E" w:rsidRPr="00053FD1" w:rsidRDefault="00860F8E" w:rsidP="00EF6063">
            <w:pPr>
              <w:pStyle w:val="TableText"/>
            </w:pPr>
            <w:r w:rsidRPr="00053FD1">
              <w:t>2017–18</w:t>
            </w:r>
          </w:p>
        </w:tc>
        <w:tc>
          <w:tcPr>
            <w:tcW w:w="1364" w:type="dxa"/>
            <w:shd w:val="clear" w:color="auto" w:fill="auto"/>
          </w:tcPr>
          <w:p w14:paraId="20848964" w14:textId="77777777" w:rsidR="00860F8E" w:rsidRPr="00053FD1" w:rsidRDefault="00860F8E" w:rsidP="00EF6063">
            <w:pPr>
              <w:pStyle w:val="TableText"/>
              <w:jc w:val="right"/>
            </w:pPr>
            <w:r>
              <w:t>37</w:t>
            </w:r>
          </w:p>
        </w:tc>
        <w:tc>
          <w:tcPr>
            <w:tcW w:w="1364" w:type="dxa"/>
            <w:shd w:val="clear" w:color="auto" w:fill="auto"/>
          </w:tcPr>
          <w:p w14:paraId="17978E22" w14:textId="77777777" w:rsidR="00860F8E" w:rsidRPr="00053FD1" w:rsidRDefault="00860F8E" w:rsidP="00EF6063">
            <w:pPr>
              <w:pStyle w:val="TableText"/>
              <w:jc w:val="right"/>
            </w:pPr>
            <w:r w:rsidRPr="00053FD1">
              <w:t>76</w:t>
            </w:r>
            <w:r>
              <w:t>0</w:t>
            </w:r>
          </w:p>
        </w:tc>
        <w:tc>
          <w:tcPr>
            <w:tcW w:w="1364" w:type="dxa"/>
            <w:shd w:val="clear" w:color="auto" w:fill="auto"/>
          </w:tcPr>
          <w:p w14:paraId="2C3468CC" w14:textId="77777777" w:rsidR="00860F8E" w:rsidRPr="00053FD1" w:rsidRDefault="00860F8E" w:rsidP="00EF6063">
            <w:pPr>
              <w:pStyle w:val="TableText"/>
              <w:jc w:val="right"/>
            </w:pPr>
            <w:r w:rsidRPr="00053FD1">
              <w:t>32</w:t>
            </w:r>
          </w:p>
        </w:tc>
        <w:tc>
          <w:tcPr>
            <w:tcW w:w="1364" w:type="dxa"/>
            <w:shd w:val="clear" w:color="auto" w:fill="auto"/>
          </w:tcPr>
          <w:p w14:paraId="71A527A8" w14:textId="77777777" w:rsidR="00860F8E" w:rsidRPr="00053FD1" w:rsidRDefault="00860F8E" w:rsidP="00EF6063">
            <w:pPr>
              <w:pStyle w:val="TableText"/>
              <w:jc w:val="right"/>
            </w:pPr>
            <w:r w:rsidRPr="00053FD1">
              <w:t>1,068</w:t>
            </w:r>
          </w:p>
        </w:tc>
        <w:tc>
          <w:tcPr>
            <w:tcW w:w="1364" w:type="dxa"/>
            <w:shd w:val="clear" w:color="auto" w:fill="auto"/>
          </w:tcPr>
          <w:p w14:paraId="67EF5828" w14:textId="77777777" w:rsidR="00860F8E" w:rsidRPr="00053FD1" w:rsidRDefault="00860F8E" w:rsidP="00EF6063">
            <w:pPr>
              <w:pStyle w:val="TableText"/>
              <w:jc w:val="right"/>
            </w:pPr>
            <w:r w:rsidRPr="00053FD1">
              <w:t>26</w:t>
            </w:r>
          </w:p>
        </w:tc>
        <w:tc>
          <w:tcPr>
            <w:tcW w:w="1365" w:type="dxa"/>
            <w:shd w:val="clear" w:color="auto" w:fill="auto"/>
          </w:tcPr>
          <w:p w14:paraId="6415E7BF" w14:textId="77777777" w:rsidR="00860F8E" w:rsidRPr="00053FD1" w:rsidRDefault="00860F8E" w:rsidP="00EF6063">
            <w:pPr>
              <w:pStyle w:val="TableText"/>
              <w:jc w:val="right"/>
            </w:pPr>
            <w:r w:rsidRPr="00053FD1">
              <w:t>3,312</w:t>
            </w:r>
          </w:p>
        </w:tc>
      </w:tr>
    </w:tbl>
    <w:p w14:paraId="3D7D585A" w14:textId="77777777" w:rsidR="00860F8E" w:rsidRPr="00053FD1" w:rsidRDefault="00860F8E" w:rsidP="00860F8E">
      <w:pPr>
        <w:pStyle w:val="TableNotesLast"/>
      </w:pPr>
      <w:r>
        <w:t>a</w:t>
      </w:r>
      <w:r>
        <w:tab/>
        <w:t>E</w:t>
      </w:r>
      <w:r w:rsidRPr="00053FD1">
        <w:t>-learning does not include Lynda.com</w:t>
      </w:r>
      <w:r>
        <w:t>.</w:t>
      </w:r>
    </w:p>
    <w:p w14:paraId="0CB344B9" w14:textId="77777777" w:rsidR="00860F8E" w:rsidRPr="00053FD1" w:rsidRDefault="00860F8E" w:rsidP="00860F8E">
      <w:pPr>
        <w:pStyle w:val="Heading3"/>
        <w:rPr>
          <w:lang w:val="en-GB"/>
        </w:rPr>
      </w:pPr>
      <w:r w:rsidRPr="00053FD1">
        <w:rPr>
          <w:lang w:val="en-GB"/>
        </w:rPr>
        <w:t>Management</w:t>
      </w:r>
    </w:p>
    <w:p w14:paraId="54602062" w14:textId="77777777" w:rsidR="00860F8E" w:rsidRPr="00053FD1" w:rsidRDefault="00860F8E" w:rsidP="00860F8E">
      <w:pPr>
        <w:autoSpaceDE w:val="0"/>
        <w:autoSpaceDN w:val="0"/>
        <w:adjustRightInd w:val="0"/>
      </w:pPr>
      <w:r w:rsidRPr="00053FD1">
        <w:rPr>
          <w:rFonts w:cs="Arial"/>
          <w:color w:val="000000"/>
          <w:szCs w:val="24"/>
        </w:rPr>
        <w:t xml:space="preserve">In 2017–18, </w:t>
      </w:r>
      <w:r>
        <w:rPr>
          <w:rFonts w:cs="Arial"/>
          <w:color w:val="000000"/>
          <w:szCs w:val="24"/>
        </w:rPr>
        <w:t>CASA</w:t>
      </w:r>
      <w:r w:rsidRPr="00053FD1">
        <w:rPr>
          <w:rFonts w:cs="Arial"/>
          <w:color w:val="000000"/>
          <w:szCs w:val="24"/>
        </w:rPr>
        <w:t xml:space="preserve"> achieved a significant milestone with the recognition of </w:t>
      </w:r>
      <w:r>
        <w:rPr>
          <w:rFonts w:cs="Arial"/>
          <w:color w:val="000000"/>
          <w:szCs w:val="24"/>
        </w:rPr>
        <w:t xml:space="preserve">its </w:t>
      </w:r>
      <w:r w:rsidRPr="00053FD1">
        <w:rPr>
          <w:rFonts w:cs="Arial"/>
          <w:color w:val="000000"/>
          <w:szCs w:val="24"/>
        </w:rPr>
        <w:t xml:space="preserve">training as part of the ICAO </w:t>
      </w:r>
      <w:r>
        <w:rPr>
          <w:rFonts w:cs="Arial"/>
          <w:color w:val="000000"/>
          <w:szCs w:val="24"/>
        </w:rPr>
        <w:t>c</w:t>
      </w:r>
      <w:r w:rsidRPr="00053FD1">
        <w:rPr>
          <w:rFonts w:cs="Arial"/>
          <w:color w:val="000000"/>
          <w:szCs w:val="24"/>
        </w:rPr>
        <w:t xml:space="preserve">oordinated </w:t>
      </w:r>
      <w:r>
        <w:rPr>
          <w:rFonts w:cs="Arial"/>
          <w:color w:val="000000"/>
          <w:szCs w:val="24"/>
        </w:rPr>
        <w:t>v</w:t>
      </w:r>
      <w:r w:rsidRPr="00053FD1">
        <w:rPr>
          <w:rFonts w:cs="Arial"/>
          <w:color w:val="000000"/>
          <w:szCs w:val="24"/>
        </w:rPr>
        <w:t xml:space="preserve">alidation </w:t>
      </w:r>
      <w:r>
        <w:rPr>
          <w:rFonts w:cs="Arial"/>
          <w:color w:val="000000"/>
          <w:szCs w:val="24"/>
        </w:rPr>
        <w:t>m</w:t>
      </w:r>
      <w:r w:rsidRPr="00053FD1">
        <w:rPr>
          <w:rFonts w:cs="Arial"/>
          <w:color w:val="000000"/>
          <w:szCs w:val="24"/>
        </w:rPr>
        <w:t>ission</w:t>
      </w:r>
      <w:r>
        <w:rPr>
          <w:rFonts w:cs="Arial"/>
          <w:color w:val="000000"/>
          <w:szCs w:val="24"/>
        </w:rPr>
        <w:t xml:space="preserve"> in 2017</w:t>
      </w:r>
      <w:r w:rsidRPr="00053FD1">
        <w:rPr>
          <w:rFonts w:cs="Arial"/>
          <w:color w:val="000000"/>
          <w:szCs w:val="24"/>
        </w:rPr>
        <w:t>. The documentation of processes and pathways, the centralisation of mandatory training budgets</w:t>
      </w:r>
      <w:r>
        <w:rPr>
          <w:rFonts w:cs="Arial"/>
          <w:color w:val="000000"/>
          <w:szCs w:val="24"/>
        </w:rPr>
        <w:t>,</w:t>
      </w:r>
      <w:r w:rsidRPr="00053FD1">
        <w:rPr>
          <w:rFonts w:cs="Arial"/>
          <w:color w:val="000000"/>
          <w:szCs w:val="24"/>
        </w:rPr>
        <w:t xml:space="preserve"> and the integration of </w:t>
      </w:r>
      <w:r>
        <w:rPr>
          <w:rFonts w:cs="Arial"/>
          <w:color w:val="000000"/>
          <w:szCs w:val="24"/>
        </w:rPr>
        <w:t>i</w:t>
      </w:r>
      <w:r w:rsidRPr="00053FD1">
        <w:rPr>
          <w:rFonts w:cs="Arial"/>
          <w:color w:val="000000"/>
          <w:szCs w:val="24"/>
        </w:rPr>
        <w:t xml:space="preserve">nspector </w:t>
      </w:r>
      <w:r>
        <w:rPr>
          <w:rFonts w:cs="Arial"/>
          <w:color w:val="000000"/>
          <w:szCs w:val="24"/>
        </w:rPr>
        <w:t>t</w:t>
      </w:r>
      <w:r w:rsidRPr="00053FD1">
        <w:rPr>
          <w:rFonts w:cs="Arial"/>
          <w:color w:val="000000"/>
          <w:szCs w:val="24"/>
        </w:rPr>
        <w:t xml:space="preserve">raining </w:t>
      </w:r>
      <w:r>
        <w:rPr>
          <w:rFonts w:cs="Arial"/>
          <w:color w:val="000000"/>
          <w:szCs w:val="24"/>
        </w:rPr>
        <w:t>p</w:t>
      </w:r>
      <w:r w:rsidRPr="00053FD1">
        <w:rPr>
          <w:rFonts w:cs="Arial"/>
          <w:color w:val="000000"/>
          <w:szCs w:val="24"/>
        </w:rPr>
        <w:t xml:space="preserve">lans have </w:t>
      </w:r>
      <w:r>
        <w:rPr>
          <w:rFonts w:cs="Arial"/>
          <w:color w:val="000000"/>
          <w:szCs w:val="24"/>
        </w:rPr>
        <w:t>enabled CASA to plan a</w:t>
      </w:r>
      <w:r w:rsidRPr="00053FD1">
        <w:rPr>
          <w:rFonts w:cs="Arial"/>
          <w:color w:val="000000"/>
          <w:szCs w:val="24"/>
        </w:rPr>
        <w:t xml:space="preserve"> coherent annual training calendar, and to develop the capabilities required by the organisation.</w:t>
      </w:r>
    </w:p>
    <w:bookmarkEnd w:id="73"/>
    <w:bookmarkEnd w:id="74"/>
    <w:p w14:paraId="06C72BC4" w14:textId="77777777" w:rsidR="00860F8E" w:rsidRPr="00053FD1" w:rsidRDefault="00860F8E" w:rsidP="00860F8E">
      <w:pPr>
        <w:pStyle w:val="Heading2"/>
        <w:rPr>
          <w:lang w:val="en-GB"/>
        </w:rPr>
      </w:pPr>
      <w:r w:rsidRPr="00053FD1">
        <w:rPr>
          <w:lang w:val="en-GB"/>
        </w:rPr>
        <w:t>Workplace agreements</w:t>
      </w:r>
    </w:p>
    <w:p w14:paraId="21E6C1B7" w14:textId="77777777" w:rsidR="00860F8E" w:rsidRPr="00053FD1" w:rsidRDefault="00860F8E" w:rsidP="00860F8E">
      <w:pPr>
        <w:autoSpaceDE w:val="0"/>
        <w:autoSpaceDN w:val="0"/>
        <w:rPr>
          <w:rFonts w:cs="Geometric415BT-LiteA"/>
        </w:rPr>
      </w:pPr>
      <w:bookmarkStart w:id="79" w:name="_Toc267485875"/>
      <w:bookmarkEnd w:id="68"/>
      <w:r w:rsidRPr="00053FD1">
        <w:rPr>
          <w:rFonts w:cs="Geometric415BT-LiteA"/>
        </w:rPr>
        <w:t xml:space="preserve">CASA employees are employed under the powers vested in the Director of Aviation Safety by the </w:t>
      </w:r>
      <w:r w:rsidRPr="00053FD1">
        <w:t>Civil Aviation Act</w:t>
      </w:r>
      <w:r w:rsidRPr="00053FD1">
        <w:rPr>
          <w:rFonts w:cs="Geometric415BT-LiteA"/>
        </w:rPr>
        <w:t xml:space="preserve">. </w:t>
      </w:r>
    </w:p>
    <w:p w14:paraId="2CA25635" w14:textId="77777777" w:rsidR="00860F8E" w:rsidRPr="00053FD1" w:rsidRDefault="00860F8E" w:rsidP="00860F8E">
      <w:pPr>
        <w:autoSpaceDE w:val="0"/>
        <w:autoSpaceDN w:val="0"/>
        <w:rPr>
          <w:rFonts w:cs="Geometric415BT-LiteA"/>
        </w:rPr>
      </w:pPr>
      <w:r w:rsidRPr="00053FD1">
        <w:rPr>
          <w:rFonts w:cs="Geometric415BT-LiteA"/>
        </w:rPr>
        <w:t xml:space="preserve">The terms and conditions of most CASA employees are provided under the CASA Enterprise Agreement 2016–19, which came into effect in November 2016. At 30 June 2018, 96.3 per cent of CASA employees were employed under the enterprise agreement and 3.7 per cent were employed under individual contracts. </w:t>
      </w:r>
    </w:p>
    <w:p w14:paraId="6AD20917" w14:textId="77777777" w:rsidR="00860F8E" w:rsidRPr="00053FD1" w:rsidRDefault="00860F8E" w:rsidP="00860F8E">
      <w:pPr>
        <w:autoSpaceDE w:val="0"/>
        <w:autoSpaceDN w:val="0"/>
        <w:rPr>
          <w:szCs w:val="24"/>
        </w:rPr>
      </w:pPr>
      <w:r w:rsidRPr="00053FD1">
        <w:rPr>
          <w:rFonts w:cs="Geometric415BT-LiteA"/>
        </w:rPr>
        <w:t>CASA also had a number of service contractors and individuals temporarily engaged through contracted employment agencies. This included some short-term project employees.</w:t>
      </w:r>
    </w:p>
    <w:p w14:paraId="16B3AF65" w14:textId="77777777" w:rsidR="00860F8E" w:rsidRPr="00053FD1" w:rsidRDefault="00860F8E" w:rsidP="00860F8E">
      <w:pPr>
        <w:pStyle w:val="Heading2"/>
        <w:rPr>
          <w:lang w:val="en-GB"/>
        </w:rPr>
      </w:pPr>
      <w:bookmarkStart w:id="80" w:name="_Hlk521658557"/>
      <w:r w:rsidRPr="00053FD1">
        <w:rPr>
          <w:lang w:val="en-GB"/>
        </w:rPr>
        <w:t>Recognition of high performance</w:t>
      </w:r>
      <w:bookmarkEnd w:id="79"/>
      <w:r w:rsidRPr="00053FD1">
        <w:rPr>
          <w:lang w:val="en-GB"/>
        </w:rPr>
        <w:t xml:space="preserve"> and commitment to service</w:t>
      </w:r>
    </w:p>
    <w:bookmarkEnd w:id="69"/>
    <w:p w14:paraId="065C68DF" w14:textId="77777777" w:rsidR="00860F8E" w:rsidRPr="00053FD1" w:rsidRDefault="00860F8E" w:rsidP="00860F8E">
      <w:pPr>
        <w:autoSpaceDE w:val="0"/>
        <w:autoSpaceDN w:val="0"/>
        <w:rPr>
          <w:rFonts w:cs="Geometric415BT-LiteA"/>
        </w:rPr>
      </w:pPr>
      <w:r w:rsidRPr="00053FD1">
        <w:rPr>
          <w:rFonts w:cs="Geometric415BT-LiteA"/>
        </w:rPr>
        <w:t xml:space="preserve">CASA’s recognition and reward framework </w:t>
      </w:r>
      <w:r>
        <w:rPr>
          <w:rFonts w:cs="Geometric415BT-LiteA"/>
        </w:rPr>
        <w:t>supports</w:t>
      </w:r>
      <w:r w:rsidRPr="00053FD1">
        <w:rPr>
          <w:rFonts w:cs="Geometric415BT-LiteA"/>
        </w:rPr>
        <w:t xml:space="preserve"> managers and staff to provide authentic and timely recognition, at the local level, for valued contribution and staff achievement. The recognition and reward framework include</w:t>
      </w:r>
      <w:r>
        <w:rPr>
          <w:rFonts w:cs="Geometric415BT-LiteA"/>
        </w:rPr>
        <w:t>s</w:t>
      </w:r>
      <w:r w:rsidRPr="00053FD1">
        <w:rPr>
          <w:rFonts w:cs="Geometric415BT-LiteA"/>
        </w:rPr>
        <w:t xml:space="preserve"> guidance and supporting material to promote and enhance everyday recognition. </w:t>
      </w:r>
    </w:p>
    <w:p w14:paraId="222FE8D0" w14:textId="77777777" w:rsidR="00860F8E" w:rsidRDefault="00860F8E" w:rsidP="00860F8E">
      <w:pPr>
        <w:pStyle w:val="BulletIntro"/>
      </w:pPr>
      <w:r w:rsidRPr="00053FD1">
        <w:t>The CASA Award Scheme was launched in 2017–18</w:t>
      </w:r>
      <w:r>
        <w:rPr>
          <w:lang w:val="en-AU"/>
        </w:rPr>
        <w:t xml:space="preserve">. The scheme </w:t>
      </w:r>
      <w:r w:rsidRPr="00053FD1">
        <w:t>recognise</w:t>
      </w:r>
      <w:r>
        <w:rPr>
          <w:lang w:val="en-AU"/>
        </w:rPr>
        <w:t>s</w:t>
      </w:r>
      <w:r w:rsidRPr="00053FD1">
        <w:t xml:space="preserve"> outstanding staff contribution and achievement</w:t>
      </w:r>
      <w:r>
        <w:rPr>
          <w:lang w:val="en-AU"/>
        </w:rPr>
        <w:t xml:space="preserve"> through four award </w:t>
      </w:r>
      <w:r w:rsidRPr="00053FD1">
        <w:t>categories:</w:t>
      </w:r>
    </w:p>
    <w:p w14:paraId="23033713" w14:textId="77777777" w:rsidR="00860F8E" w:rsidRDefault="00860F8E" w:rsidP="00860F8E">
      <w:pPr>
        <w:pStyle w:val="Bullet"/>
      </w:pPr>
      <w:r w:rsidRPr="00053FD1">
        <w:t>CEO/DAS Achievement Award</w:t>
      </w:r>
    </w:p>
    <w:p w14:paraId="4D64A0A1" w14:textId="77777777" w:rsidR="00860F8E" w:rsidRDefault="00860F8E" w:rsidP="00860F8E">
      <w:pPr>
        <w:pStyle w:val="Bullet"/>
      </w:pPr>
      <w:r w:rsidRPr="00053FD1">
        <w:t>Diversity Champion’s Award</w:t>
      </w:r>
    </w:p>
    <w:p w14:paraId="28731A54" w14:textId="77777777" w:rsidR="00860F8E" w:rsidRDefault="00860F8E" w:rsidP="00860F8E">
      <w:pPr>
        <w:pStyle w:val="Bullet"/>
      </w:pPr>
      <w:r w:rsidRPr="00053FD1">
        <w:t xml:space="preserve">Above and Beyond Award </w:t>
      </w:r>
    </w:p>
    <w:p w14:paraId="62C5DA30" w14:textId="77777777" w:rsidR="00860F8E" w:rsidRDefault="00860F8E" w:rsidP="00860F8E">
      <w:pPr>
        <w:pStyle w:val="BulletLast"/>
      </w:pPr>
      <w:r w:rsidRPr="00053FD1">
        <w:t xml:space="preserve">Innovation and Continuous Improvement Award. </w:t>
      </w:r>
    </w:p>
    <w:p w14:paraId="5B503CD3" w14:textId="77777777" w:rsidR="00860F8E" w:rsidRDefault="00860F8E" w:rsidP="00860F8E">
      <w:pPr>
        <w:autoSpaceDE w:val="0"/>
        <w:autoSpaceDN w:val="0"/>
        <w:rPr>
          <w:rFonts w:cs="Geometric415BT-LiteA"/>
        </w:rPr>
      </w:pPr>
      <w:r>
        <w:rPr>
          <w:rFonts w:cs="Geometric415BT-LiteA"/>
        </w:rPr>
        <w:lastRenderedPageBreak/>
        <w:t>T</w:t>
      </w:r>
      <w:r w:rsidRPr="00053FD1">
        <w:rPr>
          <w:rFonts w:cs="Geometric415BT-LiteA"/>
        </w:rPr>
        <w:t xml:space="preserve">he CEO/DAS Achievement Award and the Diversity Champion’s Award will be presented annually, while the Above and Beyond Award and the Innovation and Continuous Improvement Award will be awarded biannually. </w:t>
      </w:r>
    </w:p>
    <w:p w14:paraId="303A5F3E" w14:textId="77777777" w:rsidR="00860F8E" w:rsidRPr="00053FD1" w:rsidRDefault="00860F8E" w:rsidP="00860F8E">
      <w:pPr>
        <w:autoSpaceDE w:val="0"/>
        <w:autoSpaceDN w:val="0"/>
        <w:rPr>
          <w:rFonts w:cs="Geometric415BT-LiteA"/>
        </w:rPr>
      </w:pPr>
      <w:r w:rsidRPr="00053FD1">
        <w:rPr>
          <w:rFonts w:cs="Geometric415BT-LiteA"/>
        </w:rPr>
        <w:t xml:space="preserve">Table </w:t>
      </w:r>
      <w:r w:rsidR="0050220E">
        <w:rPr>
          <w:rFonts w:cs="Geometric415BT-LiteA"/>
        </w:rPr>
        <w:t>11</w:t>
      </w:r>
      <w:r w:rsidR="003C4D63" w:rsidRPr="00053FD1">
        <w:rPr>
          <w:rFonts w:cs="Geometric415BT-LiteA"/>
        </w:rPr>
        <w:t xml:space="preserve"> </w:t>
      </w:r>
      <w:r w:rsidRPr="00053FD1">
        <w:rPr>
          <w:rFonts w:cs="Geometric415BT-LiteA"/>
        </w:rPr>
        <w:t>lists the inaugural recipients of the Above and Beyond Award and the Innovation and Continuous Improvement Award. The</w:t>
      </w:r>
      <w:r>
        <w:rPr>
          <w:rFonts w:cs="Geometric415BT-LiteA"/>
        </w:rPr>
        <w:t xml:space="preserve"> recipients</w:t>
      </w:r>
      <w:r w:rsidRPr="00053FD1">
        <w:rPr>
          <w:rFonts w:cs="Geometric415BT-LiteA"/>
        </w:rPr>
        <w:t xml:space="preserve"> were determined by the People Committee in 2017–18 and will receive their awards in 2018–19.</w:t>
      </w:r>
    </w:p>
    <w:p w14:paraId="4A649947" w14:textId="77777777" w:rsidR="00860F8E" w:rsidRPr="00053FD1" w:rsidRDefault="00860F8E" w:rsidP="00860F8E">
      <w:pPr>
        <w:pStyle w:val="TableName"/>
      </w:pPr>
      <w:r w:rsidRPr="00053FD1">
        <w:t xml:space="preserve">Table </w:t>
      </w:r>
      <w:r w:rsidR="0050220E">
        <w:t>11</w:t>
      </w:r>
      <w:r w:rsidRPr="00053FD1">
        <w:tab/>
        <w:t>Recipients of CASA awards, 2017–18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3291"/>
        <w:gridCol w:w="3243"/>
      </w:tblGrid>
      <w:tr w:rsidR="00860F8E" w:rsidRPr="00053FD1" w14:paraId="4FD93340" w14:textId="77777777" w:rsidTr="00A86663">
        <w:trPr>
          <w:tblHeader/>
        </w:trPr>
        <w:tc>
          <w:tcPr>
            <w:tcW w:w="2482" w:type="dxa"/>
            <w:shd w:val="clear" w:color="auto" w:fill="auto"/>
          </w:tcPr>
          <w:p w14:paraId="105904C6" w14:textId="77777777" w:rsidR="00860F8E" w:rsidRPr="008E2A9C" w:rsidRDefault="00860F8E" w:rsidP="008E2A9C">
            <w:pPr>
              <w:pStyle w:val="TableText"/>
              <w:rPr>
                <w:b/>
              </w:rPr>
            </w:pPr>
            <w:r w:rsidRPr="008E2A9C">
              <w:rPr>
                <w:b/>
              </w:rPr>
              <w:t>Award</w:t>
            </w:r>
          </w:p>
        </w:tc>
        <w:tc>
          <w:tcPr>
            <w:tcW w:w="3291" w:type="dxa"/>
            <w:shd w:val="clear" w:color="auto" w:fill="auto"/>
          </w:tcPr>
          <w:p w14:paraId="4218DA73" w14:textId="77777777" w:rsidR="00860F8E" w:rsidRPr="008E2A9C" w:rsidRDefault="00860F8E" w:rsidP="008E2A9C">
            <w:pPr>
              <w:pStyle w:val="TableText"/>
              <w:rPr>
                <w:b/>
              </w:rPr>
            </w:pPr>
            <w:r w:rsidRPr="008E2A9C">
              <w:rPr>
                <w:b/>
              </w:rPr>
              <w:t>Recipient(s)</w:t>
            </w:r>
          </w:p>
        </w:tc>
        <w:tc>
          <w:tcPr>
            <w:tcW w:w="3243" w:type="dxa"/>
            <w:shd w:val="clear" w:color="auto" w:fill="auto"/>
          </w:tcPr>
          <w:p w14:paraId="4E81424C" w14:textId="77777777" w:rsidR="00860F8E" w:rsidRPr="008E2A9C" w:rsidRDefault="00860F8E" w:rsidP="008E2A9C">
            <w:pPr>
              <w:pStyle w:val="TableText"/>
              <w:rPr>
                <w:b/>
              </w:rPr>
            </w:pPr>
            <w:r w:rsidRPr="008E2A9C">
              <w:rPr>
                <w:b/>
              </w:rPr>
              <w:t>Group/Division</w:t>
            </w:r>
          </w:p>
        </w:tc>
      </w:tr>
      <w:tr w:rsidR="00860F8E" w:rsidRPr="00053FD1" w14:paraId="32AABBEC" w14:textId="77777777" w:rsidTr="00A86663">
        <w:tc>
          <w:tcPr>
            <w:tcW w:w="2482" w:type="dxa"/>
            <w:shd w:val="clear" w:color="auto" w:fill="auto"/>
          </w:tcPr>
          <w:p w14:paraId="5A900FB1" w14:textId="77777777" w:rsidR="00860F8E" w:rsidRPr="00053FD1" w:rsidRDefault="00860F8E" w:rsidP="008E2A9C">
            <w:pPr>
              <w:pStyle w:val="TableText"/>
              <w:rPr>
                <w:lang w:val="en-AU"/>
              </w:rPr>
            </w:pPr>
            <w:r w:rsidRPr="00053FD1">
              <w:t>Above and Beyond Award</w:t>
            </w:r>
          </w:p>
        </w:tc>
        <w:tc>
          <w:tcPr>
            <w:tcW w:w="3291" w:type="dxa"/>
            <w:shd w:val="clear" w:color="auto" w:fill="auto"/>
          </w:tcPr>
          <w:p w14:paraId="63B6D34A" w14:textId="77777777" w:rsidR="00860F8E" w:rsidRPr="00053FD1" w:rsidRDefault="00860F8E" w:rsidP="008E2A9C">
            <w:pPr>
              <w:pStyle w:val="TableText"/>
            </w:pPr>
            <w:r w:rsidRPr="00053FD1">
              <w:t>Chris Jameson, Tom Forrest, Joe Lim</w:t>
            </w:r>
            <w:r>
              <w:t>, Yvette Lutze</w:t>
            </w:r>
            <w:r w:rsidRPr="00053FD1">
              <w:t xml:space="preserve"> and Niels Bunte</w:t>
            </w:r>
          </w:p>
        </w:tc>
        <w:tc>
          <w:tcPr>
            <w:tcW w:w="3243" w:type="dxa"/>
            <w:shd w:val="clear" w:color="auto" w:fill="auto"/>
          </w:tcPr>
          <w:p w14:paraId="77D49D7D" w14:textId="77777777" w:rsidR="00860F8E" w:rsidRPr="00053FD1" w:rsidRDefault="00860F8E" w:rsidP="008E2A9C">
            <w:pPr>
              <w:pStyle w:val="TableText"/>
            </w:pPr>
            <w:r w:rsidRPr="00053FD1">
              <w:t>Regulatory Services and Surveillance, Aviation Group</w:t>
            </w:r>
            <w:r>
              <w:t xml:space="preserve"> </w:t>
            </w:r>
            <w:r w:rsidRPr="00053FD1">
              <w:t>–</w:t>
            </w:r>
            <w:r>
              <w:t xml:space="preserve"> </w:t>
            </w:r>
            <w:r w:rsidRPr="00053FD1">
              <w:t>Southern Region</w:t>
            </w:r>
          </w:p>
        </w:tc>
      </w:tr>
      <w:tr w:rsidR="00860F8E" w:rsidRPr="00053FD1" w14:paraId="4F64B759" w14:textId="77777777" w:rsidTr="00A86663">
        <w:tc>
          <w:tcPr>
            <w:tcW w:w="2482" w:type="dxa"/>
            <w:shd w:val="clear" w:color="auto" w:fill="auto"/>
          </w:tcPr>
          <w:p w14:paraId="5AF81BC8" w14:textId="77777777" w:rsidR="00860F8E" w:rsidRPr="00053FD1" w:rsidRDefault="00860F8E" w:rsidP="008E2A9C">
            <w:pPr>
              <w:pStyle w:val="TableText"/>
            </w:pPr>
            <w:r w:rsidRPr="00053FD1">
              <w:t xml:space="preserve">Above and Beyond Award </w:t>
            </w:r>
          </w:p>
        </w:tc>
        <w:tc>
          <w:tcPr>
            <w:tcW w:w="3291" w:type="dxa"/>
            <w:shd w:val="clear" w:color="auto" w:fill="auto"/>
          </w:tcPr>
          <w:p w14:paraId="7B4EB9B2" w14:textId="77777777" w:rsidR="00860F8E" w:rsidRPr="00053FD1" w:rsidRDefault="00860F8E" w:rsidP="008E2A9C">
            <w:pPr>
              <w:pStyle w:val="TableText"/>
            </w:pPr>
            <w:r w:rsidRPr="00053FD1">
              <w:t>Walid Wazir</w:t>
            </w:r>
          </w:p>
        </w:tc>
        <w:tc>
          <w:tcPr>
            <w:tcW w:w="3243" w:type="dxa"/>
            <w:shd w:val="clear" w:color="auto" w:fill="auto"/>
          </w:tcPr>
          <w:p w14:paraId="1636CD0A" w14:textId="77777777" w:rsidR="00860F8E" w:rsidRPr="00053FD1" w:rsidRDefault="00860F8E" w:rsidP="008E2A9C">
            <w:pPr>
              <w:pStyle w:val="TableText"/>
            </w:pPr>
            <w:r w:rsidRPr="00053FD1">
              <w:t>Information Technology Branch, Corporate Services Division</w:t>
            </w:r>
          </w:p>
        </w:tc>
      </w:tr>
      <w:tr w:rsidR="00860F8E" w:rsidRPr="00053FD1" w14:paraId="068246E9" w14:textId="77777777" w:rsidTr="00A86663">
        <w:tc>
          <w:tcPr>
            <w:tcW w:w="2482" w:type="dxa"/>
            <w:shd w:val="clear" w:color="auto" w:fill="auto"/>
          </w:tcPr>
          <w:p w14:paraId="65DAAC71" w14:textId="77777777" w:rsidR="00860F8E" w:rsidRPr="00053FD1" w:rsidRDefault="00860F8E" w:rsidP="008E2A9C">
            <w:pPr>
              <w:pStyle w:val="TableText"/>
            </w:pPr>
            <w:r w:rsidRPr="00053FD1">
              <w:t>Innovation and Continuous Improvement Award</w:t>
            </w:r>
          </w:p>
        </w:tc>
        <w:tc>
          <w:tcPr>
            <w:tcW w:w="3291" w:type="dxa"/>
            <w:shd w:val="clear" w:color="auto" w:fill="auto"/>
          </w:tcPr>
          <w:p w14:paraId="11166676" w14:textId="77777777" w:rsidR="00860F8E" w:rsidRPr="00053FD1" w:rsidRDefault="00860F8E" w:rsidP="008E2A9C">
            <w:pPr>
              <w:pStyle w:val="TableText"/>
            </w:pPr>
            <w:r w:rsidRPr="00053FD1">
              <w:t>John Flannery, Jaclyn Smith, Margie Theakston, Nick Strange and Christine Hill</w:t>
            </w:r>
          </w:p>
        </w:tc>
        <w:tc>
          <w:tcPr>
            <w:tcW w:w="3243" w:type="dxa"/>
            <w:shd w:val="clear" w:color="auto" w:fill="auto"/>
          </w:tcPr>
          <w:p w14:paraId="23657690" w14:textId="77777777" w:rsidR="00860F8E" w:rsidRPr="00053FD1" w:rsidRDefault="00860F8E" w:rsidP="008E2A9C">
            <w:pPr>
              <w:pStyle w:val="TableText"/>
            </w:pPr>
            <w:r w:rsidRPr="00053FD1">
              <w:t>Coordination and Safety Systems Branch, Business Transformation Branch, People and Culture Branch, and Governance Branch</w:t>
            </w:r>
          </w:p>
        </w:tc>
      </w:tr>
      <w:bookmarkEnd w:id="80"/>
    </w:tbl>
    <w:p w14:paraId="4EE70EE4" w14:textId="77777777" w:rsidR="00E57600" w:rsidRDefault="00E57600" w:rsidP="00860F8E">
      <w:pPr>
        <w:rPr>
          <w:rFonts w:cs="Geometric415BT-LiteA"/>
        </w:rPr>
      </w:pPr>
    </w:p>
    <w:p w14:paraId="11332E27" w14:textId="77777777" w:rsidR="00860F8E" w:rsidRPr="00053FD1" w:rsidRDefault="00860F8E" w:rsidP="00860F8E">
      <w:pPr>
        <w:rPr>
          <w:rFonts w:cs="Geometric415BT-LiteA"/>
          <w:szCs w:val="24"/>
        </w:rPr>
      </w:pPr>
      <w:r w:rsidRPr="00053FD1">
        <w:rPr>
          <w:rFonts w:cs="Geometric415BT-LiteA"/>
        </w:rPr>
        <w:t xml:space="preserve">CASA </w:t>
      </w:r>
      <w:r>
        <w:rPr>
          <w:rFonts w:cs="Geometric415BT-LiteA"/>
        </w:rPr>
        <w:t>also</w:t>
      </w:r>
      <w:r w:rsidRPr="00053FD1">
        <w:rPr>
          <w:rFonts w:cs="Geometric415BT-LiteA"/>
        </w:rPr>
        <w:t xml:space="preserve"> recognise</w:t>
      </w:r>
      <w:r>
        <w:rPr>
          <w:rFonts w:cs="Geometric415BT-LiteA"/>
        </w:rPr>
        <w:t>s</w:t>
      </w:r>
      <w:r w:rsidRPr="00053FD1">
        <w:rPr>
          <w:rFonts w:cs="Geometric415BT-LiteA"/>
        </w:rPr>
        <w:t xml:space="preserve"> the achievements and </w:t>
      </w:r>
      <w:r>
        <w:rPr>
          <w:rFonts w:cs="Geometric415BT-LiteA"/>
        </w:rPr>
        <w:t>commitment</w:t>
      </w:r>
      <w:r w:rsidRPr="00053FD1">
        <w:rPr>
          <w:rFonts w:cs="Geometric415BT-LiteA"/>
        </w:rPr>
        <w:t xml:space="preserve"> of employees </w:t>
      </w:r>
      <w:r>
        <w:rPr>
          <w:rFonts w:cs="Geometric415BT-LiteA"/>
        </w:rPr>
        <w:t>who have served the organisation for</w:t>
      </w:r>
      <w:r w:rsidRPr="00053FD1">
        <w:rPr>
          <w:rFonts w:cs="Geometric415BT-LiteA"/>
        </w:rPr>
        <w:t xml:space="preserve"> five, 10, 15, 20, 25, 30, 35 </w:t>
      </w:r>
      <w:r>
        <w:rPr>
          <w:rFonts w:cs="Geometric415BT-LiteA"/>
        </w:rPr>
        <w:t>or</w:t>
      </w:r>
      <w:r w:rsidRPr="00053FD1">
        <w:rPr>
          <w:rFonts w:cs="Geometric415BT-LiteA"/>
        </w:rPr>
        <w:t xml:space="preserve"> 40</w:t>
      </w:r>
      <w:r w:rsidR="00EA214A">
        <w:rPr>
          <w:rFonts w:cs="Geometric415BT-LiteA"/>
        </w:rPr>
        <w:t xml:space="preserve"> </w:t>
      </w:r>
      <w:r w:rsidRPr="00053FD1">
        <w:rPr>
          <w:rFonts w:cs="Geometric415BT-LiteA"/>
        </w:rPr>
        <w:t xml:space="preserve">year milestones. In 2017–18, nine employees achieved 20 years service or longer, as shown in Table </w:t>
      </w:r>
      <w:r w:rsidR="003C4D63">
        <w:rPr>
          <w:rFonts w:cs="Geometric415BT-LiteA"/>
        </w:rPr>
        <w:t>1</w:t>
      </w:r>
      <w:r w:rsidR="0050220E">
        <w:rPr>
          <w:rFonts w:cs="Geometric415BT-LiteA"/>
        </w:rPr>
        <w:t>2</w:t>
      </w:r>
      <w:r w:rsidRPr="00053FD1">
        <w:rPr>
          <w:rFonts w:cs="Geometric415BT-LiteA"/>
        </w:rPr>
        <w:t>.</w:t>
      </w:r>
    </w:p>
    <w:p w14:paraId="737E422A" w14:textId="77777777" w:rsidR="00860F8E" w:rsidRPr="00053FD1" w:rsidRDefault="00860F8E" w:rsidP="00860F8E">
      <w:pPr>
        <w:pStyle w:val="TableName"/>
      </w:pPr>
      <w:r w:rsidRPr="00053FD1">
        <w:t xml:space="preserve">Table </w:t>
      </w:r>
      <w:r w:rsidR="003C4D63">
        <w:t>1</w:t>
      </w:r>
      <w:r w:rsidR="0050220E">
        <w:t>2</w:t>
      </w:r>
      <w:r w:rsidRPr="00053FD1">
        <w:tab/>
        <w:t>Recipients of CASA milestone awards for service of 20 years or more, 2017–18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6265"/>
      </w:tblGrid>
      <w:tr w:rsidR="00860F8E" w:rsidRPr="00053FD1" w14:paraId="29057D1D" w14:textId="77777777" w:rsidTr="00A86663">
        <w:trPr>
          <w:tblHeader/>
        </w:trPr>
        <w:tc>
          <w:tcPr>
            <w:tcW w:w="1526" w:type="pct"/>
          </w:tcPr>
          <w:p w14:paraId="4DBD47B5" w14:textId="77777777" w:rsidR="00860F8E" w:rsidRPr="008E2A9C" w:rsidRDefault="00860F8E" w:rsidP="008E2A9C">
            <w:pPr>
              <w:pStyle w:val="TableText"/>
              <w:rPr>
                <w:b/>
              </w:rPr>
            </w:pPr>
            <w:r w:rsidRPr="008E2A9C">
              <w:rPr>
                <w:b/>
              </w:rPr>
              <w:t>Length of service</w:t>
            </w:r>
          </w:p>
        </w:tc>
        <w:tc>
          <w:tcPr>
            <w:tcW w:w="3474" w:type="pct"/>
          </w:tcPr>
          <w:p w14:paraId="7174CDBB" w14:textId="77777777" w:rsidR="00860F8E" w:rsidRPr="008E2A9C" w:rsidRDefault="00860F8E" w:rsidP="008E2A9C">
            <w:pPr>
              <w:pStyle w:val="TableText"/>
              <w:rPr>
                <w:b/>
              </w:rPr>
            </w:pPr>
            <w:r w:rsidRPr="008E2A9C">
              <w:rPr>
                <w:b/>
              </w:rPr>
              <w:t xml:space="preserve">Employees </w:t>
            </w:r>
          </w:p>
        </w:tc>
      </w:tr>
      <w:tr w:rsidR="00860F8E" w:rsidRPr="00053FD1" w14:paraId="036899D0" w14:textId="77777777" w:rsidTr="00A86663">
        <w:tc>
          <w:tcPr>
            <w:tcW w:w="1526" w:type="pct"/>
          </w:tcPr>
          <w:p w14:paraId="529D96E1" w14:textId="77777777" w:rsidR="00860F8E" w:rsidRPr="00053FD1" w:rsidRDefault="00860F8E" w:rsidP="008E2A9C">
            <w:pPr>
              <w:pStyle w:val="TableText"/>
            </w:pPr>
            <w:r w:rsidRPr="00053FD1">
              <w:t>20 years</w:t>
            </w:r>
          </w:p>
        </w:tc>
        <w:tc>
          <w:tcPr>
            <w:tcW w:w="3474" w:type="pct"/>
          </w:tcPr>
          <w:p w14:paraId="02B20B4F" w14:textId="77777777" w:rsidR="00860F8E" w:rsidRPr="00053FD1" w:rsidRDefault="00860F8E" w:rsidP="008E2A9C">
            <w:pPr>
              <w:pStyle w:val="TableText"/>
            </w:pPr>
            <w:r w:rsidRPr="00053FD1">
              <w:t>Carlie Brewer, Branka Brkic, Johanna Punshon, Helen Savill, Adrian Tusek</w:t>
            </w:r>
          </w:p>
        </w:tc>
      </w:tr>
      <w:tr w:rsidR="00860F8E" w:rsidRPr="00053FD1" w14:paraId="1E19BAC8" w14:textId="77777777" w:rsidTr="00A86663">
        <w:tc>
          <w:tcPr>
            <w:tcW w:w="1526" w:type="pct"/>
          </w:tcPr>
          <w:p w14:paraId="5EE1784F" w14:textId="77777777" w:rsidR="00860F8E" w:rsidRPr="00053FD1" w:rsidRDefault="00860F8E" w:rsidP="008E2A9C">
            <w:pPr>
              <w:pStyle w:val="TableText"/>
            </w:pPr>
            <w:r w:rsidRPr="00053FD1">
              <w:t>25 years</w:t>
            </w:r>
          </w:p>
        </w:tc>
        <w:tc>
          <w:tcPr>
            <w:tcW w:w="3474" w:type="pct"/>
          </w:tcPr>
          <w:p w14:paraId="0AD164EE" w14:textId="77777777" w:rsidR="00860F8E" w:rsidRPr="00053FD1" w:rsidRDefault="00860F8E" w:rsidP="008E2A9C">
            <w:pPr>
              <w:pStyle w:val="TableText"/>
            </w:pPr>
            <w:r w:rsidRPr="00053FD1">
              <w:t>Jonathan Aleck, Carmen Askew, Ian Ogilvie</w:t>
            </w:r>
          </w:p>
        </w:tc>
      </w:tr>
      <w:tr w:rsidR="00860F8E" w:rsidRPr="00053FD1" w14:paraId="6DAE2D36" w14:textId="77777777" w:rsidTr="00A86663">
        <w:tc>
          <w:tcPr>
            <w:tcW w:w="1526" w:type="pct"/>
          </w:tcPr>
          <w:p w14:paraId="5C1F4699" w14:textId="77777777" w:rsidR="00860F8E" w:rsidRPr="00053FD1" w:rsidRDefault="00860F8E" w:rsidP="008E2A9C">
            <w:pPr>
              <w:pStyle w:val="TableText"/>
            </w:pPr>
            <w:r w:rsidRPr="00053FD1">
              <w:t>35 years</w:t>
            </w:r>
          </w:p>
        </w:tc>
        <w:tc>
          <w:tcPr>
            <w:tcW w:w="3474" w:type="pct"/>
          </w:tcPr>
          <w:p w14:paraId="36E44169" w14:textId="77777777" w:rsidR="00860F8E" w:rsidRPr="00053FD1" w:rsidRDefault="00860F8E" w:rsidP="008E2A9C">
            <w:pPr>
              <w:pStyle w:val="TableText"/>
            </w:pPr>
            <w:r w:rsidRPr="00053FD1">
              <w:t>Grant Olson</w:t>
            </w:r>
          </w:p>
        </w:tc>
      </w:tr>
    </w:tbl>
    <w:p w14:paraId="4E09692D" w14:textId="77777777" w:rsidR="000C03F1" w:rsidRPr="00053FD1" w:rsidRDefault="000C03F1" w:rsidP="000C03F1">
      <w:pPr>
        <w:pStyle w:val="Heading2noTOC"/>
        <w:rPr>
          <w:lang w:val="en-GB"/>
        </w:rPr>
      </w:pPr>
      <w:r w:rsidRPr="00053FD1">
        <w:rPr>
          <w:lang w:val="en-GB"/>
        </w:rPr>
        <w:t>Recognition for outstanding project management</w:t>
      </w:r>
    </w:p>
    <w:p w14:paraId="5A14C73A" w14:textId="599D63BB" w:rsidR="000C03F1" w:rsidRDefault="000C03F1" w:rsidP="000C03F1">
      <w:pPr>
        <w:rPr>
          <w:rFonts w:cs="Calibri"/>
          <w:szCs w:val="24"/>
        </w:rPr>
      </w:pPr>
      <w:r w:rsidRPr="00053FD1">
        <w:rPr>
          <w:rFonts w:cs="Calibri"/>
          <w:szCs w:val="24"/>
        </w:rPr>
        <w:t xml:space="preserve">Denise Morman, </w:t>
      </w:r>
      <w:r>
        <w:rPr>
          <w:rFonts w:cs="Calibri"/>
          <w:szCs w:val="24"/>
        </w:rPr>
        <w:t>from CASA’s</w:t>
      </w:r>
      <w:r w:rsidRPr="00053FD1">
        <w:rPr>
          <w:rFonts w:cs="Calibri"/>
          <w:szCs w:val="24"/>
        </w:rPr>
        <w:t xml:space="preserve"> Regulation Implementation Branch, was </w:t>
      </w:r>
      <w:r>
        <w:rPr>
          <w:rFonts w:cs="Calibri"/>
          <w:szCs w:val="24"/>
        </w:rPr>
        <w:t>nam</w:t>
      </w:r>
      <w:r w:rsidRPr="00053FD1">
        <w:rPr>
          <w:rFonts w:cs="Calibri"/>
          <w:szCs w:val="24"/>
        </w:rPr>
        <w:t>ed Queensland’s Project Manager of the year for 2017 by the Australian Institute of Project Management</w:t>
      </w:r>
      <w:r>
        <w:rPr>
          <w:rFonts w:cs="Calibri"/>
          <w:szCs w:val="24"/>
        </w:rPr>
        <w:t>, in recognition of</w:t>
      </w:r>
      <w:r w:rsidRPr="00053FD1">
        <w:rPr>
          <w:rFonts w:cs="Calibri"/>
          <w:szCs w:val="24"/>
        </w:rPr>
        <w:t xml:space="preserve"> her management of the CASR Part 101 amendment to unmanned aircraft and rocket rules.</w:t>
      </w:r>
    </w:p>
    <w:p w14:paraId="0607F4F9" w14:textId="068BFD9C" w:rsidR="005626C0" w:rsidRPr="005626C0" w:rsidRDefault="005626C0" w:rsidP="005626C0">
      <w:pPr>
        <w:pStyle w:val="Heading0noTOC"/>
        <w:rPr>
          <w:rFonts w:eastAsia="Times New Roman"/>
        </w:rPr>
      </w:pPr>
      <w:r w:rsidRPr="00687E4A">
        <w:t>Cameo</w:t>
      </w:r>
    </w:p>
    <w:p w14:paraId="3991CE55" w14:textId="77777777" w:rsidR="00860F8E" w:rsidRPr="00053FD1" w:rsidRDefault="00860F8E" w:rsidP="00860F8E">
      <w:pPr>
        <w:pStyle w:val="Heading1noTOC"/>
        <w:rPr>
          <w:lang w:val="en-GB"/>
        </w:rPr>
      </w:pPr>
      <w:r w:rsidRPr="00053FD1">
        <w:rPr>
          <w:lang w:val="en-GB"/>
        </w:rPr>
        <w:t>First Australian pilots receive new aircraft type ratings</w:t>
      </w:r>
    </w:p>
    <w:p w14:paraId="29A55FE8" w14:textId="77777777" w:rsidR="00860F8E" w:rsidRPr="007742B3" w:rsidRDefault="00860F8E" w:rsidP="00860F8E">
      <w:pPr>
        <w:rPr>
          <w:lang w:val="en-AU" w:eastAsia="en-AU"/>
        </w:rPr>
      </w:pPr>
      <w:r>
        <w:rPr>
          <w:lang w:val="en-AU" w:eastAsia="en-AU"/>
        </w:rPr>
        <w:t>T</w:t>
      </w:r>
      <w:r w:rsidRPr="007742B3">
        <w:rPr>
          <w:lang w:val="en-AU" w:eastAsia="en-AU"/>
        </w:rPr>
        <w:t>he first four Australian pilots to be type rated on the new Pilatus PC24 aircraft received their ratings from Flight Safety International in Dallas</w:t>
      </w:r>
      <w:r>
        <w:rPr>
          <w:lang w:val="en-AU" w:eastAsia="en-AU"/>
        </w:rPr>
        <w:t xml:space="preserve"> on 3 June 2018</w:t>
      </w:r>
      <w:r w:rsidRPr="007742B3">
        <w:rPr>
          <w:lang w:val="en-AU" w:eastAsia="en-AU"/>
        </w:rPr>
        <w:t xml:space="preserve">. </w:t>
      </w:r>
    </w:p>
    <w:p w14:paraId="485D16A1" w14:textId="77777777" w:rsidR="00860F8E" w:rsidRPr="007742B3" w:rsidRDefault="00860F8E" w:rsidP="00860F8E">
      <w:pPr>
        <w:rPr>
          <w:spacing w:val="3"/>
          <w:lang w:val="en-AU" w:eastAsia="en-AU"/>
        </w:rPr>
      </w:pPr>
      <w:r w:rsidRPr="007742B3">
        <w:rPr>
          <w:spacing w:val="3"/>
          <w:lang w:val="en-AU" w:eastAsia="en-AU"/>
        </w:rPr>
        <w:t xml:space="preserve">The four pilots </w:t>
      </w:r>
      <w:r>
        <w:rPr>
          <w:spacing w:val="3"/>
          <w:lang w:val="en-AU" w:eastAsia="en-AU"/>
        </w:rPr>
        <w:t>were</w:t>
      </w:r>
      <w:r w:rsidRPr="007742B3">
        <w:rPr>
          <w:spacing w:val="3"/>
          <w:lang w:val="en-AU" w:eastAsia="en-AU"/>
        </w:rPr>
        <w:t xml:space="preserve"> Pilatus Australia Chief Pilot Gary Williams from Adelaide, Capt. Albin Unger </w:t>
      </w:r>
      <w:r>
        <w:rPr>
          <w:spacing w:val="3"/>
          <w:lang w:val="en-AU" w:eastAsia="en-AU"/>
        </w:rPr>
        <w:t>(</w:t>
      </w:r>
      <w:r w:rsidRPr="007742B3">
        <w:rPr>
          <w:spacing w:val="3"/>
          <w:lang w:val="en-AU" w:eastAsia="en-AU"/>
        </w:rPr>
        <w:t>Chief Pilot,</w:t>
      </w:r>
      <w:r>
        <w:rPr>
          <w:spacing w:val="3"/>
          <w:lang w:val="en-AU" w:eastAsia="en-AU"/>
        </w:rPr>
        <w:t xml:space="preserve"> Royal Flying Doctor Service),</w:t>
      </w:r>
      <w:r w:rsidRPr="007742B3">
        <w:rPr>
          <w:spacing w:val="3"/>
          <w:lang w:val="en-AU" w:eastAsia="en-AU"/>
        </w:rPr>
        <w:t xml:space="preserve"> Capt. Matt Granger</w:t>
      </w:r>
      <w:r>
        <w:rPr>
          <w:spacing w:val="3"/>
          <w:lang w:val="en-AU" w:eastAsia="en-AU"/>
        </w:rPr>
        <w:t xml:space="preserve"> (</w:t>
      </w:r>
      <w:r w:rsidRPr="007742B3">
        <w:rPr>
          <w:spacing w:val="3"/>
          <w:lang w:val="en-AU" w:eastAsia="en-AU"/>
        </w:rPr>
        <w:t>PC24 project officer</w:t>
      </w:r>
      <w:r>
        <w:rPr>
          <w:spacing w:val="3"/>
          <w:lang w:val="en-AU" w:eastAsia="en-AU"/>
        </w:rPr>
        <w:t>,</w:t>
      </w:r>
      <w:r w:rsidRPr="007742B3">
        <w:rPr>
          <w:spacing w:val="3"/>
          <w:lang w:val="en-AU" w:eastAsia="en-AU"/>
        </w:rPr>
        <w:t xml:space="preserve"> Royal Flying Doctor Service Western Operations</w:t>
      </w:r>
      <w:r>
        <w:rPr>
          <w:spacing w:val="3"/>
          <w:lang w:val="en-AU" w:eastAsia="en-AU"/>
        </w:rPr>
        <w:t>)</w:t>
      </w:r>
      <w:r w:rsidRPr="007742B3">
        <w:rPr>
          <w:spacing w:val="3"/>
          <w:lang w:val="en-AU" w:eastAsia="en-AU"/>
        </w:rPr>
        <w:t xml:space="preserve"> and Mark </w:t>
      </w:r>
      <w:r w:rsidRPr="007742B3">
        <w:rPr>
          <w:spacing w:val="3"/>
          <w:lang w:val="en-AU" w:eastAsia="en-AU"/>
        </w:rPr>
        <w:lastRenderedPageBreak/>
        <w:t>Richardson</w:t>
      </w:r>
      <w:r>
        <w:rPr>
          <w:spacing w:val="3"/>
          <w:lang w:val="en-AU" w:eastAsia="en-AU"/>
        </w:rPr>
        <w:t xml:space="preserve"> (CASA </w:t>
      </w:r>
      <w:r w:rsidRPr="007742B3">
        <w:rPr>
          <w:spacing w:val="3"/>
          <w:lang w:val="en-AU" w:eastAsia="en-AU"/>
        </w:rPr>
        <w:t>flying operations inspector and PC24 introduction task manager, Western Region</w:t>
      </w:r>
      <w:r>
        <w:rPr>
          <w:spacing w:val="3"/>
          <w:lang w:val="en-AU" w:eastAsia="en-AU"/>
        </w:rPr>
        <w:t>)</w:t>
      </w:r>
      <w:r w:rsidRPr="007742B3">
        <w:rPr>
          <w:spacing w:val="3"/>
          <w:lang w:val="en-AU" w:eastAsia="en-AU"/>
        </w:rPr>
        <w:t xml:space="preserve">. </w:t>
      </w:r>
    </w:p>
    <w:p w14:paraId="363A060A" w14:textId="77777777" w:rsidR="00860F8E" w:rsidRPr="007742B3" w:rsidRDefault="00860F8E" w:rsidP="00860F8E">
      <w:pPr>
        <w:rPr>
          <w:spacing w:val="3"/>
          <w:lang w:val="en-AU" w:eastAsia="en-AU"/>
        </w:rPr>
      </w:pPr>
      <w:r w:rsidRPr="007742B3">
        <w:rPr>
          <w:spacing w:val="3"/>
          <w:lang w:val="en-AU" w:eastAsia="en-AU"/>
        </w:rPr>
        <w:t xml:space="preserve">Pilot and engineer training on the PC24 was delivered in partnership with Flight Safety International and Pilatus. </w:t>
      </w:r>
    </w:p>
    <w:p w14:paraId="6B068885" w14:textId="77777777" w:rsidR="00860F8E" w:rsidRPr="007742B3" w:rsidRDefault="00860F8E" w:rsidP="00860F8E">
      <w:pPr>
        <w:rPr>
          <w:spacing w:val="3"/>
          <w:lang w:val="en-AU" w:eastAsia="en-AU"/>
        </w:rPr>
      </w:pPr>
      <w:r w:rsidRPr="007742B3">
        <w:rPr>
          <w:spacing w:val="3"/>
          <w:lang w:val="en-AU" w:eastAsia="en-AU"/>
        </w:rPr>
        <w:t>The course was only the third PC24 type rating course conducted by the organisation and the first course for single pilot operators of this aircraft.</w:t>
      </w:r>
    </w:p>
    <w:p w14:paraId="74B03CD1" w14:textId="77777777" w:rsidR="00860F8E" w:rsidRPr="007742B3" w:rsidRDefault="00860F8E" w:rsidP="00860F8E">
      <w:pPr>
        <w:rPr>
          <w:spacing w:val="3"/>
          <w:lang w:val="en-AU" w:eastAsia="en-AU"/>
        </w:rPr>
      </w:pPr>
      <w:r w:rsidRPr="007742B3">
        <w:rPr>
          <w:spacing w:val="3"/>
          <w:lang w:val="en-AU" w:eastAsia="en-AU"/>
        </w:rPr>
        <w:t>The PC24 is a medium</w:t>
      </w:r>
      <w:r>
        <w:rPr>
          <w:spacing w:val="3"/>
          <w:lang w:val="en-AU" w:eastAsia="en-AU"/>
        </w:rPr>
        <w:t>-</w:t>
      </w:r>
      <w:r w:rsidRPr="007742B3">
        <w:rPr>
          <w:spacing w:val="3"/>
          <w:lang w:val="en-AU" w:eastAsia="en-AU"/>
        </w:rPr>
        <w:t>weight jet with a take-off weight of 8,000</w:t>
      </w:r>
      <w:r>
        <w:rPr>
          <w:spacing w:val="3"/>
          <w:lang w:val="en-AU" w:eastAsia="en-AU"/>
        </w:rPr>
        <w:t> </w:t>
      </w:r>
      <w:r w:rsidRPr="007742B3">
        <w:rPr>
          <w:spacing w:val="3"/>
          <w:lang w:val="en-AU" w:eastAsia="en-AU"/>
        </w:rPr>
        <w:t>k</w:t>
      </w:r>
      <w:r>
        <w:rPr>
          <w:spacing w:val="3"/>
          <w:lang w:val="en-AU" w:eastAsia="en-AU"/>
        </w:rPr>
        <w:t>ilo</w:t>
      </w:r>
      <w:r w:rsidRPr="007742B3">
        <w:rPr>
          <w:spacing w:val="3"/>
          <w:lang w:val="en-AU" w:eastAsia="en-AU"/>
        </w:rPr>
        <w:t>g</w:t>
      </w:r>
      <w:r>
        <w:rPr>
          <w:spacing w:val="3"/>
          <w:lang w:val="en-AU" w:eastAsia="en-AU"/>
        </w:rPr>
        <w:t>rams</w:t>
      </w:r>
      <w:r w:rsidRPr="007742B3">
        <w:rPr>
          <w:spacing w:val="3"/>
          <w:lang w:val="en-AU" w:eastAsia="en-AU"/>
        </w:rPr>
        <w:t xml:space="preserve"> and </w:t>
      </w:r>
      <w:r>
        <w:rPr>
          <w:spacing w:val="3"/>
          <w:lang w:val="en-AU" w:eastAsia="en-AU"/>
        </w:rPr>
        <w:t xml:space="preserve">is </w:t>
      </w:r>
      <w:r w:rsidRPr="007742B3">
        <w:rPr>
          <w:spacing w:val="3"/>
          <w:lang w:val="en-AU" w:eastAsia="en-AU"/>
        </w:rPr>
        <w:t xml:space="preserve">capable of seating up to 10 passengers. </w:t>
      </w:r>
    </w:p>
    <w:p w14:paraId="281A0A59" w14:textId="77777777" w:rsidR="00860F8E" w:rsidRPr="007742B3" w:rsidRDefault="00860F8E" w:rsidP="00860F8E">
      <w:pPr>
        <w:rPr>
          <w:spacing w:val="3"/>
          <w:lang w:val="en-AU" w:eastAsia="en-AU"/>
        </w:rPr>
      </w:pPr>
      <w:r w:rsidRPr="007742B3">
        <w:rPr>
          <w:spacing w:val="3"/>
          <w:lang w:val="en-AU" w:eastAsia="en-AU"/>
        </w:rPr>
        <w:t xml:space="preserve">The aircraft is powered by two Williams International FJ44 engines and </w:t>
      </w:r>
      <w:r>
        <w:rPr>
          <w:spacing w:val="3"/>
          <w:lang w:val="en-AU" w:eastAsia="en-AU"/>
        </w:rPr>
        <w:t>can</w:t>
      </w:r>
      <w:r w:rsidRPr="007742B3">
        <w:rPr>
          <w:spacing w:val="3"/>
          <w:lang w:val="en-AU" w:eastAsia="en-AU"/>
        </w:rPr>
        <w:t xml:space="preserve"> cruise</w:t>
      </w:r>
      <w:r>
        <w:rPr>
          <w:spacing w:val="3"/>
          <w:lang w:val="en-AU" w:eastAsia="en-AU"/>
        </w:rPr>
        <w:t xml:space="preserve"> at</w:t>
      </w:r>
      <w:r w:rsidRPr="007742B3">
        <w:rPr>
          <w:spacing w:val="3"/>
          <w:lang w:val="en-AU" w:eastAsia="en-AU"/>
        </w:rPr>
        <w:t xml:space="preserve"> up to 45,000 feet at 425 knots. </w:t>
      </w:r>
    </w:p>
    <w:p w14:paraId="0A0BCBE1" w14:textId="77777777" w:rsidR="00860F8E" w:rsidRPr="007742B3" w:rsidRDefault="00860F8E" w:rsidP="00860F8E">
      <w:pPr>
        <w:rPr>
          <w:spacing w:val="3"/>
          <w:lang w:val="en-AU" w:eastAsia="en-AU"/>
        </w:rPr>
      </w:pPr>
      <w:r w:rsidRPr="007742B3">
        <w:rPr>
          <w:spacing w:val="3"/>
          <w:lang w:val="en-AU" w:eastAsia="en-AU"/>
        </w:rPr>
        <w:t>In aeromedical configuration</w:t>
      </w:r>
      <w:r>
        <w:rPr>
          <w:spacing w:val="3"/>
          <w:lang w:val="en-AU" w:eastAsia="en-AU"/>
        </w:rPr>
        <w:t>,</w:t>
      </w:r>
      <w:r w:rsidRPr="007742B3">
        <w:rPr>
          <w:spacing w:val="3"/>
          <w:lang w:val="en-AU" w:eastAsia="en-AU"/>
        </w:rPr>
        <w:t xml:space="preserve"> the aircraft can carry up to three stretcher patients and medical crew from Broome to Perth in around two and half hours. </w:t>
      </w:r>
    </w:p>
    <w:p w14:paraId="01993E86" w14:textId="77777777" w:rsidR="00860F8E" w:rsidRPr="007742B3" w:rsidRDefault="00860F8E" w:rsidP="00860F8E">
      <w:pPr>
        <w:rPr>
          <w:spacing w:val="3"/>
          <w:lang w:val="en-AU" w:eastAsia="en-AU"/>
        </w:rPr>
      </w:pPr>
      <w:r w:rsidRPr="007742B3">
        <w:rPr>
          <w:spacing w:val="3"/>
          <w:lang w:val="en-AU" w:eastAsia="en-AU"/>
        </w:rPr>
        <w:t>CASA’s Mark Richardson observed the aircraft’s excellent take-off and landing performance</w:t>
      </w:r>
      <w:r>
        <w:rPr>
          <w:spacing w:val="3"/>
          <w:lang w:val="en-AU" w:eastAsia="en-AU"/>
        </w:rPr>
        <w:t>, which includes</w:t>
      </w:r>
      <w:r w:rsidRPr="007742B3">
        <w:rPr>
          <w:spacing w:val="3"/>
          <w:lang w:val="en-AU" w:eastAsia="en-AU"/>
        </w:rPr>
        <w:t xml:space="preserve"> very low approach speeds and very short landing and stopping distances</w:t>
      </w:r>
      <w:r>
        <w:rPr>
          <w:spacing w:val="3"/>
          <w:lang w:val="en-AU" w:eastAsia="en-AU"/>
        </w:rPr>
        <w:t>. He</w:t>
      </w:r>
      <w:r w:rsidRPr="007742B3">
        <w:rPr>
          <w:spacing w:val="3"/>
          <w:lang w:val="en-AU" w:eastAsia="en-AU"/>
        </w:rPr>
        <w:t xml:space="preserve"> commented that</w:t>
      </w:r>
      <w:r>
        <w:rPr>
          <w:spacing w:val="3"/>
          <w:lang w:val="en-AU" w:eastAsia="en-AU"/>
        </w:rPr>
        <w:t>,</w:t>
      </w:r>
      <w:r w:rsidRPr="007742B3">
        <w:rPr>
          <w:spacing w:val="3"/>
          <w:lang w:val="en-AU" w:eastAsia="en-AU"/>
        </w:rPr>
        <w:t xml:space="preserve"> with take-off speeds around 93 knots and over 6,500</w:t>
      </w:r>
      <w:r>
        <w:rPr>
          <w:spacing w:val="3"/>
          <w:lang w:val="en-AU" w:eastAsia="en-AU"/>
        </w:rPr>
        <w:t> pound</w:t>
      </w:r>
      <w:r w:rsidRPr="007742B3">
        <w:rPr>
          <w:spacing w:val="3"/>
          <w:lang w:val="en-AU" w:eastAsia="en-AU"/>
        </w:rPr>
        <w:t>s of thrust</w:t>
      </w:r>
      <w:r>
        <w:rPr>
          <w:spacing w:val="3"/>
          <w:lang w:val="en-AU" w:eastAsia="en-AU"/>
        </w:rPr>
        <w:t>,</w:t>
      </w:r>
      <w:r w:rsidRPr="007742B3">
        <w:rPr>
          <w:spacing w:val="3"/>
          <w:lang w:val="en-AU" w:eastAsia="en-AU"/>
        </w:rPr>
        <w:t xml:space="preserve"> the aircraft can take</w:t>
      </w:r>
      <w:r>
        <w:rPr>
          <w:spacing w:val="3"/>
          <w:lang w:val="en-AU" w:eastAsia="en-AU"/>
        </w:rPr>
        <w:t xml:space="preserve"> </w:t>
      </w:r>
      <w:r w:rsidRPr="007742B3">
        <w:rPr>
          <w:spacing w:val="3"/>
          <w:lang w:val="en-AU" w:eastAsia="en-AU"/>
        </w:rPr>
        <w:t xml:space="preserve">off from quite short runways and climbs away very nicely. </w:t>
      </w:r>
    </w:p>
    <w:p w14:paraId="6F004E9A" w14:textId="77777777" w:rsidR="00860F8E" w:rsidRPr="007742B3" w:rsidRDefault="00860F8E" w:rsidP="00860F8E">
      <w:pPr>
        <w:rPr>
          <w:spacing w:val="3"/>
          <w:lang w:val="en-AU" w:eastAsia="en-AU"/>
        </w:rPr>
      </w:pPr>
      <w:r w:rsidRPr="007742B3">
        <w:rPr>
          <w:spacing w:val="3"/>
          <w:lang w:val="en-AU" w:eastAsia="en-AU"/>
        </w:rPr>
        <w:t xml:space="preserve">Two PC24 aircraft for Royal Flying Doctor Service Western Operations are expected to arrive in Australia in October 2018 for crew familiarisation before they </w:t>
      </w:r>
      <w:r>
        <w:rPr>
          <w:spacing w:val="3"/>
          <w:lang w:val="en-AU" w:eastAsia="en-AU"/>
        </w:rPr>
        <w:t>begin</w:t>
      </w:r>
      <w:r w:rsidRPr="007742B3">
        <w:rPr>
          <w:spacing w:val="3"/>
          <w:lang w:val="en-AU" w:eastAsia="en-AU"/>
        </w:rPr>
        <w:t xml:space="preserve"> aeromedical flights based in Perth and Broome</w:t>
      </w:r>
      <w:r>
        <w:rPr>
          <w:spacing w:val="3"/>
          <w:lang w:val="en-AU" w:eastAsia="en-AU"/>
        </w:rPr>
        <w:t xml:space="preserve">. </w:t>
      </w:r>
      <w:r w:rsidRPr="007742B3">
        <w:rPr>
          <w:spacing w:val="3"/>
          <w:lang w:val="en-AU" w:eastAsia="en-AU"/>
        </w:rPr>
        <w:t xml:space="preserve">Central Operations </w:t>
      </w:r>
      <w:r>
        <w:rPr>
          <w:spacing w:val="3"/>
          <w:lang w:val="en-AU" w:eastAsia="en-AU"/>
        </w:rPr>
        <w:t xml:space="preserve">is </w:t>
      </w:r>
      <w:r w:rsidRPr="007742B3">
        <w:rPr>
          <w:spacing w:val="3"/>
          <w:lang w:val="en-AU" w:eastAsia="en-AU"/>
        </w:rPr>
        <w:t xml:space="preserve">expected to receive </w:t>
      </w:r>
      <w:r>
        <w:rPr>
          <w:spacing w:val="3"/>
          <w:lang w:val="en-AU" w:eastAsia="en-AU"/>
        </w:rPr>
        <w:t>its</w:t>
      </w:r>
      <w:r w:rsidRPr="007742B3">
        <w:rPr>
          <w:spacing w:val="3"/>
          <w:lang w:val="en-AU" w:eastAsia="en-AU"/>
        </w:rPr>
        <w:t xml:space="preserve"> aircraft late</w:t>
      </w:r>
      <w:r>
        <w:rPr>
          <w:spacing w:val="3"/>
          <w:lang w:val="en-AU" w:eastAsia="en-AU"/>
        </w:rPr>
        <w:t>r in</w:t>
      </w:r>
      <w:r w:rsidRPr="007742B3">
        <w:rPr>
          <w:spacing w:val="3"/>
          <w:lang w:val="en-AU" w:eastAsia="en-AU"/>
        </w:rPr>
        <w:t xml:space="preserve"> 2018. </w:t>
      </w:r>
    </w:p>
    <w:p w14:paraId="79D4656D" w14:textId="77777777" w:rsidR="00860F8E" w:rsidRPr="007742B3" w:rsidRDefault="00860F8E" w:rsidP="00860F8E">
      <w:pPr>
        <w:rPr>
          <w:spacing w:val="3"/>
          <w:lang w:val="en-AU" w:eastAsia="en-AU"/>
        </w:rPr>
      </w:pPr>
      <w:r w:rsidRPr="007742B3">
        <w:rPr>
          <w:spacing w:val="3"/>
          <w:lang w:val="en-AU" w:eastAsia="en-AU"/>
        </w:rPr>
        <w:t>A number of other PC24 aircraft are expected to come onto the civil aircraft register in 2019 for private and business operations.</w:t>
      </w:r>
    </w:p>
    <w:p w14:paraId="6443F929" w14:textId="77777777" w:rsidR="00860F8E" w:rsidRPr="007742B3" w:rsidRDefault="00860F8E" w:rsidP="00860F8E">
      <w:pPr>
        <w:rPr>
          <w:spacing w:val="3"/>
          <w:lang w:val="en-AU" w:eastAsia="en-AU"/>
        </w:rPr>
      </w:pPr>
      <w:r w:rsidRPr="007742B3">
        <w:rPr>
          <w:spacing w:val="3"/>
          <w:lang w:val="en-AU" w:eastAsia="en-AU"/>
        </w:rPr>
        <w:t xml:space="preserve">The implementation task for the PC24 is being managed by Mark Richardson and airworthiness inspector Clay Maurer, with support from Flight Crew Licensing Specialist Services, Airworthiness Engineering </w:t>
      </w:r>
      <w:r>
        <w:rPr>
          <w:spacing w:val="3"/>
          <w:lang w:val="en-AU" w:eastAsia="en-AU"/>
        </w:rPr>
        <w:t>B</w:t>
      </w:r>
      <w:r w:rsidRPr="007742B3">
        <w:rPr>
          <w:spacing w:val="3"/>
          <w:lang w:val="en-AU" w:eastAsia="en-AU"/>
        </w:rPr>
        <w:t xml:space="preserve">ranch and Flight Standards </w:t>
      </w:r>
      <w:r>
        <w:rPr>
          <w:spacing w:val="3"/>
          <w:lang w:val="en-AU" w:eastAsia="en-AU"/>
        </w:rPr>
        <w:t>B</w:t>
      </w:r>
      <w:r w:rsidRPr="007742B3">
        <w:rPr>
          <w:spacing w:val="3"/>
          <w:lang w:val="en-AU" w:eastAsia="en-AU"/>
        </w:rPr>
        <w:t>ranch.</w:t>
      </w:r>
    </w:p>
    <w:p w14:paraId="1EBA8FC2" w14:textId="25C15F83" w:rsidR="00860F8E" w:rsidRDefault="00860F8E" w:rsidP="00860F8E">
      <w:pPr>
        <w:pStyle w:val="BulletLast"/>
        <w:numPr>
          <w:ilvl w:val="0"/>
          <w:numId w:val="0"/>
        </w:numPr>
      </w:pPr>
      <w:r w:rsidRPr="007742B3">
        <w:rPr>
          <w:color w:val="212121"/>
          <w:spacing w:val="3"/>
          <w:szCs w:val="24"/>
          <w:lang w:val="en-AU" w:eastAsia="en-AU"/>
        </w:rPr>
        <w:t xml:space="preserve">A video of the maiden flight of the Royal Flying Doctor Service Western Operations PC24 is available </w:t>
      </w:r>
      <w:r>
        <w:rPr>
          <w:color w:val="212121"/>
          <w:spacing w:val="3"/>
          <w:szCs w:val="24"/>
          <w:lang w:val="en-AU" w:eastAsia="en-AU"/>
        </w:rPr>
        <w:t xml:space="preserve">on YouTube </w:t>
      </w:r>
      <w:r w:rsidRPr="00610D33">
        <w:rPr>
          <w:color w:val="212121"/>
          <w:spacing w:val="3"/>
          <w:szCs w:val="24"/>
          <w:lang w:val="en-AU" w:eastAsia="en-AU"/>
        </w:rPr>
        <w:t>at</w:t>
      </w:r>
      <w:r>
        <w:rPr>
          <w:color w:val="212121"/>
          <w:spacing w:val="3"/>
          <w:szCs w:val="24"/>
          <w:lang w:val="en-AU" w:eastAsia="en-AU"/>
        </w:rPr>
        <w:t xml:space="preserve"> </w:t>
      </w:r>
      <w:hyperlink r:id="rId33" w:history="1">
        <w:r w:rsidR="005626C0" w:rsidRPr="000A2F9F">
          <w:rPr>
            <w:rStyle w:val="Hyperlink"/>
            <w:spacing w:val="3"/>
            <w:szCs w:val="24"/>
            <w:lang w:val="en-AU" w:eastAsia="en-AU"/>
          </w:rPr>
          <w:t>www.youtube.com/watch?v=60XFFRtfRZI</w:t>
        </w:r>
      </w:hyperlink>
      <w:r>
        <w:t>.</w:t>
      </w:r>
    </w:p>
    <w:p w14:paraId="0679DF43" w14:textId="41E400BC" w:rsidR="005626C0" w:rsidRPr="00687E4A" w:rsidRDefault="005626C0" w:rsidP="005626C0">
      <w:pPr>
        <w:pStyle w:val="Heading0noTOC"/>
        <w:rPr>
          <w:rFonts w:eastAsia="Times New Roman"/>
        </w:rPr>
      </w:pPr>
      <w:r w:rsidRPr="00687E4A">
        <w:t>Cameo</w:t>
      </w:r>
    </w:p>
    <w:p w14:paraId="3DCDEA97" w14:textId="77777777" w:rsidR="00860F8E" w:rsidRPr="00053FD1" w:rsidRDefault="00860F8E" w:rsidP="00860F8E">
      <w:pPr>
        <w:pStyle w:val="Heading1noTOC"/>
        <w:rPr>
          <w:lang w:val="en-GB"/>
        </w:rPr>
      </w:pPr>
      <w:bookmarkStart w:id="81" w:name="OLE_LINK8"/>
      <w:r w:rsidRPr="00053FD1">
        <w:rPr>
          <w:lang w:val="en-GB"/>
        </w:rPr>
        <w:t>Australia moves up in world rankings</w:t>
      </w:r>
    </w:p>
    <w:bookmarkEnd w:id="81"/>
    <w:p w14:paraId="1FAD8A2F" w14:textId="77777777" w:rsidR="00860F8E" w:rsidRPr="007742B3" w:rsidRDefault="00860F8E" w:rsidP="00860F8E">
      <w:pPr>
        <w:shd w:val="clear" w:color="auto" w:fill="FFFFFF"/>
        <w:textAlignment w:val="top"/>
        <w:rPr>
          <w:color w:val="39474E"/>
          <w:szCs w:val="24"/>
          <w:lang w:val="en-AU"/>
        </w:rPr>
      </w:pPr>
      <w:r w:rsidRPr="007742B3">
        <w:rPr>
          <w:color w:val="39474E"/>
          <w:szCs w:val="24"/>
          <w:lang w:val="en-AU"/>
        </w:rPr>
        <w:t>Safety oversight audits and follow</w:t>
      </w:r>
      <w:r>
        <w:rPr>
          <w:color w:val="39474E"/>
          <w:szCs w:val="24"/>
          <w:lang w:val="en-AU"/>
        </w:rPr>
        <w:t>-</w:t>
      </w:r>
      <w:r w:rsidRPr="007742B3">
        <w:rPr>
          <w:color w:val="39474E"/>
          <w:szCs w:val="24"/>
          <w:lang w:val="en-AU"/>
        </w:rPr>
        <w:t>up coordinated validation missions are key part</w:t>
      </w:r>
      <w:r>
        <w:rPr>
          <w:color w:val="39474E"/>
          <w:szCs w:val="24"/>
          <w:lang w:val="en-AU"/>
        </w:rPr>
        <w:t>s</w:t>
      </w:r>
      <w:r w:rsidRPr="007742B3">
        <w:rPr>
          <w:color w:val="39474E"/>
          <w:szCs w:val="24"/>
          <w:lang w:val="en-AU"/>
        </w:rPr>
        <w:t xml:space="preserve"> of </w:t>
      </w:r>
      <w:r>
        <w:rPr>
          <w:color w:val="39474E"/>
          <w:szCs w:val="24"/>
          <w:lang w:val="en-AU"/>
        </w:rPr>
        <w:t>the</w:t>
      </w:r>
      <w:r w:rsidRPr="007742B3">
        <w:rPr>
          <w:color w:val="39474E"/>
          <w:szCs w:val="24"/>
          <w:lang w:val="en-AU"/>
        </w:rPr>
        <w:t xml:space="preserve"> role</w:t>
      </w:r>
      <w:r>
        <w:rPr>
          <w:color w:val="39474E"/>
          <w:szCs w:val="24"/>
          <w:lang w:val="en-AU"/>
        </w:rPr>
        <w:t xml:space="preserve"> of the </w:t>
      </w:r>
      <w:r w:rsidRPr="000D0F3D">
        <w:t>International Civil Aviation Organization</w:t>
      </w:r>
      <w:r>
        <w:t xml:space="preserve"> (ICAO)</w:t>
      </w:r>
      <w:r w:rsidRPr="007742B3">
        <w:rPr>
          <w:color w:val="39474E"/>
          <w:szCs w:val="24"/>
          <w:lang w:val="en-AU"/>
        </w:rPr>
        <w:t xml:space="preserve"> in ensuring</w:t>
      </w:r>
      <w:r>
        <w:rPr>
          <w:color w:val="39474E"/>
          <w:szCs w:val="24"/>
          <w:lang w:val="en-AU"/>
        </w:rPr>
        <w:t xml:space="preserve"> that</w:t>
      </w:r>
      <w:r w:rsidRPr="007742B3">
        <w:rPr>
          <w:color w:val="39474E"/>
          <w:szCs w:val="24"/>
          <w:lang w:val="en-AU"/>
        </w:rPr>
        <w:t xml:space="preserve"> its </w:t>
      </w:r>
      <w:r>
        <w:rPr>
          <w:color w:val="39474E"/>
          <w:szCs w:val="24"/>
          <w:lang w:val="en-AU"/>
        </w:rPr>
        <w:t>M</w:t>
      </w:r>
      <w:r w:rsidRPr="007742B3">
        <w:rPr>
          <w:color w:val="39474E"/>
          <w:szCs w:val="24"/>
          <w:lang w:val="en-AU"/>
        </w:rPr>
        <w:t xml:space="preserve">ember </w:t>
      </w:r>
      <w:r>
        <w:rPr>
          <w:color w:val="39474E"/>
          <w:szCs w:val="24"/>
          <w:lang w:val="en-AU"/>
        </w:rPr>
        <w:t>S</w:t>
      </w:r>
      <w:r w:rsidRPr="007742B3">
        <w:rPr>
          <w:color w:val="39474E"/>
          <w:szCs w:val="24"/>
          <w:lang w:val="en-AU"/>
        </w:rPr>
        <w:t xml:space="preserve">tates are effectively carrying out their safety oversight responsibilities. </w:t>
      </w:r>
    </w:p>
    <w:p w14:paraId="5F9AF30E" w14:textId="77777777" w:rsidR="00860F8E" w:rsidRPr="007742B3" w:rsidRDefault="00860F8E" w:rsidP="00860F8E">
      <w:pPr>
        <w:rPr>
          <w:color w:val="39474E"/>
          <w:szCs w:val="24"/>
          <w:lang w:val="en-AU"/>
        </w:rPr>
      </w:pPr>
      <w:r w:rsidRPr="007742B3">
        <w:rPr>
          <w:color w:val="39474E"/>
          <w:szCs w:val="24"/>
          <w:lang w:val="en-AU"/>
        </w:rPr>
        <w:t>Results from the audits allow ICAO to assess the safety oversight capabilities of Member States, ensure the implementation of safety</w:t>
      </w:r>
      <w:r>
        <w:rPr>
          <w:color w:val="39474E"/>
          <w:szCs w:val="24"/>
          <w:lang w:val="en-AU"/>
        </w:rPr>
        <w:t>-</w:t>
      </w:r>
      <w:r w:rsidRPr="007742B3">
        <w:rPr>
          <w:color w:val="39474E"/>
          <w:szCs w:val="24"/>
          <w:lang w:val="en-AU"/>
        </w:rPr>
        <w:t xml:space="preserve">related </w:t>
      </w:r>
      <w:r>
        <w:rPr>
          <w:color w:val="39474E"/>
          <w:szCs w:val="24"/>
          <w:lang w:val="en-AU"/>
        </w:rPr>
        <w:t>s</w:t>
      </w:r>
      <w:r w:rsidRPr="007742B3">
        <w:rPr>
          <w:color w:val="39474E"/>
          <w:szCs w:val="24"/>
          <w:lang w:val="en-AU"/>
        </w:rPr>
        <w:t xml:space="preserve">tandards and </w:t>
      </w:r>
      <w:r>
        <w:rPr>
          <w:color w:val="39474E"/>
          <w:szCs w:val="24"/>
          <w:lang w:val="en-AU"/>
        </w:rPr>
        <w:t>r</w:t>
      </w:r>
      <w:r w:rsidRPr="007742B3">
        <w:rPr>
          <w:color w:val="39474E"/>
          <w:szCs w:val="24"/>
          <w:lang w:val="en-AU"/>
        </w:rPr>
        <w:t xml:space="preserve">ecommended </w:t>
      </w:r>
      <w:r>
        <w:rPr>
          <w:color w:val="39474E"/>
          <w:szCs w:val="24"/>
          <w:lang w:val="en-AU"/>
        </w:rPr>
        <w:t>p</w:t>
      </w:r>
      <w:r w:rsidRPr="007742B3">
        <w:rPr>
          <w:color w:val="39474E"/>
          <w:szCs w:val="24"/>
          <w:lang w:val="en-AU"/>
        </w:rPr>
        <w:t>ractices</w:t>
      </w:r>
      <w:r>
        <w:rPr>
          <w:color w:val="39474E"/>
          <w:szCs w:val="24"/>
          <w:lang w:val="en-AU"/>
        </w:rPr>
        <w:t>,</w:t>
      </w:r>
      <w:r w:rsidRPr="007742B3">
        <w:rPr>
          <w:color w:val="39474E"/>
          <w:szCs w:val="24"/>
          <w:lang w:val="en-AU"/>
        </w:rPr>
        <w:t xml:space="preserve"> and contribute to an ongoing analysis of aviation safety. </w:t>
      </w:r>
    </w:p>
    <w:p w14:paraId="566B52F3" w14:textId="77777777" w:rsidR="00860F8E" w:rsidRPr="007742B3" w:rsidRDefault="00860F8E" w:rsidP="00860F8E">
      <w:pPr>
        <w:rPr>
          <w:color w:val="39474E"/>
          <w:szCs w:val="24"/>
          <w:lang w:val="en-AU" w:eastAsia="en-AU"/>
        </w:rPr>
      </w:pPr>
      <w:r w:rsidRPr="007742B3">
        <w:rPr>
          <w:color w:val="39474E"/>
          <w:szCs w:val="24"/>
          <w:lang w:val="en-AU" w:eastAsia="en-AU"/>
        </w:rPr>
        <w:t xml:space="preserve">The audits also determine the status of </w:t>
      </w:r>
      <w:r>
        <w:rPr>
          <w:color w:val="39474E"/>
          <w:szCs w:val="24"/>
          <w:lang w:val="en-AU" w:eastAsia="en-AU"/>
        </w:rPr>
        <w:t xml:space="preserve">Member </w:t>
      </w:r>
      <w:r w:rsidRPr="007742B3">
        <w:rPr>
          <w:color w:val="39474E"/>
          <w:szCs w:val="24"/>
          <w:lang w:val="en-AU" w:eastAsia="en-AU"/>
        </w:rPr>
        <w:t xml:space="preserve">States’ implementation of all safety-relevant ICAO </w:t>
      </w:r>
      <w:r>
        <w:rPr>
          <w:color w:val="39474E"/>
          <w:szCs w:val="24"/>
          <w:lang w:val="en-AU" w:eastAsia="en-AU"/>
        </w:rPr>
        <w:t>s</w:t>
      </w:r>
      <w:r w:rsidRPr="007742B3">
        <w:rPr>
          <w:color w:val="39474E"/>
          <w:szCs w:val="24"/>
          <w:lang w:val="en-AU" w:eastAsia="en-AU"/>
        </w:rPr>
        <w:t xml:space="preserve">tandards and </w:t>
      </w:r>
      <w:r>
        <w:rPr>
          <w:color w:val="39474E"/>
          <w:szCs w:val="24"/>
          <w:lang w:val="en-AU" w:eastAsia="en-AU"/>
        </w:rPr>
        <w:t>r</w:t>
      </w:r>
      <w:r w:rsidRPr="007742B3">
        <w:rPr>
          <w:color w:val="39474E"/>
          <w:szCs w:val="24"/>
          <w:lang w:val="en-AU" w:eastAsia="en-AU"/>
        </w:rPr>
        <w:t xml:space="preserve">ecommended </w:t>
      </w:r>
      <w:r>
        <w:rPr>
          <w:color w:val="39474E"/>
          <w:szCs w:val="24"/>
          <w:lang w:val="en-AU" w:eastAsia="en-AU"/>
        </w:rPr>
        <w:t>p</w:t>
      </w:r>
      <w:r w:rsidRPr="007742B3">
        <w:rPr>
          <w:color w:val="39474E"/>
          <w:szCs w:val="24"/>
          <w:lang w:val="en-AU" w:eastAsia="en-AU"/>
        </w:rPr>
        <w:t xml:space="preserve">ractices (found in 17 of the 19 ICAO </w:t>
      </w:r>
      <w:r>
        <w:rPr>
          <w:color w:val="39474E"/>
          <w:szCs w:val="24"/>
          <w:lang w:val="en-AU" w:eastAsia="en-AU"/>
        </w:rPr>
        <w:t>a</w:t>
      </w:r>
      <w:r w:rsidRPr="007742B3">
        <w:rPr>
          <w:color w:val="39474E"/>
          <w:szCs w:val="24"/>
          <w:lang w:val="en-AU" w:eastAsia="en-AU"/>
        </w:rPr>
        <w:t xml:space="preserve">nnexes), </w:t>
      </w:r>
      <w:r>
        <w:rPr>
          <w:color w:val="39474E"/>
          <w:szCs w:val="24"/>
          <w:lang w:val="en-AU" w:eastAsia="en-AU"/>
        </w:rPr>
        <w:t xml:space="preserve">and </w:t>
      </w:r>
      <w:r w:rsidRPr="007742B3">
        <w:rPr>
          <w:color w:val="39474E"/>
          <w:szCs w:val="24"/>
          <w:lang w:val="en-AU" w:eastAsia="en-AU"/>
        </w:rPr>
        <w:t>associated procedures, guidance material and best safety practices.</w:t>
      </w:r>
    </w:p>
    <w:p w14:paraId="6E5A1F92" w14:textId="77777777" w:rsidR="00860F8E" w:rsidRPr="007742B3" w:rsidRDefault="00860F8E" w:rsidP="00860F8E">
      <w:pPr>
        <w:shd w:val="clear" w:color="auto" w:fill="FFFFFF"/>
        <w:textAlignment w:val="top"/>
        <w:rPr>
          <w:color w:val="39474E"/>
          <w:szCs w:val="24"/>
          <w:lang w:val="en-AU"/>
        </w:rPr>
      </w:pPr>
      <w:r w:rsidRPr="007742B3">
        <w:rPr>
          <w:color w:val="39474E"/>
          <w:szCs w:val="24"/>
          <w:lang w:val="en-AU"/>
        </w:rPr>
        <w:lastRenderedPageBreak/>
        <w:t xml:space="preserve">Coordinated validation missions are undertaken for ICAO to check what action has been taken or progress </w:t>
      </w:r>
      <w:r>
        <w:rPr>
          <w:color w:val="39474E"/>
          <w:szCs w:val="24"/>
          <w:lang w:val="en-AU"/>
        </w:rPr>
        <w:t xml:space="preserve">has been </w:t>
      </w:r>
      <w:r w:rsidRPr="007742B3">
        <w:rPr>
          <w:color w:val="39474E"/>
          <w:szCs w:val="24"/>
          <w:lang w:val="en-AU"/>
        </w:rPr>
        <w:t>made to address safety deficiencies identified in previous audits.</w:t>
      </w:r>
    </w:p>
    <w:p w14:paraId="127A2871" w14:textId="77777777" w:rsidR="00860F8E" w:rsidRPr="007742B3" w:rsidRDefault="00860F8E" w:rsidP="00860F8E">
      <w:pPr>
        <w:shd w:val="clear" w:color="auto" w:fill="FFFFFF"/>
        <w:textAlignment w:val="top"/>
        <w:rPr>
          <w:color w:val="212121"/>
          <w:spacing w:val="3"/>
          <w:szCs w:val="24"/>
          <w:lang w:val="en-AU" w:eastAsia="en-AU"/>
        </w:rPr>
      </w:pPr>
      <w:r>
        <w:rPr>
          <w:color w:val="212121"/>
          <w:szCs w:val="24"/>
          <w:lang w:val="en-AU" w:eastAsia="en-AU"/>
        </w:rPr>
        <w:t>From</w:t>
      </w:r>
      <w:r w:rsidRPr="007742B3">
        <w:rPr>
          <w:color w:val="212121"/>
          <w:szCs w:val="24"/>
          <w:lang w:val="en-AU" w:eastAsia="en-AU"/>
        </w:rPr>
        <w:t xml:space="preserve"> 9 to 13 October 2017, ICAO conducted </w:t>
      </w:r>
      <w:r>
        <w:rPr>
          <w:color w:val="212121"/>
          <w:szCs w:val="24"/>
          <w:lang w:val="en-AU" w:eastAsia="en-AU"/>
        </w:rPr>
        <w:t>its</w:t>
      </w:r>
      <w:r w:rsidRPr="007742B3">
        <w:rPr>
          <w:color w:val="212121"/>
          <w:szCs w:val="24"/>
          <w:lang w:val="en-AU" w:eastAsia="en-AU"/>
        </w:rPr>
        <w:t xml:space="preserve"> coordinated validation mission </w:t>
      </w:r>
      <w:r>
        <w:rPr>
          <w:color w:val="212121"/>
          <w:szCs w:val="24"/>
          <w:lang w:val="en-AU" w:eastAsia="en-AU"/>
        </w:rPr>
        <w:t>i</w:t>
      </w:r>
      <w:r w:rsidRPr="007742B3">
        <w:rPr>
          <w:color w:val="212121"/>
          <w:szCs w:val="24"/>
          <w:lang w:val="en-AU" w:eastAsia="en-AU"/>
        </w:rPr>
        <w:t xml:space="preserve">n Australia to </w:t>
      </w:r>
      <w:r w:rsidRPr="007742B3">
        <w:rPr>
          <w:color w:val="212121"/>
          <w:spacing w:val="3"/>
          <w:szCs w:val="24"/>
          <w:lang w:val="en-AU" w:eastAsia="en-AU"/>
        </w:rPr>
        <w:t>evaluate the progress made by Australia in resolving findings and recommendations made by ICAO on the safety oversight audit conducted on Australia in February 2008.</w:t>
      </w:r>
    </w:p>
    <w:p w14:paraId="736E2906" w14:textId="77777777" w:rsidR="00860F8E" w:rsidRPr="007742B3" w:rsidRDefault="00860F8E" w:rsidP="00860F8E">
      <w:pPr>
        <w:shd w:val="clear" w:color="auto" w:fill="FFFFFF"/>
        <w:textAlignment w:val="top"/>
        <w:rPr>
          <w:color w:val="212121"/>
          <w:spacing w:val="3"/>
          <w:szCs w:val="24"/>
          <w:lang w:val="en-AU" w:eastAsia="en-AU"/>
        </w:rPr>
      </w:pPr>
      <w:r w:rsidRPr="007742B3">
        <w:rPr>
          <w:color w:val="212121"/>
          <w:spacing w:val="3"/>
          <w:szCs w:val="24"/>
          <w:lang w:val="en-AU" w:eastAsia="en-AU"/>
        </w:rPr>
        <w:t xml:space="preserve">The mission evaluated 125 outstanding technical audit questions (termed </w:t>
      </w:r>
      <w:r>
        <w:rPr>
          <w:color w:val="212121"/>
          <w:spacing w:val="3"/>
          <w:szCs w:val="24"/>
          <w:lang w:val="en-AU" w:eastAsia="en-AU"/>
        </w:rPr>
        <w:t>‘</w:t>
      </w:r>
      <w:r w:rsidRPr="007742B3">
        <w:rPr>
          <w:color w:val="212121"/>
          <w:spacing w:val="3"/>
          <w:szCs w:val="24"/>
          <w:lang w:val="en-AU" w:eastAsia="en-AU"/>
        </w:rPr>
        <w:t>protocol questions</w:t>
      </w:r>
      <w:r>
        <w:rPr>
          <w:color w:val="212121"/>
          <w:spacing w:val="3"/>
          <w:szCs w:val="24"/>
          <w:lang w:val="en-AU" w:eastAsia="en-AU"/>
        </w:rPr>
        <w:t>’</w:t>
      </w:r>
      <w:r w:rsidRPr="007742B3">
        <w:rPr>
          <w:color w:val="212121"/>
          <w:spacing w:val="3"/>
          <w:szCs w:val="24"/>
          <w:lang w:val="en-AU" w:eastAsia="en-AU"/>
        </w:rPr>
        <w:t>)</w:t>
      </w:r>
      <w:r>
        <w:rPr>
          <w:color w:val="212121"/>
          <w:spacing w:val="3"/>
          <w:szCs w:val="24"/>
          <w:lang w:val="en-AU" w:eastAsia="en-AU"/>
        </w:rPr>
        <w:t>. T</w:t>
      </w:r>
      <w:r w:rsidRPr="007742B3">
        <w:rPr>
          <w:color w:val="212121"/>
          <w:spacing w:val="3"/>
          <w:szCs w:val="24"/>
          <w:lang w:val="en-AU" w:eastAsia="en-AU"/>
        </w:rPr>
        <w:t>he status of 83 questions w</w:t>
      </w:r>
      <w:r>
        <w:rPr>
          <w:color w:val="212121"/>
          <w:spacing w:val="3"/>
          <w:szCs w:val="24"/>
          <w:lang w:val="en-AU" w:eastAsia="en-AU"/>
        </w:rPr>
        <w:t>as rated</w:t>
      </w:r>
      <w:r w:rsidRPr="007742B3">
        <w:rPr>
          <w:color w:val="212121"/>
          <w:spacing w:val="3"/>
          <w:szCs w:val="24"/>
          <w:lang w:val="en-AU" w:eastAsia="en-AU"/>
        </w:rPr>
        <w:t xml:space="preserve"> satisfactory. </w:t>
      </w:r>
    </w:p>
    <w:p w14:paraId="6428D14D" w14:textId="77777777" w:rsidR="00860F8E" w:rsidRPr="007742B3" w:rsidRDefault="00860F8E" w:rsidP="00860F8E">
      <w:pPr>
        <w:shd w:val="clear" w:color="auto" w:fill="FFFFFF"/>
        <w:textAlignment w:val="top"/>
        <w:rPr>
          <w:color w:val="212121"/>
          <w:spacing w:val="3"/>
          <w:szCs w:val="24"/>
          <w:lang w:val="en-AU" w:eastAsia="en-AU"/>
        </w:rPr>
      </w:pPr>
      <w:r w:rsidRPr="007742B3">
        <w:rPr>
          <w:color w:val="212121"/>
          <w:spacing w:val="3"/>
          <w:szCs w:val="24"/>
          <w:lang w:val="en-AU" w:eastAsia="en-AU"/>
        </w:rPr>
        <w:t>Following the mission, CASA received a final validated effective implementation rate of 94.98 per cent, putting Australia in the top 10 world rankings of ICAO Member States.</w:t>
      </w:r>
    </w:p>
    <w:p w14:paraId="0CF25636" w14:textId="77777777" w:rsidR="00860F8E" w:rsidRPr="007742B3" w:rsidRDefault="00860F8E" w:rsidP="00860F8E">
      <w:pPr>
        <w:shd w:val="clear" w:color="auto" w:fill="FFFFFF"/>
        <w:textAlignment w:val="top"/>
        <w:rPr>
          <w:color w:val="212121"/>
          <w:spacing w:val="3"/>
          <w:szCs w:val="24"/>
          <w:lang w:val="en-AU" w:eastAsia="en-AU"/>
        </w:rPr>
      </w:pPr>
      <w:r w:rsidRPr="007742B3">
        <w:rPr>
          <w:color w:val="212121"/>
          <w:spacing w:val="3"/>
          <w:szCs w:val="24"/>
          <w:lang w:val="en-AU" w:eastAsia="en-AU"/>
        </w:rPr>
        <w:t>The result confirms the exceptional outcomes from the audit</w:t>
      </w:r>
      <w:r>
        <w:rPr>
          <w:color w:val="212121"/>
          <w:spacing w:val="3"/>
          <w:szCs w:val="24"/>
          <w:lang w:val="en-AU" w:eastAsia="en-AU"/>
        </w:rPr>
        <w:t>.</w:t>
      </w:r>
      <w:r w:rsidRPr="007742B3">
        <w:rPr>
          <w:color w:val="212121"/>
          <w:spacing w:val="3"/>
          <w:szCs w:val="24"/>
          <w:lang w:val="en-AU" w:eastAsia="en-AU"/>
        </w:rPr>
        <w:t xml:space="preserve"> Australia’s effective implementation rate increas</w:t>
      </w:r>
      <w:r>
        <w:rPr>
          <w:color w:val="212121"/>
          <w:spacing w:val="3"/>
          <w:szCs w:val="24"/>
          <w:lang w:val="en-AU" w:eastAsia="en-AU"/>
        </w:rPr>
        <w:t>ed</w:t>
      </w:r>
      <w:r w:rsidRPr="007742B3">
        <w:rPr>
          <w:color w:val="212121"/>
          <w:spacing w:val="3"/>
          <w:szCs w:val="24"/>
          <w:lang w:val="en-AU" w:eastAsia="en-AU"/>
        </w:rPr>
        <w:t xml:space="preserve"> by almost 10 per cent</w:t>
      </w:r>
      <w:r>
        <w:rPr>
          <w:color w:val="212121"/>
          <w:spacing w:val="3"/>
          <w:szCs w:val="24"/>
          <w:lang w:val="en-AU" w:eastAsia="en-AU"/>
        </w:rPr>
        <w:t>,</w:t>
      </w:r>
      <w:r w:rsidRPr="007742B3">
        <w:rPr>
          <w:color w:val="212121"/>
          <w:spacing w:val="3"/>
          <w:szCs w:val="24"/>
          <w:lang w:val="en-AU" w:eastAsia="en-AU"/>
        </w:rPr>
        <w:t xml:space="preserve"> and its world standing mov</w:t>
      </w:r>
      <w:r>
        <w:rPr>
          <w:color w:val="212121"/>
          <w:spacing w:val="3"/>
          <w:szCs w:val="24"/>
          <w:lang w:val="en-AU" w:eastAsia="en-AU"/>
        </w:rPr>
        <w:t>ed</w:t>
      </w:r>
      <w:r w:rsidRPr="007742B3">
        <w:rPr>
          <w:color w:val="212121"/>
          <w:spacing w:val="3"/>
          <w:szCs w:val="24"/>
          <w:lang w:val="en-AU" w:eastAsia="en-AU"/>
        </w:rPr>
        <w:t xml:space="preserve"> from </w:t>
      </w:r>
      <w:r w:rsidRPr="00610D33">
        <w:rPr>
          <w:lang w:val="en-AU"/>
        </w:rPr>
        <w:t xml:space="preserve">44th to </w:t>
      </w:r>
      <w:r>
        <w:rPr>
          <w:lang w:val="en-AU"/>
        </w:rPr>
        <w:t>six</w:t>
      </w:r>
      <w:r w:rsidRPr="00610D33">
        <w:rPr>
          <w:lang w:val="en-AU"/>
        </w:rPr>
        <w:t>th</w:t>
      </w:r>
      <w:r>
        <w:rPr>
          <w:lang w:val="en-AU"/>
        </w:rPr>
        <w:t>,</w:t>
      </w:r>
      <w:r w:rsidRPr="00610D33">
        <w:rPr>
          <w:lang w:val="en-AU"/>
        </w:rPr>
        <w:t xml:space="preserve"> </w:t>
      </w:r>
      <w:r w:rsidRPr="007742B3">
        <w:rPr>
          <w:color w:val="212121"/>
          <w:spacing w:val="3"/>
          <w:szCs w:val="24"/>
          <w:lang w:val="en-AU" w:eastAsia="en-AU"/>
        </w:rPr>
        <w:t xml:space="preserve">putting Australia ahead of countries </w:t>
      </w:r>
      <w:r>
        <w:rPr>
          <w:color w:val="212121"/>
          <w:spacing w:val="3"/>
          <w:szCs w:val="24"/>
          <w:lang w:val="en-AU" w:eastAsia="en-AU"/>
        </w:rPr>
        <w:t>such as</w:t>
      </w:r>
      <w:r w:rsidRPr="007742B3">
        <w:rPr>
          <w:color w:val="212121"/>
          <w:spacing w:val="3"/>
          <w:szCs w:val="24"/>
          <w:lang w:val="en-AU" w:eastAsia="en-AU"/>
        </w:rPr>
        <w:t xml:space="preserve"> the United States, the United Kingdom and New Zealand.</w:t>
      </w:r>
    </w:p>
    <w:p w14:paraId="47E203EC" w14:textId="77777777" w:rsidR="00860F8E" w:rsidRPr="007742B3" w:rsidRDefault="00860F8E" w:rsidP="00860F8E">
      <w:pPr>
        <w:shd w:val="clear" w:color="auto" w:fill="FFFFFF"/>
        <w:textAlignment w:val="top"/>
        <w:rPr>
          <w:color w:val="212121"/>
          <w:spacing w:val="3"/>
          <w:szCs w:val="24"/>
          <w:lang w:val="en-AU" w:eastAsia="en-AU"/>
        </w:rPr>
      </w:pPr>
      <w:r w:rsidRPr="007742B3">
        <w:rPr>
          <w:color w:val="212121"/>
          <w:spacing w:val="3"/>
          <w:szCs w:val="24"/>
          <w:lang w:val="en-AU" w:eastAsia="en-AU"/>
        </w:rPr>
        <w:t>Shane Carmody, Chief Executive Officer and Director of Aviation Safety</w:t>
      </w:r>
      <w:r>
        <w:rPr>
          <w:color w:val="212121"/>
          <w:spacing w:val="3"/>
          <w:szCs w:val="24"/>
          <w:lang w:val="en-AU" w:eastAsia="en-AU"/>
        </w:rPr>
        <w:t>,</w:t>
      </w:r>
      <w:r w:rsidRPr="007742B3">
        <w:rPr>
          <w:color w:val="212121"/>
          <w:spacing w:val="3"/>
          <w:szCs w:val="24"/>
          <w:lang w:val="en-AU" w:eastAsia="en-AU"/>
        </w:rPr>
        <w:t xml:space="preserve"> made the audit an organisational priority and ensured</w:t>
      </w:r>
      <w:r>
        <w:rPr>
          <w:color w:val="212121"/>
          <w:spacing w:val="3"/>
          <w:szCs w:val="24"/>
          <w:lang w:val="en-AU" w:eastAsia="en-AU"/>
        </w:rPr>
        <w:t xml:space="preserve"> that</w:t>
      </w:r>
      <w:r w:rsidRPr="007742B3">
        <w:rPr>
          <w:color w:val="212121"/>
          <w:spacing w:val="3"/>
          <w:szCs w:val="24"/>
          <w:lang w:val="en-AU" w:eastAsia="en-AU"/>
        </w:rPr>
        <w:t xml:space="preserve"> a whole</w:t>
      </w:r>
      <w:r>
        <w:rPr>
          <w:color w:val="212121"/>
          <w:spacing w:val="3"/>
          <w:szCs w:val="24"/>
          <w:lang w:val="en-AU" w:eastAsia="en-AU"/>
        </w:rPr>
        <w:t>-</w:t>
      </w:r>
      <w:r w:rsidRPr="007742B3">
        <w:rPr>
          <w:color w:val="212121"/>
          <w:spacing w:val="3"/>
          <w:szCs w:val="24"/>
          <w:lang w:val="en-AU" w:eastAsia="en-AU"/>
        </w:rPr>
        <w:t>of</w:t>
      </w:r>
      <w:r>
        <w:rPr>
          <w:color w:val="212121"/>
          <w:spacing w:val="3"/>
          <w:szCs w:val="24"/>
          <w:lang w:val="en-AU" w:eastAsia="en-AU"/>
        </w:rPr>
        <w:t>-</w:t>
      </w:r>
      <w:r w:rsidRPr="007742B3">
        <w:rPr>
          <w:color w:val="212121"/>
          <w:spacing w:val="3"/>
          <w:szCs w:val="24"/>
          <w:lang w:val="en-AU" w:eastAsia="en-AU"/>
        </w:rPr>
        <w:t>organisation approach was in place and supported by appropriate resourcing, technical expertise and staff training.</w:t>
      </w:r>
    </w:p>
    <w:p w14:paraId="44BD5850" w14:textId="77777777" w:rsidR="00860F8E" w:rsidRPr="007742B3" w:rsidRDefault="00860F8E" w:rsidP="00860F8E">
      <w:pPr>
        <w:shd w:val="clear" w:color="auto" w:fill="FFFFFF"/>
        <w:textAlignment w:val="top"/>
        <w:rPr>
          <w:color w:val="212121"/>
          <w:spacing w:val="3"/>
          <w:szCs w:val="24"/>
          <w:lang w:val="en-AU" w:eastAsia="en-AU"/>
        </w:rPr>
      </w:pPr>
      <w:r w:rsidRPr="007742B3">
        <w:rPr>
          <w:color w:val="212121"/>
          <w:spacing w:val="3"/>
          <w:szCs w:val="24"/>
          <w:lang w:val="en-AU" w:eastAsia="en-AU"/>
        </w:rPr>
        <w:t>CASA’s work with ICAO is ongoing</w:t>
      </w:r>
      <w:r>
        <w:rPr>
          <w:color w:val="212121"/>
          <w:spacing w:val="3"/>
          <w:szCs w:val="24"/>
          <w:lang w:val="en-AU" w:eastAsia="en-AU"/>
        </w:rPr>
        <w:t>. This work</w:t>
      </w:r>
      <w:r w:rsidRPr="007742B3">
        <w:rPr>
          <w:color w:val="212121"/>
          <w:spacing w:val="3"/>
          <w:szCs w:val="24"/>
          <w:lang w:val="en-AU" w:eastAsia="en-AU"/>
        </w:rPr>
        <w:t xml:space="preserve"> requires continu</w:t>
      </w:r>
      <w:r>
        <w:rPr>
          <w:color w:val="212121"/>
          <w:spacing w:val="3"/>
          <w:szCs w:val="24"/>
          <w:lang w:val="en-AU" w:eastAsia="en-AU"/>
        </w:rPr>
        <w:t>ous</w:t>
      </w:r>
      <w:r w:rsidRPr="007742B3">
        <w:rPr>
          <w:color w:val="212121"/>
          <w:spacing w:val="3"/>
          <w:szCs w:val="24"/>
          <w:lang w:val="en-AU" w:eastAsia="en-AU"/>
        </w:rPr>
        <w:t xml:space="preserve"> focus to maintain Australia’s standing among </w:t>
      </w:r>
      <w:r>
        <w:rPr>
          <w:color w:val="212121"/>
          <w:spacing w:val="3"/>
          <w:szCs w:val="24"/>
          <w:lang w:val="en-AU" w:eastAsia="en-AU"/>
        </w:rPr>
        <w:t>the M</w:t>
      </w:r>
      <w:r w:rsidRPr="007742B3">
        <w:rPr>
          <w:color w:val="212121"/>
          <w:spacing w:val="3"/>
          <w:szCs w:val="24"/>
          <w:lang w:val="en-AU" w:eastAsia="en-AU"/>
        </w:rPr>
        <w:t xml:space="preserve">ember </w:t>
      </w:r>
      <w:r>
        <w:rPr>
          <w:color w:val="212121"/>
          <w:spacing w:val="3"/>
          <w:szCs w:val="24"/>
          <w:lang w:val="en-AU" w:eastAsia="en-AU"/>
        </w:rPr>
        <w:t>S</w:t>
      </w:r>
      <w:r w:rsidRPr="007742B3">
        <w:rPr>
          <w:color w:val="212121"/>
          <w:spacing w:val="3"/>
          <w:szCs w:val="24"/>
          <w:lang w:val="en-AU" w:eastAsia="en-AU"/>
        </w:rPr>
        <w:t xml:space="preserve">tates. </w:t>
      </w:r>
    </w:p>
    <w:p w14:paraId="2EF1DE43" w14:textId="77777777" w:rsidR="00860F8E" w:rsidRPr="007742B3" w:rsidRDefault="00860F8E" w:rsidP="00860F8E">
      <w:pPr>
        <w:rPr>
          <w:lang w:val="en-AU"/>
        </w:rPr>
      </w:pPr>
      <w:r w:rsidRPr="007742B3">
        <w:rPr>
          <w:color w:val="212121"/>
          <w:spacing w:val="3"/>
          <w:szCs w:val="24"/>
          <w:lang w:val="en-AU" w:eastAsia="en-AU"/>
        </w:rPr>
        <w:t xml:space="preserve">There are approximately 1,000 protocol questions </w:t>
      </w:r>
      <w:r>
        <w:rPr>
          <w:color w:val="212121"/>
          <w:spacing w:val="3"/>
          <w:szCs w:val="24"/>
          <w:lang w:val="en-AU" w:eastAsia="en-AU"/>
        </w:rPr>
        <w:t>in</w:t>
      </w:r>
      <w:r w:rsidRPr="007742B3">
        <w:rPr>
          <w:color w:val="212121"/>
          <w:spacing w:val="3"/>
          <w:szCs w:val="24"/>
          <w:lang w:val="en-AU" w:eastAsia="en-AU"/>
        </w:rPr>
        <w:t xml:space="preserve"> the eight audit areas of ICAO</w:t>
      </w:r>
      <w:r>
        <w:rPr>
          <w:color w:val="212121"/>
          <w:spacing w:val="3"/>
          <w:szCs w:val="24"/>
          <w:lang w:val="en-AU" w:eastAsia="en-AU"/>
        </w:rPr>
        <w:t>’</w:t>
      </w:r>
      <w:r w:rsidRPr="007742B3">
        <w:rPr>
          <w:color w:val="212121"/>
          <w:spacing w:val="3"/>
          <w:szCs w:val="24"/>
          <w:lang w:val="en-AU" w:eastAsia="en-AU"/>
        </w:rPr>
        <w:t>s safety oversight system</w:t>
      </w:r>
      <w:r>
        <w:rPr>
          <w:color w:val="212121"/>
          <w:spacing w:val="3"/>
          <w:szCs w:val="24"/>
          <w:lang w:val="en-AU" w:eastAsia="en-AU"/>
        </w:rPr>
        <w:t>. They</w:t>
      </w:r>
      <w:r w:rsidRPr="007742B3">
        <w:rPr>
          <w:color w:val="212121"/>
          <w:spacing w:val="3"/>
          <w:szCs w:val="24"/>
          <w:lang w:val="en-AU" w:eastAsia="en-AU"/>
        </w:rPr>
        <w:t xml:space="preserve"> cover all areas of the organisation and require assessment and responses to ICAO on an ongoing basis.</w:t>
      </w:r>
    </w:p>
    <w:p w14:paraId="2B0BF7AE" w14:textId="77777777" w:rsidR="00860F8E" w:rsidRPr="00053FD1" w:rsidRDefault="00860F8E" w:rsidP="00860F8E">
      <w:pPr>
        <w:pStyle w:val="Heading1"/>
        <w:rPr>
          <w:lang w:val="en-GB"/>
        </w:rPr>
      </w:pPr>
      <w:bookmarkStart w:id="82" w:name="_Toc522537158"/>
      <w:bookmarkStart w:id="83" w:name="_Toc523924884"/>
      <w:r w:rsidRPr="00053FD1">
        <w:rPr>
          <w:lang w:val="en-GB"/>
        </w:rPr>
        <w:t>Work health and safety</w:t>
      </w:r>
      <w:bookmarkEnd w:id="82"/>
      <w:bookmarkEnd w:id="83"/>
    </w:p>
    <w:p w14:paraId="0529A0F0" w14:textId="77777777" w:rsidR="00860F8E" w:rsidRPr="00053FD1" w:rsidRDefault="00860F8E" w:rsidP="00860F8E">
      <w:r w:rsidRPr="00053FD1">
        <w:t xml:space="preserve">Implementation of </w:t>
      </w:r>
      <w:r>
        <w:t>CASA’s</w:t>
      </w:r>
      <w:r w:rsidRPr="00053FD1">
        <w:t xml:space="preserve"> 2017–19 WHS Strategy generated a renewed focus on the identification of operational hazards and risks</w:t>
      </w:r>
      <w:r>
        <w:t xml:space="preserve"> and</w:t>
      </w:r>
      <w:r w:rsidRPr="00053FD1">
        <w:t xml:space="preserve"> result</w:t>
      </w:r>
      <w:r>
        <w:t>ed</w:t>
      </w:r>
      <w:r w:rsidRPr="00053FD1">
        <w:t xml:space="preserve"> in significant progress in establishing a proactive safety culture and safety management system that encompasses the physical and </w:t>
      </w:r>
      <w:r>
        <w:t xml:space="preserve">the </w:t>
      </w:r>
      <w:r w:rsidRPr="00053FD1">
        <w:t xml:space="preserve">psychosocial aspects of work. </w:t>
      </w:r>
    </w:p>
    <w:p w14:paraId="290FB8AF" w14:textId="77777777" w:rsidR="00425676" w:rsidRPr="00053FD1" w:rsidRDefault="00425676" w:rsidP="00425676">
      <w:pPr>
        <w:pStyle w:val="Heading2noTOC"/>
        <w:rPr>
          <w:lang w:val="en-GB"/>
        </w:rPr>
      </w:pPr>
      <w:r w:rsidRPr="00053FD1">
        <w:rPr>
          <w:lang w:val="en-GB"/>
        </w:rPr>
        <w:t>National Health and Safety Committee</w:t>
      </w:r>
    </w:p>
    <w:p w14:paraId="5B2CCC77" w14:textId="77777777" w:rsidR="00425676" w:rsidRPr="00053FD1" w:rsidRDefault="00425676" w:rsidP="00425676">
      <w:r w:rsidRPr="00053FD1">
        <w:t xml:space="preserve">CASA’s National Health and Safety Committee, chaired by the Branch Manager, People and Culture, comprises equal representation of management and employees. </w:t>
      </w:r>
    </w:p>
    <w:p w14:paraId="60ACE897" w14:textId="77777777" w:rsidR="00425676" w:rsidRPr="00053FD1" w:rsidRDefault="00425676" w:rsidP="00425676">
      <w:r w:rsidRPr="00053FD1">
        <w:t>The committee provides a forum for consultation on organisation-wide health and safety matters and operates within a structured framework for feedback and communication on matters referred to the committee by work groups.</w:t>
      </w:r>
    </w:p>
    <w:p w14:paraId="6463D041" w14:textId="77777777" w:rsidR="00425676" w:rsidRPr="00053FD1" w:rsidRDefault="00425676" w:rsidP="00425676">
      <w:r w:rsidRPr="00053FD1">
        <w:t>The committee met in November 2017 and February, April and June 2018.</w:t>
      </w:r>
    </w:p>
    <w:p w14:paraId="643940ED" w14:textId="77777777" w:rsidR="00425676" w:rsidRPr="00053FD1" w:rsidRDefault="00425676" w:rsidP="00425676">
      <w:pPr>
        <w:pStyle w:val="Heading2noTOC"/>
        <w:rPr>
          <w:lang w:val="en-GB"/>
        </w:rPr>
      </w:pPr>
      <w:r w:rsidRPr="00053FD1">
        <w:rPr>
          <w:lang w:val="en-GB"/>
        </w:rPr>
        <w:t>WHS Strategy 2017–2019</w:t>
      </w:r>
    </w:p>
    <w:p w14:paraId="037CB2D8" w14:textId="77777777" w:rsidR="00425676" w:rsidRPr="00053FD1" w:rsidRDefault="00425676" w:rsidP="00425676">
      <w:r w:rsidRPr="00053FD1">
        <w:t xml:space="preserve">The WHS Strategy forms the foundation for the ongoing development, review and implementation of key WHS objectives. </w:t>
      </w:r>
      <w:r>
        <w:t>The strategy aims to</w:t>
      </w:r>
      <w:r w:rsidRPr="00053FD1">
        <w:t>:</w:t>
      </w:r>
    </w:p>
    <w:p w14:paraId="61E5CDC7" w14:textId="77777777" w:rsidR="00425676" w:rsidRPr="00053FD1" w:rsidRDefault="00425676" w:rsidP="00425676">
      <w:pPr>
        <w:pStyle w:val="Bullet"/>
      </w:pPr>
      <w:r w:rsidRPr="00053FD1">
        <w:lastRenderedPageBreak/>
        <w:t xml:space="preserve">foster a positive and compliant WHS culture </w:t>
      </w:r>
    </w:p>
    <w:p w14:paraId="481425CE" w14:textId="77777777" w:rsidR="00425676" w:rsidRPr="00053FD1" w:rsidRDefault="00425676" w:rsidP="00425676">
      <w:pPr>
        <w:pStyle w:val="Bullet"/>
      </w:pPr>
      <w:r w:rsidRPr="00053FD1">
        <w:t>encourag</w:t>
      </w:r>
      <w:r>
        <w:t>e</w:t>
      </w:r>
      <w:r w:rsidRPr="00053FD1">
        <w:t xml:space="preserve"> proactive prevention and active early intervention </w:t>
      </w:r>
    </w:p>
    <w:p w14:paraId="47FB39DC" w14:textId="77777777" w:rsidR="00425676" w:rsidRPr="00053FD1" w:rsidRDefault="00425676" w:rsidP="00425676">
      <w:pPr>
        <w:pStyle w:val="Bullet"/>
      </w:pPr>
      <w:r w:rsidRPr="00053FD1">
        <w:t>actively promot</w:t>
      </w:r>
      <w:r>
        <w:t>e</w:t>
      </w:r>
      <w:r w:rsidRPr="00053FD1">
        <w:t xml:space="preserve"> a healthy, productive and supportive work environment.</w:t>
      </w:r>
    </w:p>
    <w:p w14:paraId="0BE78797" w14:textId="77777777" w:rsidR="00860F8E" w:rsidRPr="00053FD1" w:rsidRDefault="00860F8E" w:rsidP="00860F8E">
      <w:pPr>
        <w:rPr>
          <w:szCs w:val="24"/>
        </w:rPr>
      </w:pPr>
      <w:r w:rsidRPr="00053FD1">
        <w:t>As the implementation of the WHS Strategy progressed, five additional initiatives were identified and completed in 2017–18 to enhance and develop the work already undertaken. Th</w:t>
      </w:r>
      <w:r>
        <w:t>ey involved</w:t>
      </w:r>
      <w:r w:rsidRPr="00053FD1">
        <w:t xml:space="preserve"> the development of a national hazard profile and revised WHS risk register, a first aid needs assessment, a national WHS training program, work environment descriptions for CASA roles</w:t>
      </w:r>
      <w:r>
        <w:t>,</w:t>
      </w:r>
      <w:r w:rsidRPr="00053FD1">
        <w:t xml:space="preserve"> and </w:t>
      </w:r>
      <w:r>
        <w:t xml:space="preserve">the </w:t>
      </w:r>
      <w:r w:rsidRPr="00053FD1">
        <w:t>promotion of topical health and safety information in response to identified hazards.</w:t>
      </w:r>
    </w:p>
    <w:p w14:paraId="4C495717" w14:textId="77777777" w:rsidR="00860F8E" w:rsidRPr="00053FD1" w:rsidRDefault="00860F8E" w:rsidP="00860F8E">
      <w:pPr>
        <w:pStyle w:val="Heading3"/>
        <w:rPr>
          <w:lang w:val="en-GB"/>
        </w:rPr>
      </w:pPr>
      <w:r w:rsidRPr="00053FD1">
        <w:rPr>
          <w:lang w:val="en-GB"/>
        </w:rPr>
        <w:t>National hazard profile and WHS risk register</w:t>
      </w:r>
    </w:p>
    <w:p w14:paraId="349EDFC7" w14:textId="77777777" w:rsidR="00860F8E" w:rsidRDefault="00860F8E" w:rsidP="00860F8E">
      <w:bookmarkStart w:id="84" w:name="_Hlk519246507"/>
      <w:r w:rsidRPr="00053FD1">
        <w:t>The development of the national hazard profile and review of the WHS risk register w</w:t>
      </w:r>
      <w:r w:rsidR="00EA214A">
        <w:t>ere</w:t>
      </w:r>
      <w:r w:rsidRPr="00053FD1">
        <w:t xml:space="preserve"> undertaken as a collaboration between Corporate Services Division and Aviation Group. </w:t>
      </w:r>
      <w:r>
        <w:t>To develop the</w:t>
      </w:r>
      <w:r w:rsidRPr="00053FD1">
        <w:t xml:space="preserve"> national hazard </w:t>
      </w:r>
      <w:r>
        <w:t xml:space="preserve">profile, a </w:t>
      </w:r>
      <w:r w:rsidRPr="00053FD1">
        <w:t xml:space="preserve">survey was completed by 180 staff and 60 operational staff were interviewed or participated in a series of hazard and risk workshops. The national hazard profile and WHS risk register identified </w:t>
      </w:r>
      <w:r>
        <w:t>more than</w:t>
      </w:r>
      <w:r w:rsidRPr="00053FD1">
        <w:t xml:space="preserve"> 40 risks across 21 hazard categories. This resulted in the identification and documentation of 84 additional control measures. </w:t>
      </w:r>
    </w:p>
    <w:p w14:paraId="4DFBA7A3" w14:textId="77777777" w:rsidR="00860F8E" w:rsidRPr="00053FD1" w:rsidRDefault="00860F8E" w:rsidP="00860F8E">
      <w:r>
        <w:t>I</w:t>
      </w:r>
      <w:r w:rsidRPr="00053FD1">
        <w:t>mplementation of the control measures</w:t>
      </w:r>
      <w:r>
        <w:t xml:space="preserve"> has</w:t>
      </w:r>
      <w:r w:rsidRPr="00053FD1">
        <w:t xml:space="preserve"> commenced, and progress is </w:t>
      </w:r>
      <w:r>
        <w:t xml:space="preserve">being </w:t>
      </w:r>
      <w:r w:rsidRPr="00053FD1">
        <w:t xml:space="preserve">monitored and reported </w:t>
      </w:r>
      <w:r>
        <w:t xml:space="preserve">through </w:t>
      </w:r>
      <w:r w:rsidRPr="00053FD1">
        <w:t>the National Health and Safety Committee and the Aviation Safety Committee. The ongoing collaboration between CASA’s corporate and operational business areas has built a strong foundation for the continued improvement of the health and safety management system</w:t>
      </w:r>
      <w:r>
        <w:t>,</w:t>
      </w:r>
      <w:r w:rsidRPr="00053FD1">
        <w:t xml:space="preserve"> to the benefit of CASA employees.</w:t>
      </w:r>
      <w:bookmarkEnd w:id="84"/>
    </w:p>
    <w:p w14:paraId="4A5B09F5" w14:textId="77777777" w:rsidR="00860F8E" w:rsidRPr="00053FD1" w:rsidRDefault="00860F8E" w:rsidP="00860F8E">
      <w:pPr>
        <w:pStyle w:val="Heading3"/>
        <w:rPr>
          <w:lang w:val="en-GB"/>
        </w:rPr>
      </w:pPr>
      <w:r w:rsidRPr="00053FD1">
        <w:rPr>
          <w:lang w:val="en-GB"/>
        </w:rPr>
        <w:t>First aid needs assessment</w:t>
      </w:r>
    </w:p>
    <w:p w14:paraId="2199CB81" w14:textId="77777777" w:rsidR="00860F8E" w:rsidRPr="00053FD1" w:rsidRDefault="00860F8E" w:rsidP="00860F8E">
      <w:r w:rsidRPr="00053FD1">
        <w:t>The first aid needs assessment identified that operational staff working in remote and rural locations or working away from the office need access to first aid equipment and training. Sixty-six first aid kits were provided for operational staff and first aid training was made available for all staff working outside the office environment. The training program will continue into 2018–19.</w:t>
      </w:r>
    </w:p>
    <w:p w14:paraId="2420E2FD" w14:textId="77777777" w:rsidR="00860F8E" w:rsidRPr="00053FD1" w:rsidRDefault="00860F8E" w:rsidP="00860F8E">
      <w:pPr>
        <w:pStyle w:val="Heading3"/>
        <w:rPr>
          <w:lang w:val="en-GB"/>
        </w:rPr>
      </w:pPr>
      <w:r w:rsidRPr="00053FD1">
        <w:rPr>
          <w:lang w:val="en-GB"/>
        </w:rPr>
        <w:t>WHS training and promotion of activities</w:t>
      </w:r>
    </w:p>
    <w:p w14:paraId="1CB0D68F" w14:textId="77777777" w:rsidR="00860F8E" w:rsidRPr="00053FD1" w:rsidRDefault="00860F8E" w:rsidP="00860F8E">
      <w:r w:rsidRPr="00053FD1">
        <w:t>A training needs analysis was conducted in 2017–18</w:t>
      </w:r>
      <w:r>
        <w:t>,</w:t>
      </w:r>
      <w:r w:rsidRPr="00053FD1">
        <w:t xml:space="preserve"> involving approximately 200 staff. As a result, the following initiatives were delivered:</w:t>
      </w:r>
    </w:p>
    <w:p w14:paraId="4723ECD6" w14:textId="77777777" w:rsidR="00860F8E" w:rsidRPr="00053FD1" w:rsidRDefault="00860F8E" w:rsidP="00860F8E">
      <w:pPr>
        <w:pStyle w:val="Bullet"/>
      </w:pPr>
      <w:r w:rsidRPr="00053FD1">
        <w:t>implementation of due diligence training for senior leaders and the Board</w:t>
      </w:r>
    </w:p>
    <w:p w14:paraId="4841B31F" w14:textId="77777777" w:rsidR="00860F8E" w:rsidRPr="00053FD1" w:rsidRDefault="00860F8E" w:rsidP="00860F8E">
      <w:pPr>
        <w:pStyle w:val="Bullet"/>
      </w:pPr>
      <w:r w:rsidRPr="00053FD1">
        <w:t xml:space="preserve">launch of </w:t>
      </w:r>
      <w:r>
        <w:t>beyondblue</w:t>
      </w:r>
      <w:r w:rsidRPr="00053FD1">
        <w:t xml:space="preserve"> e-learning training for managers and supervisors </w:t>
      </w:r>
    </w:p>
    <w:p w14:paraId="1B817CE3" w14:textId="77777777" w:rsidR="00860F8E" w:rsidRPr="00053FD1" w:rsidRDefault="00860F8E" w:rsidP="00860F8E">
      <w:pPr>
        <w:pStyle w:val="Bullet"/>
      </w:pPr>
      <w:r w:rsidRPr="00053FD1">
        <w:t xml:space="preserve">release of </w:t>
      </w:r>
      <w:r>
        <w:t>a</w:t>
      </w:r>
      <w:r w:rsidRPr="00053FD1">
        <w:t xml:space="preserve"> revised WHS e-learning module for new starters</w:t>
      </w:r>
    </w:p>
    <w:p w14:paraId="51A0D506" w14:textId="77777777" w:rsidR="00860F8E" w:rsidRPr="00053FD1" w:rsidRDefault="00860F8E" w:rsidP="00860F8E">
      <w:pPr>
        <w:pStyle w:val="BulletLast"/>
      </w:pPr>
      <w:r w:rsidRPr="00053FD1">
        <w:t>addition of 40 new safety videos to CASA’s e-learning suite.</w:t>
      </w:r>
    </w:p>
    <w:p w14:paraId="221928BD" w14:textId="77777777" w:rsidR="00860F8E" w:rsidRPr="00053FD1" w:rsidRDefault="00860F8E" w:rsidP="00860F8E">
      <w:pPr>
        <w:pStyle w:val="BulletIntro"/>
      </w:pPr>
      <w:r w:rsidRPr="00053FD1">
        <w:t>During 2017–18</w:t>
      </w:r>
      <w:r>
        <w:rPr>
          <w:lang w:val="en-AU"/>
        </w:rPr>
        <w:t>,</w:t>
      </w:r>
      <w:r w:rsidRPr="00053FD1">
        <w:t xml:space="preserve"> the following WHS topics were actively promoted and included </w:t>
      </w:r>
      <w:r>
        <w:rPr>
          <w:lang w:val="en-AU"/>
        </w:rPr>
        <w:t xml:space="preserve">in </w:t>
      </w:r>
      <w:r w:rsidRPr="00053FD1">
        <w:t xml:space="preserve">news articles, posters, screen savers and training and awareness sessions: </w:t>
      </w:r>
    </w:p>
    <w:p w14:paraId="3A3CA12B" w14:textId="77777777" w:rsidR="00860F8E" w:rsidRPr="00053FD1" w:rsidRDefault="00860F8E" w:rsidP="00860F8E">
      <w:pPr>
        <w:pStyle w:val="Bullet"/>
      </w:pPr>
      <w:r w:rsidRPr="00053FD1">
        <w:t>working outdoors in the heat</w:t>
      </w:r>
    </w:p>
    <w:p w14:paraId="42FFC58A" w14:textId="77777777" w:rsidR="00860F8E" w:rsidRPr="00053FD1" w:rsidRDefault="00860F8E" w:rsidP="00860F8E">
      <w:pPr>
        <w:pStyle w:val="Bullet"/>
      </w:pPr>
      <w:r w:rsidRPr="00053FD1">
        <w:t>mental health in the workplace</w:t>
      </w:r>
    </w:p>
    <w:p w14:paraId="694A0D95" w14:textId="77777777" w:rsidR="00860F8E" w:rsidRPr="00053FD1" w:rsidRDefault="00860F8E" w:rsidP="00860F8E">
      <w:pPr>
        <w:pStyle w:val="Bullet"/>
      </w:pPr>
      <w:r w:rsidRPr="00053FD1">
        <w:t>prevention of influenza</w:t>
      </w:r>
    </w:p>
    <w:p w14:paraId="58F7EDC9" w14:textId="77777777" w:rsidR="00860F8E" w:rsidRPr="00053FD1" w:rsidRDefault="00860F8E" w:rsidP="00860F8E">
      <w:pPr>
        <w:pStyle w:val="Bullet"/>
      </w:pPr>
      <w:r w:rsidRPr="00053FD1">
        <w:lastRenderedPageBreak/>
        <w:t>what to do in a medical emergency</w:t>
      </w:r>
    </w:p>
    <w:p w14:paraId="3A6A1DFF" w14:textId="77777777" w:rsidR="00860F8E" w:rsidRPr="00053FD1" w:rsidRDefault="00860F8E" w:rsidP="00860F8E">
      <w:pPr>
        <w:pStyle w:val="BulletLast"/>
      </w:pPr>
      <w:r w:rsidRPr="00053FD1">
        <w:t>first aid for burns.</w:t>
      </w:r>
    </w:p>
    <w:p w14:paraId="140DA1A5" w14:textId="77777777" w:rsidR="00860F8E" w:rsidRPr="00053FD1" w:rsidRDefault="00860F8E" w:rsidP="00860F8E">
      <w:pPr>
        <w:pStyle w:val="Heading3"/>
        <w:rPr>
          <w:lang w:val="en-GB"/>
        </w:rPr>
      </w:pPr>
      <w:r w:rsidRPr="00053FD1">
        <w:rPr>
          <w:lang w:val="en-GB"/>
        </w:rPr>
        <w:t>Work environment descriptions</w:t>
      </w:r>
    </w:p>
    <w:p w14:paraId="69FF00E5" w14:textId="77777777" w:rsidR="00860F8E" w:rsidRPr="00053FD1" w:rsidRDefault="00860F8E" w:rsidP="00860F8E">
      <w:r w:rsidRPr="00053FD1">
        <w:t>Work environment descriptions detail the conditions experienced by employees in specific roles</w:t>
      </w:r>
      <w:r>
        <w:t>,</w:t>
      </w:r>
      <w:r w:rsidRPr="00053FD1">
        <w:t xml:space="preserve"> including </w:t>
      </w:r>
      <w:r>
        <w:t>potential</w:t>
      </w:r>
      <w:r w:rsidRPr="00053FD1">
        <w:t xml:space="preserve"> hazards. </w:t>
      </w:r>
      <w:r>
        <w:t>Descriptions</w:t>
      </w:r>
      <w:r w:rsidRPr="00053FD1">
        <w:t xml:space="preserve"> </w:t>
      </w:r>
      <w:r>
        <w:t>have been</w:t>
      </w:r>
      <w:r w:rsidRPr="00053FD1">
        <w:t xml:space="preserve"> developed for 28 CASA roles and are provided to potential candidates through the recruitment pack.</w:t>
      </w:r>
    </w:p>
    <w:p w14:paraId="76D235BE" w14:textId="77777777" w:rsidR="00860F8E" w:rsidRPr="00053FD1" w:rsidRDefault="00860F8E" w:rsidP="00860F8E">
      <w:pPr>
        <w:pStyle w:val="Heading2noTOC"/>
        <w:rPr>
          <w:lang w:val="en-GB"/>
        </w:rPr>
      </w:pPr>
      <w:bookmarkStart w:id="85" w:name="_Toc267485911"/>
      <w:r w:rsidRPr="00053FD1">
        <w:rPr>
          <w:lang w:val="en-GB"/>
        </w:rPr>
        <w:t>Outcomes</w:t>
      </w:r>
      <w:bookmarkEnd w:id="85"/>
    </w:p>
    <w:p w14:paraId="7964B115" w14:textId="77777777" w:rsidR="00EB6E11" w:rsidRPr="00053FD1" w:rsidRDefault="00EB6E11" w:rsidP="00EB6E11">
      <w:bookmarkStart w:id="86" w:name="_Toc267485912"/>
      <w:r w:rsidRPr="00053FD1">
        <w:t xml:space="preserve">The WHS Strategy outlines 40 actions represented by 84 success indicators. </w:t>
      </w:r>
      <w:r>
        <w:t>On</w:t>
      </w:r>
      <w:r w:rsidRPr="00053FD1">
        <w:t xml:space="preserve"> 30 June 2018, 56 of the 84 success indicators (6</w:t>
      </w:r>
      <w:r>
        <w:t>7</w:t>
      </w:r>
      <w:r w:rsidRPr="00053FD1">
        <w:t xml:space="preserve"> per cent) had been achieved or were in progress.</w:t>
      </w:r>
    </w:p>
    <w:p w14:paraId="26EA6499" w14:textId="77777777" w:rsidR="00EB6E11" w:rsidRDefault="00EB6E11" w:rsidP="00EB6E11">
      <w:r w:rsidRPr="00053FD1">
        <w:t xml:space="preserve">While it is too early </w:t>
      </w:r>
      <w:r>
        <w:t xml:space="preserve">to measure </w:t>
      </w:r>
      <w:r w:rsidRPr="00053FD1">
        <w:t>the impact of the WHS Strategy and the four new initiatives on injury rates of workers</w:t>
      </w:r>
      <w:r>
        <w:t>, the initiatives have improved</w:t>
      </w:r>
      <w:r w:rsidRPr="00053FD1">
        <w:t xml:space="preserve"> the health and safety knowledge and participation of CASA employees, </w:t>
      </w:r>
      <w:r>
        <w:t>as</w:t>
      </w:r>
      <w:r w:rsidRPr="00053FD1">
        <w:t xml:space="preserve"> noted in </w:t>
      </w:r>
      <w:r w:rsidRPr="00817D2A">
        <w:t>Table 1</w:t>
      </w:r>
      <w:r w:rsidR="00BF2702" w:rsidRPr="00817D2A">
        <w:t>3</w:t>
      </w:r>
      <w:r w:rsidRPr="00053FD1">
        <w:t xml:space="preserve">. </w:t>
      </w:r>
    </w:p>
    <w:p w14:paraId="0921FFB4" w14:textId="77777777" w:rsidR="00EB6E11" w:rsidRPr="00053FD1" w:rsidRDefault="00EB6E11" w:rsidP="00EB6E11">
      <w:pPr>
        <w:pStyle w:val="TableName"/>
      </w:pPr>
      <w:r w:rsidRPr="00053FD1">
        <w:t xml:space="preserve">Table </w:t>
      </w:r>
      <w:r>
        <w:t>1</w:t>
      </w:r>
      <w:r w:rsidR="00BF2702">
        <w:t>3</w:t>
      </w:r>
      <w:r w:rsidRPr="00053FD1">
        <w:tab/>
        <w:t xml:space="preserve">Outcomes </w:t>
      </w:r>
      <w:r>
        <w:t>of</w:t>
      </w:r>
      <w:r w:rsidRPr="00053FD1">
        <w:t xml:space="preserve"> new initiatives under </w:t>
      </w:r>
      <w:r w:rsidR="00B56F3A">
        <w:t xml:space="preserve">the </w:t>
      </w:r>
      <w:r w:rsidRPr="00053FD1">
        <w:t>WHS Strategy, 2017–18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5643"/>
      </w:tblGrid>
      <w:tr w:rsidR="00EB6E11" w:rsidRPr="008E2A9C" w14:paraId="0EFC39C4" w14:textId="77777777" w:rsidTr="00060752">
        <w:trPr>
          <w:tblHeader/>
        </w:trPr>
        <w:tc>
          <w:tcPr>
            <w:tcW w:w="3391" w:type="dxa"/>
            <w:hideMark/>
          </w:tcPr>
          <w:p w14:paraId="785B3FC1" w14:textId="77777777" w:rsidR="00EB6E11" w:rsidRPr="008E2A9C" w:rsidRDefault="00EB6E11" w:rsidP="008E2A9C">
            <w:pPr>
              <w:pStyle w:val="TableText"/>
              <w:rPr>
                <w:b/>
              </w:rPr>
            </w:pPr>
            <w:r w:rsidRPr="008E2A9C">
              <w:rPr>
                <w:b/>
              </w:rPr>
              <w:t xml:space="preserve">Initiative </w:t>
            </w:r>
          </w:p>
        </w:tc>
        <w:tc>
          <w:tcPr>
            <w:tcW w:w="5675" w:type="dxa"/>
            <w:hideMark/>
          </w:tcPr>
          <w:p w14:paraId="5FA9C520" w14:textId="77777777" w:rsidR="00EB6E11" w:rsidRPr="008E2A9C" w:rsidRDefault="00EB6E11" w:rsidP="008E2A9C">
            <w:pPr>
              <w:pStyle w:val="TableText"/>
              <w:rPr>
                <w:b/>
              </w:rPr>
            </w:pPr>
            <w:r w:rsidRPr="008E2A9C">
              <w:rPr>
                <w:b/>
              </w:rPr>
              <w:t>Outcome</w:t>
            </w:r>
          </w:p>
        </w:tc>
      </w:tr>
      <w:tr w:rsidR="00EB6E11" w:rsidRPr="008E2A9C" w14:paraId="2C2E8AF5" w14:textId="77777777" w:rsidTr="00060752">
        <w:tc>
          <w:tcPr>
            <w:tcW w:w="3391" w:type="dxa"/>
            <w:hideMark/>
          </w:tcPr>
          <w:p w14:paraId="7D40BF35" w14:textId="77777777" w:rsidR="00EB6E11" w:rsidRPr="008E2A9C" w:rsidRDefault="00EB6E11" w:rsidP="008E2A9C">
            <w:pPr>
              <w:pStyle w:val="TableText"/>
            </w:pPr>
            <w:r w:rsidRPr="008E2A9C">
              <w:t>National hazard profile and revised WHS risk register</w:t>
            </w:r>
          </w:p>
        </w:tc>
        <w:tc>
          <w:tcPr>
            <w:tcW w:w="5675" w:type="dxa"/>
            <w:hideMark/>
          </w:tcPr>
          <w:p w14:paraId="37F45E7F" w14:textId="77777777" w:rsidR="00EB6E11" w:rsidRPr="008E2A9C" w:rsidRDefault="00EB6E11" w:rsidP="008E2A9C">
            <w:pPr>
              <w:pStyle w:val="TableText"/>
            </w:pPr>
            <w:r w:rsidRPr="008E2A9C">
              <w:t>CASA has improved the visibility of the hazards and risks for operational employees and is able to focus its resources appropriately.</w:t>
            </w:r>
          </w:p>
          <w:p w14:paraId="34DA0CEC" w14:textId="77777777" w:rsidR="00EB6E11" w:rsidRPr="008E2A9C" w:rsidRDefault="00EB6E11" w:rsidP="008E2A9C">
            <w:pPr>
              <w:pStyle w:val="TableText"/>
            </w:pPr>
            <w:r w:rsidRPr="008E2A9C">
              <w:t>Operational employees have an increased awareness of hazards and risks, having participated in the hazard survey and risk workshops.</w:t>
            </w:r>
          </w:p>
        </w:tc>
      </w:tr>
      <w:tr w:rsidR="00EB6E11" w:rsidRPr="008E2A9C" w14:paraId="795A2F46" w14:textId="77777777" w:rsidTr="00060752">
        <w:tc>
          <w:tcPr>
            <w:tcW w:w="3391" w:type="dxa"/>
          </w:tcPr>
          <w:p w14:paraId="1095AEF3" w14:textId="77777777" w:rsidR="00EB6E11" w:rsidRPr="008E2A9C" w:rsidRDefault="00EB6E11" w:rsidP="008E2A9C">
            <w:pPr>
              <w:pStyle w:val="TableText"/>
            </w:pPr>
            <w:r w:rsidRPr="008E2A9C">
              <w:t>First aid needs assessment</w:t>
            </w:r>
          </w:p>
        </w:tc>
        <w:tc>
          <w:tcPr>
            <w:tcW w:w="5675" w:type="dxa"/>
          </w:tcPr>
          <w:p w14:paraId="596560DD" w14:textId="77777777" w:rsidR="00EB6E11" w:rsidRPr="008E2A9C" w:rsidRDefault="00EB6E11" w:rsidP="008E2A9C">
            <w:pPr>
              <w:pStyle w:val="TableText"/>
            </w:pPr>
            <w:r w:rsidRPr="008E2A9C">
              <w:t>Provision of first aid equipment and training to operational staff reduces the likelihood and impact of any workplace injuries in the field and improves compliance with the code of practice.</w:t>
            </w:r>
          </w:p>
          <w:p w14:paraId="2141EE28" w14:textId="77777777" w:rsidR="00EB6E11" w:rsidRPr="008E2A9C" w:rsidRDefault="00EB6E11" w:rsidP="008E2A9C">
            <w:pPr>
              <w:pStyle w:val="TableText"/>
            </w:pPr>
            <w:r w:rsidRPr="008E2A9C">
              <w:t>Withdrawal of oxygen cylinders from the workplace eliminated identified hazards and the risks associated with the administration of oxygen to patients.</w:t>
            </w:r>
          </w:p>
        </w:tc>
      </w:tr>
      <w:tr w:rsidR="00EB6E11" w:rsidRPr="008E2A9C" w14:paraId="1B7FCB04" w14:textId="77777777" w:rsidTr="00060752">
        <w:tc>
          <w:tcPr>
            <w:tcW w:w="3391" w:type="dxa"/>
          </w:tcPr>
          <w:p w14:paraId="13D479DB" w14:textId="77777777" w:rsidR="00EB6E11" w:rsidRPr="008E2A9C" w:rsidRDefault="00EB6E11" w:rsidP="008E2A9C">
            <w:pPr>
              <w:pStyle w:val="TableText"/>
            </w:pPr>
            <w:r w:rsidRPr="008E2A9C">
              <w:t>Work health and safety training and promotion of activities</w:t>
            </w:r>
          </w:p>
        </w:tc>
        <w:tc>
          <w:tcPr>
            <w:tcW w:w="5675" w:type="dxa"/>
          </w:tcPr>
          <w:p w14:paraId="59538FEA" w14:textId="77777777" w:rsidR="00EB6E11" w:rsidRPr="008E2A9C" w:rsidRDefault="00EB6E11" w:rsidP="008E2A9C">
            <w:pPr>
              <w:pStyle w:val="TableText"/>
            </w:pPr>
            <w:r w:rsidRPr="008E2A9C">
              <w:t>Work health and safety training has been tailored to the needs of specific roles and functions within CASA, resulting in employees better understanding their safety responsibilities.</w:t>
            </w:r>
          </w:p>
          <w:p w14:paraId="75C4D72D" w14:textId="77777777" w:rsidR="00EB6E11" w:rsidRPr="008E2A9C" w:rsidRDefault="00EB6E11" w:rsidP="008E2A9C">
            <w:pPr>
              <w:pStyle w:val="TableText"/>
            </w:pPr>
            <w:r w:rsidRPr="008E2A9C">
              <w:t>Employees are better informed in relation to emerging risks and are provided with information to assist them in reducing risks.</w:t>
            </w:r>
          </w:p>
        </w:tc>
      </w:tr>
      <w:tr w:rsidR="00EB6E11" w:rsidRPr="008E2A9C" w14:paraId="1B4B45E9" w14:textId="77777777" w:rsidTr="00060752">
        <w:tc>
          <w:tcPr>
            <w:tcW w:w="3391" w:type="dxa"/>
          </w:tcPr>
          <w:p w14:paraId="109C2110" w14:textId="77777777" w:rsidR="00EB6E11" w:rsidRPr="008E2A9C" w:rsidRDefault="00EB6E11" w:rsidP="008E2A9C">
            <w:pPr>
              <w:pStyle w:val="TableText"/>
            </w:pPr>
            <w:r w:rsidRPr="008E2A9C">
              <w:t>Work environment descriptions</w:t>
            </w:r>
          </w:p>
        </w:tc>
        <w:tc>
          <w:tcPr>
            <w:tcW w:w="5675" w:type="dxa"/>
          </w:tcPr>
          <w:p w14:paraId="50AD16AA" w14:textId="77777777" w:rsidR="00EB6E11" w:rsidRPr="008E2A9C" w:rsidRDefault="00EB6E11" w:rsidP="008E2A9C">
            <w:pPr>
              <w:pStyle w:val="TableText"/>
            </w:pPr>
            <w:r w:rsidRPr="008E2A9C">
              <w:t>Potential candidates understand the environment in which the advertised position operates and can make an informed decision about their suitability to apply.</w:t>
            </w:r>
          </w:p>
        </w:tc>
      </w:tr>
    </w:tbl>
    <w:p w14:paraId="0A740C10" w14:textId="77777777" w:rsidR="00EB6E11" w:rsidRDefault="00EB6E11" w:rsidP="00EB6E11">
      <w:pPr>
        <w:pStyle w:val="Heading3"/>
      </w:pPr>
      <w:r>
        <w:t>Activities</w:t>
      </w:r>
    </w:p>
    <w:p w14:paraId="20FF7BF6" w14:textId="77777777" w:rsidR="00860F8E" w:rsidRPr="00053FD1" w:rsidRDefault="00860F8E" w:rsidP="00860F8E">
      <w:pPr>
        <w:pStyle w:val="BulletIntro"/>
        <w:rPr>
          <w:lang w:val="en-GB"/>
        </w:rPr>
      </w:pPr>
      <w:r w:rsidRPr="00053FD1">
        <w:rPr>
          <w:lang w:val="en-GB"/>
        </w:rPr>
        <w:t xml:space="preserve">The following activities </w:t>
      </w:r>
      <w:r w:rsidR="00EB6E11">
        <w:rPr>
          <w:lang w:val="en-GB"/>
        </w:rPr>
        <w:t>contributed to</w:t>
      </w:r>
      <w:r w:rsidR="00EB6E11" w:rsidRPr="00053FD1">
        <w:rPr>
          <w:lang w:val="en-GB"/>
        </w:rPr>
        <w:t xml:space="preserve"> </w:t>
      </w:r>
      <w:r w:rsidRPr="00053FD1">
        <w:rPr>
          <w:lang w:val="en-GB"/>
        </w:rPr>
        <w:t>CASA’s WHS performance in 2017–18:</w:t>
      </w:r>
    </w:p>
    <w:p w14:paraId="04433E0C" w14:textId="77777777" w:rsidR="00860F8E" w:rsidRPr="00053FD1" w:rsidRDefault="00860F8E" w:rsidP="00860F8E">
      <w:pPr>
        <w:pStyle w:val="Bullet"/>
      </w:pPr>
      <w:r>
        <w:t>57 new staff members completed the updated online training on WHS in CASA, which was implemented on 13 March 2018</w:t>
      </w:r>
    </w:p>
    <w:p w14:paraId="22B0163F" w14:textId="77777777" w:rsidR="00860F8E" w:rsidRPr="00053FD1" w:rsidRDefault="00860F8E" w:rsidP="00860F8E">
      <w:pPr>
        <w:pStyle w:val="Bullet"/>
      </w:pPr>
      <w:bookmarkStart w:id="87" w:name="_Hlk518385533"/>
      <w:r w:rsidRPr="00053FD1">
        <w:t xml:space="preserve">167 individual online inductions were provided to trade contractors across all states </w:t>
      </w:r>
    </w:p>
    <w:bookmarkEnd w:id="87"/>
    <w:p w14:paraId="58523817" w14:textId="77777777" w:rsidR="00860F8E" w:rsidRPr="00053FD1" w:rsidRDefault="00860F8E" w:rsidP="00860F8E">
      <w:pPr>
        <w:pStyle w:val="Bullet"/>
      </w:pPr>
      <w:r w:rsidRPr="00053FD1">
        <w:t>483</w:t>
      </w:r>
      <w:r>
        <w:t xml:space="preserve"> employees</w:t>
      </w:r>
      <w:r w:rsidRPr="00053FD1">
        <w:t xml:space="preserve"> (</w:t>
      </w:r>
      <w:r>
        <w:t>58</w:t>
      </w:r>
      <w:r w:rsidRPr="00053FD1">
        <w:t xml:space="preserve"> per cent</w:t>
      </w:r>
      <w:r>
        <w:t xml:space="preserve"> of total staff</w:t>
      </w:r>
      <w:r w:rsidRPr="00053FD1">
        <w:t xml:space="preserve">) participated in the seasonal influenza vaccination program </w:t>
      </w:r>
    </w:p>
    <w:p w14:paraId="653EB5F3" w14:textId="77777777" w:rsidR="00860F8E" w:rsidRPr="00053FD1" w:rsidRDefault="00860F8E" w:rsidP="00860F8E">
      <w:pPr>
        <w:pStyle w:val="Bullet"/>
      </w:pPr>
      <w:r w:rsidRPr="00053FD1">
        <w:lastRenderedPageBreak/>
        <w:t xml:space="preserve">84 </w:t>
      </w:r>
      <w:r>
        <w:t xml:space="preserve">employees </w:t>
      </w:r>
      <w:r w:rsidRPr="00053FD1">
        <w:t>(10 per cent</w:t>
      </w:r>
      <w:r>
        <w:t xml:space="preserve"> of total staff</w:t>
      </w:r>
      <w:r w:rsidRPr="00053FD1">
        <w:t xml:space="preserve">) had an individual workstation assessment, and five employees participated in home-based assessments </w:t>
      </w:r>
    </w:p>
    <w:p w14:paraId="31D72530" w14:textId="77777777" w:rsidR="00860F8E" w:rsidRPr="00053FD1" w:rsidRDefault="00860F8E" w:rsidP="00860F8E">
      <w:pPr>
        <w:pStyle w:val="Bullet"/>
      </w:pPr>
      <w:r w:rsidRPr="00053FD1">
        <w:t xml:space="preserve">22 employees were provided with early intervention and case management support to stay at work or return to work safely while addressing significant personal or health issues </w:t>
      </w:r>
    </w:p>
    <w:p w14:paraId="25BA6A39" w14:textId="77777777" w:rsidR="00860F8E" w:rsidRPr="00053FD1" w:rsidRDefault="00860F8E" w:rsidP="00860F8E">
      <w:pPr>
        <w:pStyle w:val="Bullet"/>
      </w:pPr>
      <w:r w:rsidRPr="00053FD1">
        <w:t xml:space="preserve">34 incidents and 24 hazards were notified by employees </w:t>
      </w:r>
    </w:p>
    <w:p w14:paraId="7B89C0A1" w14:textId="77777777" w:rsidR="00860F8E" w:rsidRPr="00053FD1" w:rsidRDefault="00860F8E" w:rsidP="00860F8E">
      <w:pPr>
        <w:pStyle w:val="Bullet"/>
      </w:pPr>
      <w:r w:rsidRPr="00053FD1">
        <w:t xml:space="preserve">55 employees and four family members accessed the employee assistance program </w:t>
      </w:r>
    </w:p>
    <w:p w14:paraId="6EAFDBF8" w14:textId="77777777" w:rsidR="00860F8E" w:rsidRPr="00D22D1E" w:rsidRDefault="00860F8E" w:rsidP="00860F8E">
      <w:pPr>
        <w:pStyle w:val="Bullet"/>
        <w:rPr>
          <w:rFonts w:eastAsia="Calibri"/>
        </w:rPr>
      </w:pPr>
      <w:r w:rsidRPr="00053FD1">
        <w:t>nine audiometric tests were completed.</w:t>
      </w:r>
    </w:p>
    <w:p w14:paraId="6B96A01E" w14:textId="77777777" w:rsidR="00816200" w:rsidRDefault="00816200" w:rsidP="00816200">
      <w:pPr>
        <w:pStyle w:val="Heading3"/>
      </w:pPr>
      <w:r>
        <w:t>Corrective actions</w:t>
      </w:r>
    </w:p>
    <w:p w14:paraId="0C8995D0" w14:textId="77777777" w:rsidR="003A1F4A" w:rsidRPr="00053FD1" w:rsidRDefault="003A1F4A" w:rsidP="003A1F4A">
      <w:r w:rsidRPr="00053FD1">
        <w:t xml:space="preserve">Thirty-four of the 39 corrective actions identified in the 2016 Comcare audit were completed. Documentation of procedures is underway or </w:t>
      </w:r>
      <w:r>
        <w:t>has been</w:t>
      </w:r>
      <w:r w:rsidRPr="00053FD1">
        <w:t xml:space="preserve"> implemented to complete the five remaining actions.</w:t>
      </w:r>
    </w:p>
    <w:p w14:paraId="15450A3B" w14:textId="77777777" w:rsidR="00860F8E" w:rsidRPr="00053FD1" w:rsidRDefault="00860F8E" w:rsidP="00860F8E">
      <w:pPr>
        <w:pStyle w:val="Heading3"/>
        <w:rPr>
          <w:lang w:val="en-GB"/>
        </w:rPr>
      </w:pPr>
      <w:r w:rsidRPr="00053FD1">
        <w:rPr>
          <w:lang w:val="en-GB"/>
        </w:rPr>
        <w:t>Claims for workers compensation</w:t>
      </w:r>
    </w:p>
    <w:p w14:paraId="14A63FB8" w14:textId="77777777" w:rsidR="00860F8E" w:rsidRPr="00053FD1" w:rsidRDefault="00860F8E" w:rsidP="00860F8E">
      <w:r w:rsidRPr="00053FD1">
        <w:t xml:space="preserve">Nine claims for workers compensation were lodged in 2017–18. This was an increase of two from the seven claims lodged in 2016–17. </w:t>
      </w:r>
    </w:p>
    <w:p w14:paraId="48E737DB" w14:textId="77777777" w:rsidR="00860F8E" w:rsidRPr="00053FD1" w:rsidRDefault="00860F8E" w:rsidP="00860F8E">
      <w:r w:rsidRPr="00053FD1">
        <w:t>Of the nine claims lodged, four related to physical injuries, four related to psychological injur</w:t>
      </w:r>
      <w:r>
        <w:t>ies,</w:t>
      </w:r>
      <w:r w:rsidRPr="00053FD1">
        <w:t xml:space="preserve"> and one </w:t>
      </w:r>
      <w:r>
        <w:t xml:space="preserve">related to a </w:t>
      </w:r>
      <w:r w:rsidRPr="00053FD1">
        <w:t xml:space="preserve">workplace death </w:t>
      </w:r>
      <w:r>
        <w:t>(in</w:t>
      </w:r>
      <w:r w:rsidRPr="00053FD1">
        <w:t xml:space="preserve"> an incident that occurred in May 2017</w:t>
      </w:r>
      <w:r>
        <w:t>)</w:t>
      </w:r>
      <w:r w:rsidRPr="00053FD1">
        <w:t>. Of the claims lodged, six were accepted by Comcare</w:t>
      </w:r>
      <w:r>
        <w:t>:</w:t>
      </w:r>
      <w:r w:rsidRPr="00053FD1">
        <w:t xml:space="preserve"> four physical injuries, one psychological injury and one workplace death. The three remaining claims were rejected by Comcare on the grounds of reasonable administrative action. Two of the nine claims were lodged by </w:t>
      </w:r>
      <w:r>
        <w:t xml:space="preserve">former </w:t>
      </w:r>
      <w:r w:rsidRPr="00053FD1">
        <w:t>CASA employees.</w:t>
      </w:r>
    </w:p>
    <w:p w14:paraId="6956A75F" w14:textId="77777777" w:rsidR="00860F8E" w:rsidRPr="00053FD1" w:rsidRDefault="00860F8E" w:rsidP="00860F8E">
      <w:pPr>
        <w:pStyle w:val="Heading3"/>
        <w:rPr>
          <w:lang w:val="en-GB"/>
        </w:rPr>
      </w:pPr>
      <w:r w:rsidRPr="00053FD1">
        <w:rPr>
          <w:lang w:val="en-GB"/>
        </w:rPr>
        <w:t>Workers compensation premium</w:t>
      </w:r>
    </w:p>
    <w:p w14:paraId="3C5FC70C" w14:textId="77777777" w:rsidR="00860F8E" w:rsidRPr="00053FD1" w:rsidRDefault="00860F8E" w:rsidP="00860F8E">
      <w:bookmarkStart w:id="88" w:name="_Toc267485913"/>
      <w:bookmarkEnd w:id="86"/>
      <w:r w:rsidRPr="00053FD1">
        <w:t>CASA’s 2017–18 workers compensation premium rate was 0.60 per cent of the 2017–18 payroll. This is significantly lower than the average premium rate of 1.23 per cent for all agencies.</w:t>
      </w:r>
    </w:p>
    <w:p w14:paraId="4163E18A" w14:textId="77777777" w:rsidR="00860F8E" w:rsidRPr="00053FD1" w:rsidRDefault="00860F8E" w:rsidP="00860F8E">
      <w:r w:rsidRPr="00053FD1">
        <w:t>CASA continues to monitor early indicators of factors that potentially influence high-cost claims. This includes monitoring extended unplanned leave, reported health issues, and patterns of poor attendance, poor performance or conflict.</w:t>
      </w:r>
    </w:p>
    <w:p w14:paraId="2FD03E3B" w14:textId="77777777" w:rsidR="00860F8E" w:rsidRPr="00053FD1" w:rsidRDefault="00860F8E" w:rsidP="00C45F94">
      <w:pPr>
        <w:pStyle w:val="Heading3"/>
      </w:pPr>
      <w:bookmarkStart w:id="89" w:name="_Toc267485914"/>
      <w:bookmarkEnd w:id="88"/>
      <w:r w:rsidRPr="00053FD1">
        <w:t>Investigations conducted by Comcare</w:t>
      </w:r>
      <w:bookmarkEnd w:id="89"/>
    </w:p>
    <w:p w14:paraId="62F021C4" w14:textId="77777777" w:rsidR="00860F8E" w:rsidRPr="00053FD1" w:rsidRDefault="00860F8E" w:rsidP="00860F8E">
      <w:pPr>
        <w:pStyle w:val="Heading3"/>
        <w:shd w:val="clear" w:color="auto" w:fill="FFFFFF"/>
        <w:rPr>
          <w:rFonts w:ascii="Cambria" w:hAnsi="Cambria"/>
          <w:b w:val="0"/>
          <w:bCs w:val="0"/>
          <w:color w:val="auto"/>
          <w:lang w:val="en-GB"/>
        </w:rPr>
      </w:pPr>
      <w:r w:rsidRPr="00053FD1">
        <w:rPr>
          <w:rFonts w:ascii="Cambria" w:hAnsi="Cambria"/>
          <w:b w:val="0"/>
          <w:bCs w:val="0"/>
          <w:color w:val="auto"/>
          <w:lang w:val="en-GB"/>
        </w:rPr>
        <w:t>During 2017–18, there were no incidents notified to Comcare.</w:t>
      </w:r>
    </w:p>
    <w:p w14:paraId="314C4F38" w14:textId="62FCFE6B" w:rsidR="00860F8E" w:rsidRDefault="00860F8E" w:rsidP="00860F8E">
      <w:pPr>
        <w:rPr>
          <w:bCs/>
        </w:rPr>
      </w:pPr>
      <w:r w:rsidRPr="00053FD1">
        <w:rPr>
          <w:bCs/>
        </w:rPr>
        <w:t>A fatal air</w:t>
      </w:r>
      <w:r w:rsidR="00B56F3A">
        <w:rPr>
          <w:bCs/>
        </w:rPr>
        <w:t xml:space="preserve"> </w:t>
      </w:r>
      <w:r w:rsidRPr="00053FD1">
        <w:rPr>
          <w:bCs/>
        </w:rPr>
        <w:t>crash involving a Cessna 44</w:t>
      </w:r>
      <w:r>
        <w:rPr>
          <w:bCs/>
        </w:rPr>
        <w:t>1</w:t>
      </w:r>
      <w:r w:rsidRPr="00053FD1">
        <w:rPr>
          <w:bCs/>
        </w:rPr>
        <w:t xml:space="preserve"> Conquest aircraft</w:t>
      </w:r>
      <w:r>
        <w:rPr>
          <w:bCs/>
        </w:rPr>
        <w:t>, which</w:t>
      </w:r>
      <w:r w:rsidRPr="00053FD1">
        <w:rPr>
          <w:bCs/>
        </w:rPr>
        <w:t xml:space="preserve"> occurred on 30 May 2017 at Renmark, South Australia</w:t>
      </w:r>
      <w:r>
        <w:rPr>
          <w:bCs/>
        </w:rPr>
        <w:t>,</w:t>
      </w:r>
      <w:r w:rsidRPr="00053FD1">
        <w:rPr>
          <w:bCs/>
        </w:rPr>
        <w:t xml:space="preserve"> was investigated by Comcare. A CASA flying operations inspector</w:t>
      </w:r>
      <w:r w:rsidR="003D653B">
        <w:rPr>
          <w:bCs/>
        </w:rPr>
        <w:t>, Stephen Guerin,</w:t>
      </w:r>
      <w:r w:rsidRPr="00053FD1">
        <w:rPr>
          <w:bCs/>
        </w:rPr>
        <w:t xml:space="preserve"> was conducting a check captain approval at the time the aircraft crashed. Comcare’s inspector reviewed documents and information provided by CASA and was satisfied CASA had relevant processes and procedures in place to ensure the safety of its inspectors while conducting observation and assessment activities on</w:t>
      </w:r>
      <w:r w:rsidR="00A27AEC">
        <w:rPr>
          <w:bCs/>
        </w:rPr>
        <w:t xml:space="preserve"> </w:t>
      </w:r>
      <w:r w:rsidRPr="00053FD1">
        <w:rPr>
          <w:bCs/>
        </w:rPr>
        <w:t xml:space="preserve">board aircraft not owned or operated by CASA. Comcare found that CASA had taken reasonably practicable actions to ensure the health and safety of </w:t>
      </w:r>
      <w:r w:rsidR="003D653B">
        <w:rPr>
          <w:bCs/>
        </w:rPr>
        <w:t>staff</w:t>
      </w:r>
      <w:r w:rsidRPr="00053FD1">
        <w:rPr>
          <w:bCs/>
        </w:rPr>
        <w:t>.</w:t>
      </w:r>
    </w:p>
    <w:p w14:paraId="1EB92BB6" w14:textId="40CE9A9E" w:rsidR="005626C0" w:rsidRDefault="005626C0" w:rsidP="00860F8E"/>
    <w:p w14:paraId="3187BF44" w14:textId="75A3A272" w:rsidR="005626C0" w:rsidRPr="00687E4A" w:rsidRDefault="005626C0" w:rsidP="005626C0">
      <w:pPr>
        <w:pStyle w:val="Heading0noTOC"/>
        <w:rPr>
          <w:rFonts w:eastAsia="Times New Roman"/>
        </w:rPr>
      </w:pPr>
      <w:r w:rsidRPr="00687E4A">
        <w:lastRenderedPageBreak/>
        <w:t>Cameo</w:t>
      </w:r>
    </w:p>
    <w:p w14:paraId="0B4586AA" w14:textId="77777777" w:rsidR="00860F8E" w:rsidRPr="007742B3" w:rsidRDefault="00860F8E" w:rsidP="00860F8E">
      <w:pPr>
        <w:pStyle w:val="Heading1noTOC"/>
        <w:rPr>
          <w:lang w:val="en-AU"/>
        </w:rPr>
      </w:pPr>
      <w:r w:rsidRPr="007742B3">
        <w:rPr>
          <w:lang w:val="en-AU"/>
        </w:rPr>
        <w:t>CASA’s international collaboration</w:t>
      </w:r>
    </w:p>
    <w:p w14:paraId="054BE1C2" w14:textId="77777777" w:rsidR="00860F8E" w:rsidRPr="007742B3" w:rsidRDefault="00860F8E" w:rsidP="00860F8E">
      <w:pPr>
        <w:rPr>
          <w:lang w:val="en-AU"/>
        </w:rPr>
      </w:pPr>
      <w:r w:rsidRPr="007742B3">
        <w:rPr>
          <w:lang w:val="en-AU"/>
        </w:rPr>
        <w:t xml:space="preserve">CASA’s engagement with the global aviation community is an important part of </w:t>
      </w:r>
      <w:r>
        <w:rPr>
          <w:lang w:val="en-AU"/>
        </w:rPr>
        <w:t>our</w:t>
      </w:r>
      <w:r w:rsidRPr="007742B3">
        <w:rPr>
          <w:lang w:val="en-AU"/>
        </w:rPr>
        <w:t xml:space="preserve"> role and responsibilities under the </w:t>
      </w:r>
      <w:r w:rsidRPr="00C002C1">
        <w:rPr>
          <w:i/>
          <w:lang w:val="en-AU"/>
        </w:rPr>
        <w:t>Civil Aviation Act 1988</w:t>
      </w:r>
      <w:r w:rsidRPr="007742B3">
        <w:rPr>
          <w:lang w:val="en-AU"/>
        </w:rPr>
        <w:t xml:space="preserve"> to influence aviation safety standards, develop and maintain important regional relationships, and respond in a timely manner to emerging opportunities and trends. </w:t>
      </w:r>
    </w:p>
    <w:p w14:paraId="4B207338" w14:textId="77777777" w:rsidR="00860F8E" w:rsidRPr="007742B3" w:rsidRDefault="00860F8E" w:rsidP="00860F8E">
      <w:pPr>
        <w:rPr>
          <w:lang w:val="en-AU"/>
        </w:rPr>
      </w:pPr>
      <w:r w:rsidRPr="007742B3">
        <w:rPr>
          <w:lang w:val="en-AU"/>
        </w:rPr>
        <w:t>CASA particularly focuses on Asia-Pacific matters and regional partnerships.</w:t>
      </w:r>
    </w:p>
    <w:p w14:paraId="36F0F779" w14:textId="77777777" w:rsidR="00860F8E" w:rsidRPr="007742B3" w:rsidRDefault="00860F8E" w:rsidP="00860F8E">
      <w:pPr>
        <w:shd w:val="clear" w:color="auto" w:fill="FFFFFF"/>
        <w:spacing w:before="120" w:line="360" w:lineRule="atLeast"/>
        <w:textAlignment w:val="top"/>
        <w:rPr>
          <w:rStyle w:val="Heading2Char"/>
        </w:rPr>
      </w:pPr>
      <w:r w:rsidRPr="007742B3">
        <w:rPr>
          <w:rStyle w:val="Heading2Char"/>
        </w:rPr>
        <w:t>20th FAA Asia-Pacific Bilateral Partners Dialogue Meeting</w:t>
      </w:r>
    </w:p>
    <w:p w14:paraId="5552A569" w14:textId="77777777" w:rsidR="00860F8E" w:rsidRPr="007742B3" w:rsidRDefault="00860F8E" w:rsidP="00860F8E">
      <w:pPr>
        <w:rPr>
          <w:lang w:val="en-AU"/>
        </w:rPr>
      </w:pPr>
      <w:r w:rsidRPr="007742B3">
        <w:rPr>
          <w:lang w:val="en-AU"/>
        </w:rPr>
        <w:t>In March 2018, CASA successfully hosted the milestone 20th FAA Asia-Pacific Bilateral Partners Dialogue Meeting in Canberra</w:t>
      </w:r>
      <w:r>
        <w:rPr>
          <w:lang w:val="en-AU"/>
        </w:rPr>
        <w:t>. The meeting</w:t>
      </w:r>
      <w:r w:rsidRPr="007742B3">
        <w:rPr>
          <w:lang w:val="en-AU"/>
        </w:rPr>
        <w:t xml:space="preserve"> was attended by </w:t>
      </w:r>
      <w:r>
        <w:rPr>
          <w:lang w:val="en-AU"/>
        </w:rPr>
        <w:t>more than</w:t>
      </w:r>
      <w:r w:rsidRPr="007742B3">
        <w:rPr>
          <w:lang w:val="en-AU"/>
        </w:rPr>
        <w:t xml:space="preserve"> 40 foreign government and industry delegations from the United States, New Zealand, Singapore, China, Japan, Korea and other countries in the region. </w:t>
      </w:r>
    </w:p>
    <w:p w14:paraId="5EA09FC9" w14:textId="77777777" w:rsidR="00860F8E" w:rsidRPr="007742B3" w:rsidRDefault="00860F8E" w:rsidP="00860F8E">
      <w:pPr>
        <w:rPr>
          <w:lang w:val="en-AU"/>
        </w:rPr>
      </w:pPr>
      <w:r w:rsidRPr="007742B3">
        <w:rPr>
          <w:lang w:val="en-AU"/>
        </w:rPr>
        <w:t>Plenary and sideline discussions focused on airworthiness and certification linkages in the context of emerging industry innovations, with the aim of enhancing and streamlining regulatory bilateral arrangements.</w:t>
      </w:r>
    </w:p>
    <w:p w14:paraId="531EB869" w14:textId="77777777" w:rsidR="00860F8E" w:rsidRPr="007742B3" w:rsidRDefault="00860F8E" w:rsidP="00860F8E">
      <w:pPr>
        <w:shd w:val="clear" w:color="auto" w:fill="FFFFFF"/>
        <w:spacing w:before="120" w:line="360" w:lineRule="atLeast"/>
        <w:textAlignment w:val="top"/>
        <w:rPr>
          <w:rStyle w:val="Heading2Char"/>
        </w:rPr>
      </w:pPr>
      <w:r>
        <w:rPr>
          <w:rStyle w:val="Heading2Char"/>
        </w:rPr>
        <w:t>Papua New Guinea 2018</w:t>
      </w:r>
      <w:r w:rsidRPr="007742B3">
        <w:rPr>
          <w:rStyle w:val="Heading2Char"/>
        </w:rPr>
        <w:t xml:space="preserve"> Regulator Symposium</w:t>
      </w:r>
    </w:p>
    <w:p w14:paraId="5C957E8B" w14:textId="77777777" w:rsidR="00860F8E" w:rsidRPr="007742B3" w:rsidRDefault="00860F8E" w:rsidP="00860F8E">
      <w:pPr>
        <w:rPr>
          <w:lang w:val="en-AU"/>
        </w:rPr>
      </w:pPr>
      <w:r w:rsidRPr="007742B3">
        <w:rPr>
          <w:lang w:val="en-AU"/>
        </w:rPr>
        <w:t xml:space="preserve">During the year, a CASA team travelled to Papua New Guinea </w:t>
      </w:r>
      <w:r>
        <w:rPr>
          <w:lang w:val="en-AU"/>
        </w:rPr>
        <w:t xml:space="preserve">(PNG) </w:t>
      </w:r>
      <w:r w:rsidRPr="007742B3">
        <w:rPr>
          <w:lang w:val="en-AU"/>
        </w:rPr>
        <w:t xml:space="preserve">to attend the 2018 Regulator Symposium between CASA and PNG aviation officials to further strengthen relationships under the transport sector </w:t>
      </w:r>
      <w:r>
        <w:rPr>
          <w:lang w:val="en-AU"/>
        </w:rPr>
        <w:t>m</w:t>
      </w:r>
      <w:r w:rsidRPr="007742B3">
        <w:rPr>
          <w:lang w:val="en-AU"/>
        </w:rPr>
        <w:t xml:space="preserve">emorandum of </w:t>
      </w:r>
      <w:r>
        <w:rPr>
          <w:lang w:val="en-AU"/>
        </w:rPr>
        <w:t>u</w:t>
      </w:r>
      <w:r w:rsidRPr="007742B3">
        <w:rPr>
          <w:lang w:val="en-AU"/>
        </w:rPr>
        <w:t>nderstanding.</w:t>
      </w:r>
    </w:p>
    <w:p w14:paraId="6E2471A3" w14:textId="77777777" w:rsidR="00860F8E" w:rsidRPr="007742B3" w:rsidRDefault="00860F8E" w:rsidP="00860F8E">
      <w:pPr>
        <w:rPr>
          <w:lang w:val="en-AU"/>
        </w:rPr>
      </w:pPr>
      <w:r w:rsidRPr="007742B3">
        <w:rPr>
          <w:lang w:val="en-AU"/>
        </w:rPr>
        <w:t xml:space="preserve">The visit provided an opportunity for the PNG aviation regulator’s executive team to speak with CASA’s representatives on consultation mechanisms, </w:t>
      </w:r>
      <w:r>
        <w:rPr>
          <w:lang w:val="en-AU"/>
        </w:rPr>
        <w:t>the establishment of</w:t>
      </w:r>
      <w:r w:rsidRPr="007742B3">
        <w:rPr>
          <w:lang w:val="en-AU"/>
        </w:rPr>
        <w:t xml:space="preserve"> manuals and procedures on operational matters, interactions with the international aviation community, qualifications for regulatory training, and the establishment of CEO instructions and legal guidance material.</w:t>
      </w:r>
    </w:p>
    <w:p w14:paraId="07285D93" w14:textId="77777777" w:rsidR="00860F8E" w:rsidRPr="007742B3" w:rsidRDefault="00860F8E" w:rsidP="00860F8E">
      <w:pPr>
        <w:rPr>
          <w:lang w:val="en-AU"/>
        </w:rPr>
      </w:pPr>
      <w:r w:rsidRPr="007742B3">
        <w:rPr>
          <w:lang w:val="en-AU"/>
        </w:rPr>
        <w:t>During the symposium, PNG officials outlined achievements in the previous 12</w:t>
      </w:r>
      <w:r>
        <w:rPr>
          <w:lang w:val="en-AU"/>
        </w:rPr>
        <w:t xml:space="preserve"> </w:t>
      </w:r>
      <w:r w:rsidRPr="007742B3">
        <w:rPr>
          <w:lang w:val="en-AU"/>
        </w:rPr>
        <w:t xml:space="preserve">months and highlighted key decisions and aviation safety products that were based on advice and guidance material provided by CASA. </w:t>
      </w:r>
    </w:p>
    <w:p w14:paraId="329A7E7C" w14:textId="77777777" w:rsidR="00860F8E" w:rsidRPr="007742B3" w:rsidRDefault="00860F8E" w:rsidP="00860F8E">
      <w:pPr>
        <w:rPr>
          <w:lang w:val="en-AU"/>
        </w:rPr>
      </w:pPr>
      <w:r w:rsidRPr="007742B3">
        <w:rPr>
          <w:lang w:val="en-AU"/>
        </w:rPr>
        <w:t xml:space="preserve">As </w:t>
      </w:r>
      <w:r>
        <w:rPr>
          <w:lang w:val="en-AU"/>
        </w:rPr>
        <w:t xml:space="preserve">the </w:t>
      </w:r>
      <w:r w:rsidRPr="006C0823">
        <w:rPr>
          <w:rFonts w:eastAsia="Times New Roman"/>
        </w:rPr>
        <w:t>Civil Aviation Safety Authority of P</w:t>
      </w:r>
      <w:r>
        <w:rPr>
          <w:rFonts w:eastAsia="Times New Roman"/>
        </w:rPr>
        <w:t xml:space="preserve">apua </w:t>
      </w:r>
      <w:r w:rsidRPr="006C0823">
        <w:rPr>
          <w:rFonts w:eastAsia="Times New Roman"/>
        </w:rPr>
        <w:t>N</w:t>
      </w:r>
      <w:r>
        <w:rPr>
          <w:rFonts w:eastAsia="Times New Roman"/>
        </w:rPr>
        <w:t xml:space="preserve">ew </w:t>
      </w:r>
      <w:r w:rsidRPr="006C0823">
        <w:rPr>
          <w:rFonts w:eastAsia="Times New Roman"/>
        </w:rPr>
        <w:t>G</w:t>
      </w:r>
      <w:r>
        <w:rPr>
          <w:rFonts w:eastAsia="Times New Roman"/>
        </w:rPr>
        <w:t>uinea (</w:t>
      </w:r>
      <w:r w:rsidRPr="007742B3">
        <w:rPr>
          <w:lang w:val="en-AU"/>
        </w:rPr>
        <w:t>CASA PNG</w:t>
      </w:r>
      <w:r>
        <w:rPr>
          <w:lang w:val="en-AU"/>
        </w:rPr>
        <w:t>)</w:t>
      </w:r>
      <w:r w:rsidRPr="007742B3">
        <w:rPr>
          <w:lang w:val="en-AU"/>
        </w:rPr>
        <w:t xml:space="preserve"> had recently participated in an International Civil Aviation Organization </w:t>
      </w:r>
      <w:r>
        <w:rPr>
          <w:lang w:val="en-AU"/>
        </w:rPr>
        <w:t>c</w:t>
      </w:r>
      <w:r w:rsidRPr="007742B3">
        <w:rPr>
          <w:lang w:val="en-AU"/>
        </w:rPr>
        <w:t xml:space="preserve">oordinated </w:t>
      </w:r>
      <w:r>
        <w:rPr>
          <w:lang w:val="en-AU"/>
        </w:rPr>
        <w:t>v</w:t>
      </w:r>
      <w:r w:rsidRPr="007742B3">
        <w:rPr>
          <w:lang w:val="en-AU"/>
        </w:rPr>
        <w:t xml:space="preserve">alidation </w:t>
      </w:r>
      <w:r>
        <w:rPr>
          <w:lang w:val="en-AU"/>
        </w:rPr>
        <w:t>m</w:t>
      </w:r>
      <w:r w:rsidRPr="007742B3">
        <w:rPr>
          <w:lang w:val="en-AU"/>
        </w:rPr>
        <w:t xml:space="preserve">ission, it was a timely visit and </w:t>
      </w:r>
      <w:r>
        <w:rPr>
          <w:lang w:val="en-AU"/>
        </w:rPr>
        <w:t>gave</w:t>
      </w:r>
      <w:r w:rsidRPr="007742B3">
        <w:rPr>
          <w:lang w:val="en-AU"/>
        </w:rPr>
        <w:t xml:space="preserve"> CASA and CASA PNG an opportunity to discuss cooperation mechanisms to support the findings of the </w:t>
      </w:r>
      <w:r>
        <w:rPr>
          <w:lang w:val="en-AU"/>
        </w:rPr>
        <w:t>mission</w:t>
      </w:r>
      <w:r w:rsidRPr="007742B3">
        <w:rPr>
          <w:lang w:val="en-AU"/>
        </w:rPr>
        <w:t>.</w:t>
      </w:r>
    </w:p>
    <w:p w14:paraId="6BF329B8" w14:textId="77777777" w:rsidR="00860F8E" w:rsidRPr="007742B3" w:rsidRDefault="00860F8E" w:rsidP="00860F8E">
      <w:pPr>
        <w:rPr>
          <w:lang w:val="en-AU"/>
        </w:rPr>
      </w:pPr>
      <w:r w:rsidRPr="007742B3">
        <w:rPr>
          <w:lang w:val="en-AU"/>
        </w:rPr>
        <w:t>CASA’s future capacity</w:t>
      </w:r>
      <w:r>
        <w:rPr>
          <w:lang w:val="en-AU"/>
        </w:rPr>
        <w:t>-</w:t>
      </w:r>
      <w:r w:rsidRPr="007742B3">
        <w:rPr>
          <w:lang w:val="en-AU"/>
        </w:rPr>
        <w:t xml:space="preserve">building programs with PNG will focus on areas </w:t>
      </w:r>
      <w:r>
        <w:rPr>
          <w:lang w:val="en-AU"/>
        </w:rPr>
        <w:t>such as</w:t>
      </w:r>
      <w:r w:rsidRPr="007742B3">
        <w:rPr>
          <w:lang w:val="en-AU"/>
        </w:rPr>
        <w:t xml:space="preserve"> aviation medicine, regulatory training, </w:t>
      </w:r>
      <w:r>
        <w:rPr>
          <w:lang w:val="en-AU"/>
        </w:rPr>
        <w:t xml:space="preserve">and </w:t>
      </w:r>
      <w:r w:rsidRPr="007742B3">
        <w:rPr>
          <w:lang w:val="en-AU"/>
        </w:rPr>
        <w:t>legal and inspector mentoring.</w:t>
      </w:r>
    </w:p>
    <w:p w14:paraId="6A946D67" w14:textId="77777777" w:rsidR="00860F8E" w:rsidRPr="007742B3" w:rsidRDefault="00860F8E" w:rsidP="00860F8E">
      <w:pPr>
        <w:shd w:val="clear" w:color="auto" w:fill="FFFFFF"/>
        <w:spacing w:before="120" w:line="360" w:lineRule="atLeast"/>
        <w:textAlignment w:val="top"/>
        <w:rPr>
          <w:rStyle w:val="Heading2Char"/>
        </w:rPr>
      </w:pPr>
      <w:r w:rsidRPr="007742B3">
        <w:rPr>
          <w:rStyle w:val="Heading2Char"/>
        </w:rPr>
        <w:t>International partnerships</w:t>
      </w:r>
    </w:p>
    <w:p w14:paraId="5B360878" w14:textId="77777777" w:rsidR="00860F8E" w:rsidRPr="007742B3" w:rsidRDefault="00860F8E" w:rsidP="00860F8E">
      <w:pPr>
        <w:shd w:val="clear" w:color="auto" w:fill="FFFFFF"/>
        <w:spacing w:before="120" w:line="360" w:lineRule="atLeast"/>
        <w:textAlignment w:val="top"/>
        <w:rPr>
          <w:lang w:val="en-AU"/>
        </w:rPr>
      </w:pPr>
      <w:r w:rsidRPr="007742B3">
        <w:rPr>
          <w:lang w:val="en-AU"/>
        </w:rPr>
        <w:t>In 2017–18, CASA also engaged with counterparts from:</w:t>
      </w:r>
    </w:p>
    <w:p w14:paraId="42EFCDB1" w14:textId="77777777" w:rsidR="00860F8E" w:rsidRPr="007742B3" w:rsidRDefault="00860F8E" w:rsidP="00860F8E">
      <w:pPr>
        <w:pStyle w:val="Bullet"/>
        <w:rPr>
          <w:lang w:val="en-AU" w:eastAsia="en-AU"/>
        </w:rPr>
      </w:pPr>
      <w:r w:rsidRPr="007742B3">
        <w:rPr>
          <w:lang w:val="en-AU" w:eastAsia="en-AU"/>
        </w:rPr>
        <w:t>Canada</w:t>
      </w:r>
      <w:r>
        <w:rPr>
          <w:lang w:val="en-AU" w:eastAsia="en-AU"/>
        </w:rPr>
        <w:t>,</w:t>
      </w:r>
      <w:r w:rsidRPr="007742B3">
        <w:rPr>
          <w:lang w:val="en-AU" w:eastAsia="en-AU"/>
        </w:rPr>
        <w:t xml:space="preserve"> on a new </w:t>
      </w:r>
      <w:r>
        <w:rPr>
          <w:lang w:val="en-AU" w:eastAsia="en-AU"/>
        </w:rPr>
        <w:t>t</w:t>
      </w:r>
      <w:r w:rsidRPr="007742B3">
        <w:rPr>
          <w:lang w:val="en-AU" w:eastAsia="en-AU"/>
        </w:rPr>
        <w:t xml:space="preserve">rilateral </w:t>
      </w:r>
      <w:r>
        <w:rPr>
          <w:lang w:val="en-AU" w:eastAsia="en-AU"/>
        </w:rPr>
        <w:t>c</w:t>
      </w:r>
      <w:r w:rsidRPr="007742B3">
        <w:rPr>
          <w:lang w:val="en-AU" w:eastAsia="en-AU"/>
        </w:rPr>
        <w:t xml:space="preserve">ooperation </w:t>
      </w:r>
      <w:r>
        <w:rPr>
          <w:lang w:val="en-AU" w:eastAsia="en-AU"/>
        </w:rPr>
        <w:t>i</w:t>
      </w:r>
      <w:r w:rsidRPr="007742B3">
        <w:rPr>
          <w:lang w:val="en-AU" w:eastAsia="en-AU"/>
        </w:rPr>
        <w:t>nitiative between CASA, Transport Canada Civil Aviation and the Civil Aviation Authority of New Zealand</w:t>
      </w:r>
    </w:p>
    <w:p w14:paraId="04B2E0F0" w14:textId="77777777" w:rsidR="00860F8E" w:rsidRPr="007742B3" w:rsidRDefault="00860F8E" w:rsidP="00860F8E">
      <w:pPr>
        <w:pStyle w:val="Bullet"/>
        <w:rPr>
          <w:lang w:val="en-AU" w:eastAsia="en-AU"/>
        </w:rPr>
      </w:pPr>
      <w:r w:rsidRPr="007742B3">
        <w:rPr>
          <w:lang w:val="en-AU" w:eastAsia="en-AU"/>
        </w:rPr>
        <w:t>Indonesia</w:t>
      </w:r>
      <w:r>
        <w:rPr>
          <w:lang w:val="en-AU" w:eastAsia="en-AU"/>
        </w:rPr>
        <w:t>,</w:t>
      </w:r>
      <w:r w:rsidRPr="007742B3">
        <w:rPr>
          <w:lang w:val="en-AU" w:eastAsia="en-AU"/>
        </w:rPr>
        <w:t xml:space="preserve"> at the annual Transport Sector Forum held in Melbourne</w:t>
      </w:r>
    </w:p>
    <w:p w14:paraId="5D6BFE4C" w14:textId="77777777" w:rsidR="00860F8E" w:rsidRPr="007742B3" w:rsidRDefault="00860F8E" w:rsidP="00860F8E">
      <w:pPr>
        <w:pStyle w:val="Bullet"/>
        <w:rPr>
          <w:lang w:val="en-AU" w:eastAsia="en-AU"/>
        </w:rPr>
      </w:pPr>
      <w:r w:rsidRPr="007742B3">
        <w:rPr>
          <w:lang w:val="en-AU" w:eastAsia="en-AU"/>
        </w:rPr>
        <w:lastRenderedPageBreak/>
        <w:t>the Pacific</w:t>
      </w:r>
      <w:r>
        <w:rPr>
          <w:lang w:val="en-AU" w:eastAsia="en-AU"/>
        </w:rPr>
        <w:t>,</w:t>
      </w:r>
      <w:r w:rsidRPr="007742B3">
        <w:rPr>
          <w:lang w:val="en-AU" w:eastAsia="en-AU"/>
        </w:rPr>
        <w:t xml:space="preserve"> at Pacific Aviation Safety Office (PASO) meetings, including </w:t>
      </w:r>
      <w:r>
        <w:rPr>
          <w:lang w:val="en-AU" w:eastAsia="en-AU"/>
        </w:rPr>
        <w:t xml:space="preserve">by </w:t>
      </w:r>
      <w:r w:rsidRPr="007742B3">
        <w:rPr>
          <w:lang w:val="en-AU" w:eastAsia="en-AU"/>
        </w:rPr>
        <w:t xml:space="preserve">working towards more formalised arrangements between CASA and PASO to assist Pacific </w:t>
      </w:r>
      <w:r>
        <w:rPr>
          <w:lang w:val="en-AU" w:eastAsia="en-AU"/>
        </w:rPr>
        <w:t>i</w:t>
      </w:r>
      <w:r w:rsidRPr="007742B3">
        <w:rPr>
          <w:lang w:val="en-AU" w:eastAsia="en-AU"/>
        </w:rPr>
        <w:t xml:space="preserve">sland countries with aviation safety and technical expertise </w:t>
      </w:r>
    </w:p>
    <w:p w14:paraId="1307A2C6" w14:textId="77777777" w:rsidR="00860F8E" w:rsidRPr="007742B3" w:rsidRDefault="00860F8E" w:rsidP="00860F8E">
      <w:pPr>
        <w:pStyle w:val="Bullet"/>
        <w:rPr>
          <w:lang w:val="en-AU" w:eastAsia="en-AU"/>
        </w:rPr>
      </w:pPr>
      <w:r w:rsidRPr="007742B3">
        <w:rPr>
          <w:lang w:val="en-AU" w:eastAsia="en-AU"/>
        </w:rPr>
        <w:t>Thailand</w:t>
      </w:r>
      <w:r>
        <w:rPr>
          <w:lang w:val="en-AU" w:eastAsia="en-AU"/>
        </w:rPr>
        <w:t>,</w:t>
      </w:r>
      <w:r w:rsidRPr="007742B3">
        <w:rPr>
          <w:lang w:val="en-AU" w:eastAsia="en-AU"/>
        </w:rPr>
        <w:t xml:space="preserve"> through the Australian Trade and Investment Commission’s aviation mission</w:t>
      </w:r>
    </w:p>
    <w:p w14:paraId="26FC2E65" w14:textId="77777777" w:rsidR="00860F8E" w:rsidRPr="007742B3" w:rsidRDefault="00860F8E" w:rsidP="00860F8E">
      <w:pPr>
        <w:pStyle w:val="Bullet"/>
        <w:rPr>
          <w:lang w:val="en-AU"/>
        </w:rPr>
      </w:pPr>
      <w:r w:rsidRPr="007742B3">
        <w:rPr>
          <w:lang w:val="en-AU"/>
        </w:rPr>
        <w:t>New Zealand</w:t>
      </w:r>
      <w:r>
        <w:rPr>
          <w:lang w:val="en-AU"/>
        </w:rPr>
        <w:t>,</w:t>
      </w:r>
      <w:r w:rsidRPr="007742B3">
        <w:rPr>
          <w:lang w:val="en-AU"/>
        </w:rPr>
        <w:t xml:space="preserve"> on flight crew licensing and aviation medical policies, including streamlining processes and mutual recognition</w:t>
      </w:r>
    </w:p>
    <w:p w14:paraId="7D0A7FCC" w14:textId="20F8304C" w:rsidR="005626C0" w:rsidRDefault="00860F8E" w:rsidP="005626C0">
      <w:pPr>
        <w:pStyle w:val="Bullet"/>
      </w:pPr>
      <w:r w:rsidRPr="007742B3">
        <w:rPr>
          <w:lang w:val="en-AU"/>
        </w:rPr>
        <w:t>European and Asia-Pacific countries</w:t>
      </w:r>
      <w:r>
        <w:rPr>
          <w:lang w:val="en-AU"/>
        </w:rPr>
        <w:t>,</w:t>
      </w:r>
      <w:r w:rsidRPr="007742B3">
        <w:rPr>
          <w:lang w:val="en-AU"/>
        </w:rPr>
        <w:t xml:space="preserve"> at the annual FAA</w:t>
      </w:r>
      <w:r>
        <w:rPr>
          <w:lang w:val="en-AU"/>
        </w:rPr>
        <w:t>–</w:t>
      </w:r>
      <w:r w:rsidRPr="007742B3">
        <w:rPr>
          <w:lang w:val="en-AU"/>
        </w:rPr>
        <w:t>EASA International Aviation Safety Conference.</w:t>
      </w:r>
    </w:p>
    <w:p w14:paraId="64E84315" w14:textId="1955A29C" w:rsidR="005626C0" w:rsidRPr="00687E4A" w:rsidRDefault="005626C0" w:rsidP="005626C0">
      <w:pPr>
        <w:pStyle w:val="Heading0noTOC"/>
      </w:pPr>
      <w:r w:rsidRPr="00687E4A">
        <w:t>Cameo</w:t>
      </w:r>
    </w:p>
    <w:p w14:paraId="71D98CD2" w14:textId="15185305" w:rsidR="00860F8E" w:rsidRPr="00053FD1" w:rsidRDefault="00860F8E" w:rsidP="00860F8E">
      <w:pPr>
        <w:pStyle w:val="Heading1noTOC"/>
        <w:rPr>
          <w:lang w:val="en-GB"/>
        </w:rPr>
      </w:pPr>
      <w:r w:rsidRPr="00053FD1">
        <w:rPr>
          <w:lang w:val="en-GB"/>
        </w:rPr>
        <w:t>Enforcement decisions published</w:t>
      </w:r>
    </w:p>
    <w:p w14:paraId="41FC595D" w14:textId="77777777" w:rsidR="00860F8E" w:rsidRPr="007742B3" w:rsidRDefault="00860F8E" w:rsidP="00860F8E">
      <w:pPr>
        <w:shd w:val="clear" w:color="auto" w:fill="FFFFFF"/>
        <w:spacing w:after="150"/>
        <w:textAlignment w:val="top"/>
        <w:rPr>
          <w:spacing w:val="3"/>
          <w:szCs w:val="24"/>
          <w:lang w:val="en-AU" w:eastAsia="en-AU"/>
        </w:rPr>
      </w:pPr>
      <w:r w:rsidRPr="007742B3">
        <w:rPr>
          <w:spacing w:val="3"/>
          <w:szCs w:val="24"/>
          <w:lang w:val="en-AU" w:eastAsia="en-AU"/>
        </w:rPr>
        <w:t xml:space="preserve">CASA’s decisions to suspend or cancel certain authorisations are now published on </w:t>
      </w:r>
      <w:r>
        <w:rPr>
          <w:spacing w:val="3"/>
          <w:szCs w:val="24"/>
          <w:lang w:val="en-AU" w:eastAsia="en-AU"/>
        </w:rPr>
        <w:t xml:space="preserve">the </w:t>
      </w:r>
      <w:r w:rsidRPr="007742B3">
        <w:rPr>
          <w:spacing w:val="3"/>
          <w:szCs w:val="24"/>
          <w:lang w:val="en-AU" w:eastAsia="en-AU"/>
        </w:rPr>
        <w:t>CASA website</w:t>
      </w:r>
      <w:r>
        <w:rPr>
          <w:spacing w:val="3"/>
          <w:szCs w:val="24"/>
          <w:lang w:val="en-AU" w:eastAsia="en-AU"/>
        </w:rPr>
        <w:t>, www.casa.gov.au</w:t>
      </w:r>
      <w:r w:rsidRPr="007742B3">
        <w:rPr>
          <w:spacing w:val="3"/>
          <w:szCs w:val="24"/>
          <w:lang w:val="en-AU" w:eastAsia="en-AU"/>
        </w:rPr>
        <w:t xml:space="preserve">. </w:t>
      </w:r>
    </w:p>
    <w:p w14:paraId="08FD0F0B" w14:textId="77777777" w:rsidR="00860F8E" w:rsidRPr="007742B3" w:rsidRDefault="00860F8E" w:rsidP="00860F8E">
      <w:pPr>
        <w:shd w:val="clear" w:color="auto" w:fill="FFFFFF"/>
        <w:spacing w:after="150"/>
        <w:textAlignment w:val="top"/>
        <w:rPr>
          <w:spacing w:val="3"/>
          <w:szCs w:val="24"/>
          <w:lang w:val="en-AU" w:eastAsia="en-AU"/>
        </w:rPr>
      </w:pPr>
      <w:r w:rsidRPr="007742B3">
        <w:rPr>
          <w:spacing w:val="3"/>
          <w:szCs w:val="24"/>
          <w:lang w:val="en-AU" w:eastAsia="en-AU"/>
        </w:rPr>
        <w:t xml:space="preserve">The publication of this information is in line with CASA's </w:t>
      </w:r>
      <w:r>
        <w:rPr>
          <w:spacing w:val="3"/>
          <w:szCs w:val="24"/>
          <w:lang w:val="en-AU" w:eastAsia="en-AU"/>
        </w:rPr>
        <w:t>r</w:t>
      </w:r>
      <w:r w:rsidRPr="007742B3">
        <w:rPr>
          <w:spacing w:val="3"/>
          <w:szCs w:val="24"/>
          <w:lang w:val="en-AU" w:eastAsia="en-AU"/>
        </w:rPr>
        <w:t xml:space="preserve">egulatory </w:t>
      </w:r>
      <w:r>
        <w:rPr>
          <w:spacing w:val="3"/>
          <w:szCs w:val="24"/>
          <w:lang w:val="en-AU" w:eastAsia="en-AU"/>
        </w:rPr>
        <w:t>p</w:t>
      </w:r>
      <w:r w:rsidRPr="007742B3">
        <w:rPr>
          <w:spacing w:val="3"/>
          <w:szCs w:val="24"/>
          <w:lang w:val="en-AU" w:eastAsia="en-AU"/>
        </w:rPr>
        <w:t>hilosophy, under which CASA is committed to communicating fully and meaningfully with its stakeholders.</w:t>
      </w:r>
    </w:p>
    <w:p w14:paraId="6F36CCB2" w14:textId="77777777" w:rsidR="00860F8E" w:rsidRPr="007742B3" w:rsidRDefault="00860F8E" w:rsidP="00860F8E">
      <w:pPr>
        <w:shd w:val="clear" w:color="auto" w:fill="FFFFFF"/>
        <w:spacing w:after="150"/>
        <w:textAlignment w:val="top"/>
        <w:rPr>
          <w:spacing w:val="3"/>
          <w:szCs w:val="24"/>
          <w:lang w:val="en-AU" w:eastAsia="en-AU"/>
        </w:rPr>
      </w:pPr>
      <w:r w:rsidRPr="007742B3">
        <w:rPr>
          <w:spacing w:val="3"/>
          <w:szCs w:val="24"/>
          <w:lang w:val="en-AU" w:eastAsia="en-AU"/>
        </w:rPr>
        <w:t>Enforcement</w:t>
      </w:r>
      <w:r>
        <w:rPr>
          <w:spacing w:val="3"/>
          <w:szCs w:val="24"/>
          <w:lang w:val="en-AU" w:eastAsia="en-AU"/>
        </w:rPr>
        <w:t>-</w:t>
      </w:r>
      <w:r w:rsidRPr="007742B3">
        <w:rPr>
          <w:spacing w:val="3"/>
          <w:szCs w:val="24"/>
          <w:lang w:val="en-AU" w:eastAsia="en-AU"/>
        </w:rPr>
        <w:t>related decision-making to vary, suspend or cancel an authorisation is always safety based</w:t>
      </w:r>
      <w:r>
        <w:rPr>
          <w:spacing w:val="3"/>
          <w:szCs w:val="24"/>
          <w:lang w:val="en-AU" w:eastAsia="en-AU"/>
        </w:rPr>
        <w:t>,</w:t>
      </w:r>
      <w:r w:rsidRPr="007742B3">
        <w:rPr>
          <w:spacing w:val="3"/>
          <w:szCs w:val="24"/>
          <w:lang w:val="en-AU" w:eastAsia="en-AU"/>
        </w:rPr>
        <w:t xml:space="preserve"> with a view to protecting the public and other airspace users from conduct that creates unacceptable risks to air safety.</w:t>
      </w:r>
    </w:p>
    <w:p w14:paraId="2457AF3E" w14:textId="77777777" w:rsidR="00860F8E" w:rsidRPr="007742B3" w:rsidRDefault="00860F8E" w:rsidP="00860F8E">
      <w:pPr>
        <w:shd w:val="clear" w:color="auto" w:fill="FFFFFF"/>
        <w:spacing w:after="150"/>
        <w:textAlignment w:val="top"/>
        <w:rPr>
          <w:spacing w:val="3"/>
          <w:szCs w:val="24"/>
          <w:lang w:val="en-AU" w:eastAsia="en-AU"/>
        </w:rPr>
      </w:pPr>
      <w:r>
        <w:rPr>
          <w:spacing w:val="3"/>
          <w:szCs w:val="24"/>
          <w:lang w:val="en-AU" w:eastAsia="en-AU"/>
        </w:rPr>
        <w:t>Therefore</w:t>
      </w:r>
      <w:r w:rsidRPr="007742B3">
        <w:rPr>
          <w:spacing w:val="3"/>
          <w:szCs w:val="24"/>
          <w:lang w:val="en-AU" w:eastAsia="en-AU"/>
        </w:rPr>
        <w:t>, there is a legitimate public interest in CASA</w:t>
      </w:r>
      <w:r>
        <w:rPr>
          <w:spacing w:val="3"/>
          <w:szCs w:val="24"/>
          <w:lang w:val="en-AU" w:eastAsia="en-AU"/>
        </w:rPr>
        <w:t>’</w:t>
      </w:r>
      <w:r w:rsidRPr="007742B3">
        <w:rPr>
          <w:spacing w:val="3"/>
          <w:szCs w:val="24"/>
          <w:lang w:val="en-AU" w:eastAsia="en-AU"/>
        </w:rPr>
        <w:t>s enforcement-related actions. Publishing information about th</w:t>
      </w:r>
      <w:r>
        <w:rPr>
          <w:spacing w:val="3"/>
          <w:szCs w:val="24"/>
          <w:lang w:val="en-AU" w:eastAsia="en-AU"/>
        </w:rPr>
        <w:t>o</w:t>
      </w:r>
      <w:r w:rsidRPr="007742B3">
        <w:rPr>
          <w:spacing w:val="3"/>
          <w:szCs w:val="24"/>
          <w:lang w:val="en-AU" w:eastAsia="en-AU"/>
        </w:rPr>
        <w:t xml:space="preserve">se actions allows the travelling public and the wider Australian community to see that </w:t>
      </w:r>
      <w:r>
        <w:rPr>
          <w:spacing w:val="3"/>
          <w:szCs w:val="24"/>
          <w:lang w:val="en-AU" w:eastAsia="en-AU"/>
        </w:rPr>
        <w:t>we act</w:t>
      </w:r>
      <w:r w:rsidRPr="007742B3">
        <w:rPr>
          <w:spacing w:val="3"/>
          <w:szCs w:val="24"/>
          <w:lang w:val="en-AU" w:eastAsia="en-AU"/>
        </w:rPr>
        <w:t xml:space="preserve"> in a timely, fair and proportionate way to deal with industry participants who are unwilling or unable to comply with the safety rules.</w:t>
      </w:r>
    </w:p>
    <w:p w14:paraId="52EAAAA0" w14:textId="77777777" w:rsidR="00860F8E" w:rsidRPr="007742B3" w:rsidRDefault="00860F8E" w:rsidP="00860F8E">
      <w:pPr>
        <w:shd w:val="clear" w:color="auto" w:fill="FFFFFF"/>
        <w:spacing w:after="150"/>
        <w:textAlignment w:val="top"/>
        <w:rPr>
          <w:spacing w:val="3"/>
          <w:szCs w:val="24"/>
          <w:lang w:val="en-AU" w:eastAsia="en-AU"/>
        </w:rPr>
      </w:pPr>
      <w:r w:rsidRPr="007742B3">
        <w:rPr>
          <w:spacing w:val="3"/>
          <w:szCs w:val="24"/>
          <w:lang w:val="en-AU" w:eastAsia="en-AU"/>
        </w:rPr>
        <w:t>The information published includes a summary of recent enforcement decisions, the authorisations affected by the decision</w:t>
      </w:r>
      <w:r>
        <w:rPr>
          <w:spacing w:val="3"/>
          <w:szCs w:val="24"/>
          <w:lang w:val="en-AU" w:eastAsia="en-AU"/>
        </w:rPr>
        <w:t>s</w:t>
      </w:r>
      <w:r w:rsidRPr="007742B3">
        <w:rPr>
          <w:spacing w:val="3"/>
          <w:szCs w:val="24"/>
          <w:lang w:val="en-AU" w:eastAsia="en-AU"/>
        </w:rPr>
        <w:t>, and brief summar</w:t>
      </w:r>
      <w:r>
        <w:rPr>
          <w:spacing w:val="3"/>
          <w:szCs w:val="24"/>
          <w:lang w:val="en-AU" w:eastAsia="en-AU"/>
        </w:rPr>
        <w:t>ies</w:t>
      </w:r>
      <w:r w:rsidRPr="007742B3">
        <w:rPr>
          <w:spacing w:val="3"/>
          <w:szCs w:val="24"/>
          <w:lang w:val="en-AU" w:eastAsia="en-AU"/>
        </w:rPr>
        <w:t xml:space="preserve"> of the reasons for the decision</w:t>
      </w:r>
      <w:r>
        <w:rPr>
          <w:spacing w:val="3"/>
          <w:szCs w:val="24"/>
          <w:lang w:val="en-AU" w:eastAsia="en-AU"/>
        </w:rPr>
        <w:t>s</w:t>
      </w:r>
      <w:r w:rsidRPr="007742B3">
        <w:rPr>
          <w:spacing w:val="3"/>
          <w:szCs w:val="24"/>
          <w:lang w:val="en-AU" w:eastAsia="en-AU"/>
        </w:rPr>
        <w:t xml:space="preserve">. </w:t>
      </w:r>
    </w:p>
    <w:p w14:paraId="0FA09272" w14:textId="77777777" w:rsidR="00860F8E" w:rsidRPr="007742B3" w:rsidRDefault="00860F8E" w:rsidP="00860F8E">
      <w:pPr>
        <w:shd w:val="clear" w:color="auto" w:fill="FFFFFF"/>
        <w:spacing w:after="150"/>
        <w:textAlignment w:val="top"/>
        <w:rPr>
          <w:spacing w:val="3"/>
          <w:szCs w:val="24"/>
          <w:lang w:val="en-AU" w:eastAsia="en-AU"/>
        </w:rPr>
      </w:pPr>
      <w:r w:rsidRPr="007742B3">
        <w:rPr>
          <w:spacing w:val="3"/>
          <w:szCs w:val="24"/>
          <w:lang w:val="en-AU" w:eastAsia="en-AU"/>
        </w:rPr>
        <w:t xml:space="preserve">Other published information includes whether </w:t>
      </w:r>
      <w:r>
        <w:rPr>
          <w:spacing w:val="3"/>
          <w:szCs w:val="24"/>
          <w:lang w:val="en-AU" w:eastAsia="en-AU"/>
        </w:rPr>
        <w:t>a</w:t>
      </w:r>
      <w:r w:rsidRPr="007742B3">
        <w:rPr>
          <w:spacing w:val="3"/>
          <w:szCs w:val="24"/>
          <w:lang w:val="en-AU" w:eastAsia="en-AU"/>
        </w:rPr>
        <w:t xml:space="preserve"> decision is subject to an automatic stay under the </w:t>
      </w:r>
      <w:r w:rsidRPr="007742B3">
        <w:rPr>
          <w:i/>
          <w:iCs/>
          <w:spacing w:val="3"/>
          <w:szCs w:val="24"/>
          <w:lang w:val="en-AU" w:eastAsia="en-AU"/>
        </w:rPr>
        <w:t>Civil Aviation Act 1988</w:t>
      </w:r>
      <w:r w:rsidRPr="007742B3">
        <w:rPr>
          <w:spacing w:val="3"/>
          <w:szCs w:val="24"/>
          <w:lang w:val="en-AU" w:eastAsia="en-AU"/>
        </w:rPr>
        <w:t xml:space="preserve">, whether the authorisation holder has sought </w:t>
      </w:r>
      <w:r>
        <w:rPr>
          <w:spacing w:val="3"/>
          <w:szCs w:val="24"/>
          <w:lang w:val="en-AU" w:eastAsia="en-AU"/>
        </w:rPr>
        <w:t xml:space="preserve">a </w:t>
      </w:r>
      <w:r w:rsidRPr="007742B3">
        <w:rPr>
          <w:spacing w:val="3"/>
          <w:szCs w:val="24"/>
          <w:lang w:val="en-AU" w:eastAsia="en-AU"/>
        </w:rPr>
        <w:t>review of the decision in an external forum</w:t>
      </w:r>
      <w:r>
        <w:rPr>
          <w:spacing w:val="3"/>
          <w:szCs w:val="24"/>
          <w:lang w:val="en-AU" w:eastAsia="en-AU"/>
        </w:rPr>
        <w:t>,</w:t>
      </w:r>
      <w:r w:rsidRPr="007742B3">
        <w:rPr>
          <w:spacing w:val="3"/>
          <w:szCs w:val="24"/>
          <w:lang w:val="en-AU" w:eastAsia="en-AU"/>
        </w:rPr>
        <w:t xml:space="preserve"> such as the Administrative Appeals Tribunal</w:t>
      </w:r>
      <w:r>
        <w:rPr>
          <w:spacing w:val="3"/>
          <w:szCs w:val="24"/>
          <w:lang w:val="en-AU" w:eastAsia="en-AU"/>
        </w:rPr>
        <w:t>,</w:t>
      </w:r>
      <w:r w:rsidRPr="007742B3">
        <w:rPr>
          <w:spacing w:val="3"/>
          <w:szCs w:val="24"/>
          <w:lang w:val="en-AU" w:eastAsia="en-AU"/>
        </w:rPr>
        <w:t xml:space="preserve"> and the status of those proceedings.</w:t>
      </w:r>
    </w:p>
    <w:p w14:paraId="1E1EDC7C" w14:textId="77777777" w:rsidR="00860F8E" w:rsidRPr="007742B3" w:rsidRDefault="00860F8E" w:rsidP="00860F8E">
      <w:pPr>
        <w:shd w:val="clear" w:color="auto" w:fill="FFFFFF"/>
        <w:spacing w:after="150"/>
        <w:textAlignment w:val="top"/>
        <w:rPr>
          <w:spacing w:val="3"/>
          <w:szCs w:val="24"/>
          <w:lang w:val="en-AU" w:eastAsia="en-AU"/>
        </w:rPr>
      </w:pPr>
      <w:r w:rsidRPr="007742B3">
        <w:rPr>
          <w:spacing w:val="3"/>
          <w:szCs w:val="24"/>
          <w:lang w:val="en-AU" w:eastAsia="en-AU"/>
        </w:rPr>
        <w:t>In keeping with CASA</w:t>
      </w:r>
      <w:r>
        <w:rPr>
          <w:spacing w:val="3"/>
          <w:szCs w:val="24"/>
          <w:lang w:val="en-AU" w:eastAsia="en-AU"/>
        </w:rPr>
        <w:t>’</w:t>
      </w:r>
      <w:r w:rsidRPr="007742B3">
        <w:rPr>
          <w:spacing w:val="3"/>
          <w:szCs w:val="24"/>
          <w:lang w:val="en-AU" w:eastAsia="en-AU"/>
        </w:rPr>
        <w:t xml:space="preserve">s obligations under the </w:t>
      </w:r>
      <w:r w:rsidRPr="007742B3">
        <w:rPr>
          <w:i/>
          <w:iCs/>
          <w:spacing w:val="3"/>
          <w:szCs w:val="24"/>
          <w:lang w:val="en-AU" w:eastAsia="en-AU"/>
        </w:rPr>
        <w:t>Privacy Act 1988</w:t>
      </w:r>
      <w:r w:rsidRPr="007742B3">
        <w:rPr>
          <w:spacing w:val="3"/>
          <w:szCs w:val="24"/>
          <w:lang w:val="en-AU" w:eastAsia="en-AU"/>
        </w:rPr>
        <w:t>, personal information concerning individuals is not included.</w:t>
      </w:r>
    </w:p>
    <w:p w14:paraId="20FD35F3" w14:textId="77777777" w:rsidR="00860F8E" w:rsidRPr="007742B3" w:rsidRDefault="00860F8E" w:rsidP="00860F8E">
      <w:pPr>
        <w:shd w:val="clear" w:color="auto" w:fill="FFFFFF"/>
        <w:spacing w:after="150"/>
        <w:textAlignment w:val="top"/>
        <w:rPr>
          <w:spacing w:val="3"/>
          <w:szCs w:val="24"/>
          <w:lang w:val="en-AU" w:eastAsia="en-AU"/>
        </w:rPr>
      </w:pPr>
      <w:r w:rsidRPr="007742B3">
        <w:rPr>
          <w:spacing w:val="3"/>
          <w:szCs w:val="24"/>
          <w:lang w:val="en-AU" w:eastAsia="en-AU"/>
        </w:rPr>
        <w:t>Because all of CASA</w:t>
      </w:r>
      <w:r>
        <w:rPr>
          <w:spacing w:val="3"/>
          <w:szCs w:val="24"/>
          <w:lang w:val="en-AU" w:eastAsia="en-AU"/>
        </w:rPr>
        <w:t>’</w:t>
      </w:r>
      <w:r w:rsidRPr="007742B3">
        <w:rPr>
          <w:spacing w:val="3"/>
          <w:szCs w:val="24"/>
          <w:lang w:val="en-AU" w:eastAsia="en-AU"/>
        </w:rPr>
        <w:t xml:space="preserve">s enforcement-related actions are subject to review, those decisions may be varied, affirmed, set aside or returned to CASA for reconsideration. </w:t>
      </w:r>
    </w:p>
    <w:p w14:paraId="2D0B67E5" w14:textId="77777777" w:rsidR="00860F8E" w:rsidRPr="007742B3" w:rsidRDefault="00860F8E" w:rsidP="00860F8E">
      <w:pPr>
        <w:shd w:val="clear" w:color="auto" w:fill="FFFFFF"/>
        <w:spacing w:after="150"/>
        <w:textAlignment w:val="top"/>
        <w:rPr>
          <w:spacing w:val="3"/>
          <w:szCs w:val="24"/>
          <w:lang w:val="en-AU" w:eastAsia="en-AU"/>
        </w:rPr>
      </w:pPr>
      <w:r w:rsidRPr="007742B3">
        <w:rPr>
          <w:spacing w:val="3"/>
          <w:szCs w:val="24"/>
          <w:lang w:val="en-AU" w:eastAsia="en-AU"/>
        </w:rPr>
        <w:t xml:space="preserve">Recent enforcement decisions are available on the enforcement action section of the website at </w:t>
      </w:r>
      <w:r w:rsidRPr="00585581">
        <w:rPr>
          <w:spacing w:val="3"/>
          <w:szCs w:val="24"/>
          <w:lang w:val="en-AU" w:eastAsia="en-AU"/>
        </w:rPr>
        <w:t>www.casa.gov.au/enforcement-action/standard-page/decisions-suspensions-and-cancellations</w:t>
      </w:r>
      <w:r w:rsidRPr="007742B3">
        <w:rPr>
          <w:spacing w:val="3"/>
          <w:szCs w:val="24"/>
          <w:lang w:val="en-AU" w:eastAsia="en-AU"/>
        </w:rPr>
        <w:t>.</w:t>
      </w:r>
    </w:p>
    <w:p w14:paraId="299D9402" w14:textId="77777777" w:rsidR="00860F8E" w:rsidRPr="007742B3" w:rsidRDefault="00860F8E" w:rsidP="00860F8E">
      <w:pPr>
        <w:rPr>
          <w:spacing w:val="3"/>
          <w:szCs w:val="24"/>
          <w:lang w:val="en-AU" w:eastAsia="en-AU"/>
        </w:rPr>
      </w:pPr>
      <w:r w:rsidRPr="007742B3">
        <w:rPr>
          <w:spacing w:val="3"/>
          <w:szCs w:val="24"/>
          <w:lang w:val="en-AU" w:eastAsia="en-AU"/>
        </w:rPr>
        <w:lastRenderedPageBreak/>
        <w:t xml:space="preserve">Under the Civil Aviation Act, CASA is required to publish details of any </w:t>
      </w:r>
      <w:r>
        <w:rPr>
          <w:spacing w:val="3"/>
          <w:szCs w:val="24"/>
          <w:lang w:val="en-AU" w:eastAsia="en-AU"/>
        </w:rPr>
        <w:t>e</w:t>
      </w:r>
      <w:r w:rsidRPr="007742B3">
        <w:rPr>
          <w:spacing w:val="3"/>
          <w:szCs w:val="24"/>
          <w:lang w:val="en-AU" w:eastAsia="en-AU"/>
        </w:rPr>
        <w:t xml:space="preserve">nforceable </w:t>
      </w:r>
      <w:r>
        <w:rPr>
          <w:spacing w:val="3"/>
          <w:szCs w:val="24"/>
          <w:lang w:val="en-AU" w:eastAsia="en-AU"/>
        </w:rPr>
        <w:t>v</w:t>
      </w:r>
      <w:r w:rsidRPr="007742B3">
        <w:rPr>
          <w:spacing w:val="3"/>
          <w:szCs w:val="24"/>
          <w:lang w:val="en-AU" w:eastAsia="en-AU"/>
        </w:rPr>
        <w:t xml:space="preserve">oluntary </w:t>
      </w:r>
      <w:r>
        <w:rPr>
          <w:spacing w:val="3"/>
          <w:szCs w:val="24"/>
          <w:lang w:val="en-AU" w:eastAsia="en-AU"/>
        </w:rPr>
        <w:t>u</w:t>
      </w:r>
      <w:r w:rsidRPr="007742B3">
        <w:rPr>
          <w:spacing w:val="3"/>
          <w:szCs w:val="24"/>
          <w:lang w:val="en-AU" w:eastAsia="en-AU"/>
        </w:rPr>
        <w:t xml:space="preserve">ndertakings (EVUs) entered into with CASA by authorisation holders. </w:t>
      </w:r>
    </w:p>
    <w:p w14:paraId="1D43E613" w14:textId="77777777" w:rsidR="00860F8E" w:rsidRPr="007742B3" w:rsidRDefault="00860F8E" w:rsidP="00860F8E">
      <w:pPr>
        <w:rPr>
          <w:szCs w:val="24"/>
          <w:lang w:val="en-AU"/>
        </w:rPr>
      </w:pPr>
      <w:r w:rsidRPr="007742B3">
        <w:rPr>
          <w:spacing w:val="3"/>
          <w:szCs w:val="24"/>
          <w:lang w:val="en-AU" w:eastAsia="en-AU"/>
        </w:rPr>
        <w:t xml:space="preserve">EVUs may be used </w:t>
      </w:r>
      <w:r w:rsidRPr="007742B3">
        <w:rPr>
          <w:szCs w:val="24"/>
          <w:lang w:val="en-AU"/>
        </w:rPr>
        <w:t xml:space="preserve">where there is evidence of a breach or potential breach of the aviation law that may justify administrative or other action, but remedial action by the authorisation holder is considered to be in the best interests of aviation safety. </w:t>
      </w:r>
    </w:p>
    <w:p w14:paraId="50DE161B" w14:textId="77777777" w:rsidR="00860F8E" w:rsidRPr="00053FD1" w:rsidRDefault="00860F8E" w:rsidP="00860F8E">
      <w:r w:rsidRPr="007742B3">
        <w:rPr>
          <w:szCs w:val="24"/>
          <w:lang w:val="en-AU"/>
        </w:rPr>
        <w:t xml:space="preserve">Details of EVUs </w:t>
      </w:r>
      <w:r w:rsidRPr="007742B3">
        <w:rPr>
          <w:spacing w:val="3"/>
          <w:szCs w:val="24"/>
          <w:lang w:val="en-AU" w:eastAsia="en-AU"/>
        </w:rPr>
        <w:t xml:space="preserve">can be found on the website at </w:t>
      </w:r>
      <w:r w:rsidRPr="00585581">
        <w:rPr>
          <w:spacing w:val="3"/>
          <w:szCs w:val="24"/>
          <w:lang w:val="en-AU" w:eastAsia="en-AU"/>
        </w:rPr>
        <w:t>www.casa.gov.au/standard-page/enforceable-voluntary-undertakings</w:t>
      </w:r>
      <w:r w:rsidRPr="007742B3">
        <w:rPr>
          <w:spacing w:val="3"/>
          <w:szCs w:val="24"/>
          <w:lang w:val="en-AU" w:eastAsia="en-AU"/>
        </w:rPr>
        <w:t>.</w:t>
      </w:r>
    </w:p>
    <w:p w14:paraId="53624C44" w14:textId="77777777" w:rsidR="00860F8E" w:rsidRPr="00E3350E" w:rsidRDefault="00860F8E" w:rsidP="00860F8E">
      <w:pPr>
        <w:pStyle w:val="Heading1"/>
        <w:rPr>
          <w:lang w:val="en-AU"/>
        </w:rPr>
      </w:pPr>
      <w:bookmarkStart w:id="90" w:name="_Toc522537160"/>
      <w:bookmarkStart w:id="91" w:name="_Toc523924885"/>
      <w:r w:rsidRPr="00BA4230">
        <w:rPr>
          <w:lang w:val="en-AU"/>
        </w:rPr>
        <w:t>External engagement</w:t>
      </w:r>
      <w:bookmarkEnd w:id="90"/>
      <w:bookmarkEnd w:id="91"/>
    </w:p>
    <w:p w14:paraId="7D14ABEF" w14:textId="77777777" w:rsidR="00860F8E" w:rsidRPr="00E3350E" w:rsidRDefault="00860F8E" w:rsidP="00860F8E">
      <w:pPr>
        <w:rPr>
          <w:lang w:val="en-AU"/>
        </w:rPr>
      </w:pPr>
      <w:r w:rsidRPr="00E3350E">
        <w:rPr>
          <w:lang w:val="en-AU"/>
        </w:rPr>
        <w:t xml:space="preserve">Effectively consulting and communicating with the aviation industry and the wider aviation community, in Australia and overseas, is a key element of CASA’s core goals and an obligation under the Civil Aviation Act. </w:t>
      </w:r>
    </w:p>
    <w:p w14:paraId="1D14EADC" w14:textId="77777777" w:rsidR="00860F8E" w:rsidRPr="00E3350E" w:rsidRDefault="00860F8E" w:rsidP="00860F8E">
      <w:pPr>
        <w:pStyle w:val="Heading2"/>
        <w:rPr>
          <w:lang w:val="en-AU"/>
        </w:rPr>
      </w:pPr>
      <w:r w:rsidRPr="00E3350E">
        <w:rPr>
          <w:lang w:val="en-AU"/>
        </w:rPr>
        <w:t>Community engagement</w:t>
      </w:r>
    </w:p>
    <w:p w14:paraId="4682B74A" w14:textId="77777777" w:rsidR="00860F8E" w:rsidRPr="00E3350E" w:rsidRDefault="00860F8E" w:rsidP="00860F8E">
      <w:pPr>
        <w:rPr>
          <w:szCs w:val="24"/>
          <w:lang w:val="en-AU"/>
        </w:rPr>
      </w:pPr>
      <w:r w:rsidRPr="00E3350E">
        <w:rPr>
          <w:rFonts w:cs="Arial"/>
          <w:szCs w:val="24"/>
          <w:lang w:val="en-AU"/>
        </w:rPr>
        <w:t>Under sections 9 and 16 of the Civil Aviation Act, CASA is expected to promote ‘full and effective consultation and communication with all interested parties on aviation safety issues’. CASA achieves this through information provision and a range of forums and day-to-day dealings with people and organisations in the wider aviation community, including formal meetings, working groups and consultation committees.</w:t>
      </w:r>
    </w:p>
    <w:p w14:paraId="1FBE62A8" w14:textId="77777777" w:rsidR="00860F8E" w:rsidRPr="00E3350E" w:rsidRDefault="00860F8E" w:rsidP="00860F8E">
      <w:pPr>
        <w:pStyle w:val="Heading3"/>
        <w:rPr>
          <w:lang w:val="en-AU"/>
        </w:rPr>
      </w:pPr>
      <w:r w:rsidRPr="00E3350E">
        <w:rPr>
          <w:lang w:val="en-AU"/>
        </w:rPr>
        <w:t>Online feedback and consultation</w:t>
      </w:r>
    </w:p>
    <w:p w14:paraId="65DB9986" w14:textId="77777777" w:rsidR="00EB1874" w:rsidRDefault="00860F8E" w:rsidP="00860F8E">
      <w:pPr>
        <w:pStyle w:val="Heading3"/>
        <w:spacing w:after="90"/>
        <w:rPr>
          <w:rFonts w:ascii="Cambria" w:hAnsi="Cambria"/>
          <w:b w:val="0"/>
          <w:color w:val="auto"/>
          <w:szCs w:val="24"/>
          <w:lang w:val="en-AU"/>
        </w:rPr>
      </w:pPr>
      <w:r w:rsidRPr="00E3350E">
        <w:rPr>
          <w:rFonts w:ascii="Cambria" w:hAnsi="Cambria"/>
          <w:b w:val="0"/>
          <w:color w:val="auto"/>
          <w:szCs w:val="24"/>
          <w:lang w:val="en-AU"/>
        </w:rPr>
        <w:t xml:space="preserve">CASA engages with the community online through YouTube, Facebook, LinkedIn and Twitter. Facebook continues to be the dominant social media channel in terms of audience size and engagement. </w:t>
      </w:r>
    </w:p>
    <w:p w14:paraId="349DA95C" w14:textId="77777777" w:rsidR="00860F8E" w:rsidRPr="00E3350E" w:rsidRDefault="00860F8E" w:rsidP="00860F8E">
      <w:pPr>
        <w:pStyle w:val="Heading3"/>
        <w:spacing w:after="90"/>
        <w:rPr>
          <w:rFonts w:ascii="Cambria" w:hAnsi="Cambria"/>
          <w:b w:val="0"/>
          <w:color w:val="auto"/>
          <w:szCs w:val="24"/>
          <w:lang w:val="en-AU"/>
        </w:rPr>
      </w:pPr>
      <w:r w:rsidRPr="00E3350E">
        <w:rPr>
          <w:rFonts w:ascii="Cambria" w:hAnsi="Cambria"/>
          <w:b w:val="0"/>
          <w:color w:val="auto"/>
          <w:szCs w:val="24"/>
          <w:lang w:val="en-AU"/>
        </w:rPr>
        <w:t xml:space="preserve">During 2017–18, CASA’s Facebook following increased by 4,469 followers to reach 38,858 followers on 30 June 2018. CASA has a further 9,748 followers on Twitter and 8,974 on LinkedIn and experienced a combined audience growth of 46.1 per cent over the reporting period. The top posts during </w:t>
      </w:r>
      <w:r>
        <w:rPr>
          <w:rFonts w:ascii="Cambria" w:hAnsi="Cambria"/>
          <w:b w:val="0"/>
          <w:color w:val="auto"/>
          <w:szCs w:val="24"/>
          <w:lang w:val="en-AU"/>
        </w:rPr>
        <w:t>2017–18</w:t>
      </w:r>
      <w:r w:rsidRPr="00E3350E">
        <w:rPr>
          <w:rFonts w:ascii="Cambria" w:hAnsi="Cambria"/>
          <w:b w:val="0"/>
          <w:color w:val="auto"/>
          <w:szCs w:val="24"/>
          <w:lang w:val="en-AU"/>
        </w:rPr>
        <w:t xml:space="preserve"> related to the drone awareness and cabin safety campaigns. </w:t>
      </w:r>
    </w:p>
    <w:p w14:paraId="1F76F5AE" w14:textId="77777777" w:rsidR="00860F8E" w:rsidRPr="00E3350E" w:rsidRDefault="00860F8E" w:rsidP="00860F8E">
      <w:pPr>
        <w:rPr>
          <w:szCs w:val="24"/>
          <w:lang w:val="en-AU"/>
        </w:rPr>
      </w:pPr>
      <w:r w:rsidRPr="00E3350E">
        <w:rPr>
          <w:szCs w:val="24"/>
          <w:lang w:val="en-AU"/>
        </w:rPr>
        <w:t>In addition, CASA’s website features a prominent link inviting people to send feedback on aviation safety issues.</w:t>
      </w:r>
    </w:p>
    <w:p w14:paraId="31BBE416" w14:textId="77777777" w:rsidR="00860F8E" w:rsidRPr="00E3350E" w:rsidRDefault="00860F8E" w:rsidP="00860F8E">
      <w:pPr>
        <w:rPr>
          <w:szCs w:val="24"/>
          <w:lang w:val="en-AU"/>
        </w:rPr>
      </w:pPr>
      <w:r w:rsidRPr="00E3350E">
        <w:rPr>
          <w:rFonts w:cs="Calibri"/>
          <w:szCs w:val="24"/>
          <w:lang w:val="en-AU"/>
        </w:rPr>
        <w:t xml:space="preserve">CASA established a </w:t>
      </w:r>
      <w:r w:rsidR="00EB1874">
        <w:rPr>
          <w:rFonts w:cs="Calibri"/>
          <w:szCs w:val="24"/>
          <w:lang w:val="en-AU"/>
        </w:rPr>
        <w:t xml:space="preserve">new </w:t>
      </w:r>
      <w:r w:rsidR="00282496">
        <w:rPr>
          <w:rFonts w:cs="Calibri"/>
          <w:szCs w:val="24"/>
          <w:lang w:val="en-AU"/>
        </w:rPr>
        <w:t>web-based facility</w:t>
      </w:r>
      <w:r w:rsidR="00EB1874">
        <w:rPr>
          <w:rFonts w:cs="Calibri"/>
          <w:szCs w:val="24"/>
          <w:lang w:val="en-AU"/>
        </w:rPr>
        <w:t>,</w:t>
      </w:r>
      <w:r w:rsidRPr="00E3350E">
        <w:rPr>
          <w:rFonts w:cs="Calibri"/>
          <w:szCs w:val="24"/>
          <w:lang w:val="en-AU"/>
        </w:rPr>
        <w:t xml:space="preserve"> the CASA </w:t>
      </w:r>
      <w:r w:rsidR="00282496">
        <w:rPr>
          <w:rFonts w:cs="Calibri"/>
          <w:szCs w:val="24"/>
          <w:lang w:val="en-AU"/>
        </w:rPr>
        <w:t>C</w:t>
      </w:r>
      <w:r w:rsidRPr="00E3350E">
        <w:rPr>
          <w:rFonts w:cs="Calibri"/>
          <w:szCs w:val="24"/>
          <w:lang w:val="en-AU"/>
        </w:rPr>
        <w:t xml:space="preserve">onsultation </w:t>
      </w:r>
      <w:r w:rsidR="00282496">
        <w:rPr>
          <w:rFonts w:cs="Calibri"/>
          <w:szCs w:val="24"/>
          <w:lang w:val="en-AU"/>
        </w:rPr>
        <w:t>H</w:t>
      </w:r>
      <w:r w:rsidRPr="00E3350E">
        <w:rPr>
          <w:rFonts w:cs="Calibri"/>
          <w:szCs w:val="24"/>
          <w:lang w:val="en-AU"/>
        </w:rPr>
        <w:t>ub</w:t>
      </w:r>
      <w:r w:rsidR="00EB1874">
        <w:rPr>
          <w:rFonts w:cs="Calibri"/>
          <w:szCs w:val="24"/>
          <w:lang w:val="en-AU"/>
        </w:rPr>
        <w:t xml:space="preserve">, </w:t>
      </w:r>
      <w:r w:rsidR="00282496">
        <w:rPr>
          <w:rFonts w:cs="Calibri"/>
          <w:szCs w:val="24"/>
          <w:lang w:val="en-AU"/>
        </w:rPr>
        <w:t>in 2017–18</w:t>
      </w:r>
      <w:r w:rsidRPr="00E3350E">
        <w:rPr>
          <w:rFonts w:cs="Calibri"/>
          <w:szCs w:val="24"/>
          <w:lang w:val="en-AU"/>
        </w:rPr>
        <w:t>. This</w:t>
      </w:r>
      <w:r w:rsidR="00BF2702">
        <w:rPr>
          <w:rFonts w:cs="Calibri"/>
          <w:szCs w:val="24"/>
          <w:lang w:val="en-AU"/>
        </w:rPr>
        <w:t xml:space="preserve"> mechanism</w:t>
      </w:r>
      <w:r w:rsidRPr="00E3350E">
        <w:rPr>
          <w:rFonts w:cs="Calibri"/>
          <w:szCs w:val="24"/>
          <w:lang w:val="en-AU"/>
        </w:rPr>
        <w:t xml:space="preserve"> </w:t>
      </w:r>
      <w:r w:rsidR="00EB1874">
        <w:rPr>
          <w:rFonts w:cs="Calibri"/>
          <w:szCs w:val="24"/>
          <w:lang w:val="en-AU"/>
        </w:rPr>
        <w:t xml:space="preserve">assists </w:t>
      </w:r>
      <w:r w:rsidRPr="00E3350E">
        <w:rPr>
          <w:rFonts w:cs="Calibri"/>
          <w:szCs w:val="24"/>
          <w:lang w:val="en-AU"/>
        </w:rPr>
        <w:t>CASA to engage effectively with industry whil</w:t>
      </w:r>
      <w:r>
        <w:rPr>
          <w:rFonts w:cs="Calibri"/>
          <w:szCs w:val="24"/>
          <w:lang w:val="en-AU"/>
        </w:rPr>
        <w:t>e</w:t>
      </w:r>
      <w:r w:rsidRPr="00E3350E">
        <w:rPr>
          <w:rFonts w:cs="Calibri"/>
          <w:szCs w:val="24"/>
          <w:lang w:val="en-AU"/>
        </w:rPr>
        <w:t xml:space="preserve"> seeking views on specific matters, particularly new and revised regulation</w:t>
      </w:r>
      <w:r>
        <w:rPr>
          <w:rFonts w:cs="Calibri"/>
          <w:szCs w:val="24"/>
          <w:lang w:val="en-AU"/>
        </w:rPr>
        <w:t>s</w:t>
      </w:r>
      <w:r w:rsidRPr="00E3350E">
        <w:rPr>
          <w:rFonts w:cs="Calibri"/>
          <w:szCs w:val="24"/>
          <w:lang w:val="en-AU"/>
        </w:rPr>
        <w:t xml:space="preserve">. This addition to CASA’s capability is supported by a robust governance framework to ensure </w:t>
      </w:r>
      <w:r>
        <w:rPr>
          <w:rFonts w:cs="Calibri"/>
          <w:szCs w:val="24"/>
          <w:lang w:val="en-AU"/>
        </w:rPr>
        <w:t xml:space="preserve">the </w:t>
      </w:r>
      <w:r w:rsidRPr="00E3350E">
        <w:rPr>
          <w:rFonts w:cs="Calibri"/>
          <w:szCs w:val="24"/>
          <w:lang w:val="en-AU"/>
        </w:rPr>
        <w:t>consistency and effectiveness of consultation.</w:t>
      </w:r>
    </w:p>
    <w:p w14:paraId="1029EB99" w14:textId="77777777" w:rsidR="00860F8E" w:rsidRPr="00E3350E" w:rsidRDefault="00860F8E" w:rsidP="00860F8E">
      <w:pPr>
        <w:pStyle w:val="Heading3"/>
        <w:rPr>
          <w:lang w:val="en-AU"/>
        </w:rPr>
      </w:pPr>
      <w:r w:rsidRPr="00E3350E">
        <w:rPr>
          <w:lang w:val="en-AU"/>
        </w:rPr>
        <w:t>E-newsletter</w:t>
      </w:r>
    </w:p>
    <w:p w14:paraId="33400AA0" w14:textId="77777777" w:rsidR="00860F8E" w:rsidRPr="00E3350E" w:rsidRDefault="00860F8E" w:rsidP="00860F8E">
      <w:pPr>
        <w:rPr>
          <w:rFonts w:cs="Arial"/>
          <w:szCs w:val="24"/>
          <w:lang w:val="en-AU"/>
        </w:rPr>
      </w:pPr>
      <w:r w:rsidRPr="00E3350E">
        <w:rPr>
          <w:rFonts w:cs="Arial"/>
          <w:szCs w:val="24"/>
          <w:lang w:val="en-AU"/>
        </w:rPr>
        <w:t>Each month</w:t>
      </w:r>
      <w:r>
        <w:rPr>
          <w:rFonts w:cs="Arial"/>
          <w:szCs w:val="24"/>
          <w:lang w:val="en-AU"/>
        </w:rPr>
        <w:t>,</w:t>
      </w:r>
      <w:r w:rsidRPr="00E3350E">
        <w:rPr>
          <w:rFonts w:cs="Arial"/>
          <w:szCs w:val="24"/>
          <w:lang w:val="en-AU"/>
        </w:rPr>
        <w:t xml:space="preserve"> CASA produces an e-newsletter, </w:t>
      </w:r>
      <w:r w:rsidRPr="00E3350E">
        <w:rPr>
          <w:rFonts w:cs="Arial"/>
          <w:i/>
          <w:szCs w:val="24"/>
          <w:lang w:val="en-AU"/>
        </w:rPr>
        <w:t>The CASA Briefing</w:t>
      </w:r>
      <w:r w:rsidRPr="00E3350E">
        <w:rPr>
          <w:rFonts w:cs="Arial"/>
          <w:szCs w:val="24"/>
          <w:lang w:val="en-AU"/>
        </w:rPr>
        <w:t xml:space="preserve">, which is distributed to more than 10,000 subscribers. </w:t>
      </w:r>
      <w:r>
        <w:rPr>
          <w:rFonts w:cs="Arial"/>
          <w:szCs w:val="24"/>
          <w:lang w:val="en-AU"/>
        </w:rPr>
        <w:t>M</w:t>
      </w:r>
      <w:r w:rsidRPr="00E3350E">
        <w:rPr>
          <w:rFonts w:cs="Arial"/>
          <w:szCs w:val="24"/>
          <w:lang w:val="en-AU"/>
        </w:rPr>
        <w:t xml:space="preserve">ost subscribers are people working in the aviation industry, </w:t>
      </w:r>
      <w:r>
        <w:rPr>
          <w:rFonts w:cs="Arial"/>
          <w:szCs w:val="24"/>
          <w:lang w:val="en-AU"/>
        </w:rPr>
        <w:t>while others</w:t>
      </w:r>
      <w:r w:rsidRPr="00E3350E">
        <w:rPr>
          <w:rFonts w:cs="Arial"/>
          <w:szCs w:val="24"/>
          <w:lang w:val="en-AU"/>
        </w:rPr>
        <w:t xml:space="preserve"> have a general interest in aviation.</w:t>
      </w:r>
    </w:p>
    <w:p w14:paraId="3AE45EE3" w14:textId="77777777" w:rsidR="00860F8E" w:rsidRPr="00E3350E" w:rsidRDefault="00860F8E" w:rsidP="00860F8E">
      <w:pPr>
        <w:rPr>
          <w:rFonts w:cs="Arial"/>
          <w:szCs w:val="24"/>
          <w:lang w:val="en-AU"/>
        </w:rPr>
      </w:pPr>
      <w:r w:rsidRPr="00E3350E">
        <w:rPr>
          <w:rFonts w:cs="Arial"/>
          <w:szCs w:val="24"/>
          <w:lang w:val="en-AU"/>
        </w:rPr>
        <w:t xml:space="preserve">Subjects covered in 2017–18 included CASA’s regulatory reform program, initiatives to work collaboratively with the aviation community, new regulations, airworthiness advice, </w:t>
      </w:r>
      <w:r>
        <w:rPr>
          <w:rFonts w:cs="Arial"/>
          <w:szCs w:val="24"/>
          <w:lang w:val="en-AU"/>
        </w:rPr>
        <w:t xml:space="preserve">information on </w:t>
      </w:r>
      <w:r w:rsidRPr="00E3350E">
        <w:rPr>
          <w:rFonts w:cs="Arial"/>
          <w:szCs w:val="24"/>
          <w:lang w:val="en-AU"/>
        </w:rPr>
        <w:t>drone regulation</w:t>
      </w:r>
      <w:r>
        <w:rPr>
          <w:rFonts w:cs="Arial"/>
          <w:szCs w:val="24"/>
          <w:lang w:val="en-AU"/>
        </w:rPr>
        <w:t>,</w:t>
      </w:r>
      <w:r w:rsidRPr="00E3350E">
        <w:rPr>
          <w:rFonts w:cs="Arial"/>
          <w:szCs w:val="24"/>
          <w:lang w:val="en-AU"/>
        </w:rPr>
        <w:t xml:space="preserve"> and safety workshops and seminars.</w:t>
      </w:r>
    </w:p>
    <w:p w14:paraId="6618FE3C" w14:textId="77777777" w:rsidR="00860F8E" w:rsidRPr="00E3350E" w:rsidRDefault="00860F8E" w:rsidP="00860F8E">
      <w:pPr>
        <w:rPr>
          <w:rFonts w:cs="Arial"/>
          <w:szCs w:val="24"/>
          <w:lang w:val="en-AU"/>
        </w:rPr>
      </w:pPr>
      <w:r w:rsidRPr="00E3350E">
        <w:rPr>
          <w:rFonts w:cs="Arial"/>
          <w:szCs w:val="24"/>
          <w:lang w:val="en-AU"/>
        </w:rPr>
        <w:lastRenderedPageBreak/>
        <w:t>We also communicated widely with the aviation community and general public through 338 targeted bulk emails over the year.</w:t>
      </w:r>
    </w:p>
    <w:p w14:paraId="67DE207B" w14:textId="77777777" w:rsidR="00860F8E" w:rsidRPr="00E3350E" w:rsidRDefault="00860F8E" w:rsidP="00860F8E">
      <w:pPr>
        <w:pStyle w:val="Heading3"/>
        <w:rPr>
          <w:lang w:val="en-AU"/>
        </w:rPr>
      </w:pPr>
      <w:r w:rsidRPr="00E3350E">
        <w:rPr>
          <w:i/>
          <w:lang w:val="en-AU"/>
        </w:rPr>
        <w:t>Flight Safety Australia</w:t>
      </w:r>
      <w:r w:rsidRPr="00E3350E">
        <w:rPr>
          <w:lang w:val="en-AU"/>
        </w:rPr>
        <w:t xml:space="preserve"> magazine </w:t>
      </w:r>
    </w:p>
    <w:p w14:paraId="4F9102F9" w14:textId="77777777" w:rsidR="00860F8E" w:rsidRPr="00E3350E" w:rsidRDefault="00860F8E" w:rsidP="00860F8E">
      <w:pPr>
        <w:rPr>
          <w:rFonts w:cs="Arial"/>
          <w:color w:val="000000"/>
          <w:szCs w:val="24"/>
          <w:lang w:val="en-AU"/>
        </w:rPr>
      </w:pPr>
      <w:r w:rsidRPr="00E3350E">
        <w:rPr>
          <w:rFonts w:cs="Arial"/>
          <w:i/>
          <w:iCs/>
          <w:color w:val="000000"/>
          <w:szCs w:val="24"/>
          <w:lang w:val="en-AU"/>
        </w:rPr>
        <w:t>Flight Safety Australia</w:t>
      </w:r>
      <w:r w:rsidRPr="00E3350E">
        <w:rPr>
          <w:rFonts w:cs="Arial"/>
          <w:color w:val="000000"/>
          <w:szCs w:val="24"/>
          <w:lang w:val="en-AU"/>
        </w:rPr>
        <w:t xml:space="preserve"> continued to expand its online presence in 2017–18, leveraging the power of social media to broaden its reach. CASA’s Facebook page continued to be highly effective in promoting the magazine’s comprehensive, credible and informative aviation safety coverage. A</w:t>
      </w:r>
      <w:r>
        <w:rPr>
          <w:rFonts w:cs="Arial"/>
          <w:color w:val="000000"/>
          <w:szCs w:val="24"/>
          <w:lang w:val="en-AU"/>
        </w:rPr>
        <w:t>n improved</w:t>
      </w:r>
      <w:r w:rsidRPr="00E3350E">
        <w:rPr>
          <w:rFonts w:cs="Arial"/>
          <w:color w:val="000000"/>
          <w:szCs w:val="24"/>
          <w:lang w:val="en-AU"/>
        </w:rPr>
        <w:t xml:space="preserve"> app for tablets and smartphones was also released.</w:t>
      </w:r>
    </w:p>
    <w:p w14:paraId="092BE0B4" w14:textId="77777777" w:rsidR="00860F8E" w:rsidRPr="00E3350E" w:rsidRDefault="00860F8E" w:rsidP="00860F8E">
      <w:pPr>
        <w:rPr>
          <w:rFonts w:cs="Calibri"/>
          <w:color w:val="000000"/>
          <w:szCs w:val="24"/>
          <w:lang w:val="en-AU"/>
        </w:rPr>
      </w:pPr>
      <w:r w:rsidRPr="00E3350E">
        <w:rPr>
          <w:rFonts w:cs="Arial"/>
          <w:i/>
          <w:iCs/>
          <w:color w:val="000000"/>
          <w:szCs w:val="24"/>
          <w:lang w:val="en-AU"/>
        </w:rPr>
        <w:t>Flight Safety Australia</w:t>
      </w:r>
      <w:r w:rsidRPr="00E3350E">
        <w:rPr>
          <w:rFonts w:cs="Arial"/>
          <w:color w:val="000000"/>
          <w:szCs w:val="24"/>
          <w:lang w:val="en-AU"/>
        </w:rPr>
        <w:t xml:space="preserve"> lead feature stories covered wide-ranging ‘big picture’ safety topics</w:t>
      </w:r>
      <w:r>
        <w:rPr>
          <w:rFonts w:cs="Arial"/>
          <w:color w:val="000000"/>
          <w:szCs w:val="24"/>
          <w:lang w:val="en-AU"/>
        </w:rPr>
        <w:t>:</w:t>
      </w:r>
      <w:r w:rsidRPr="00E3350E">
        <w:rPr>
          <w:rFonts w:cs="Arial"/>
          <w:color w:val="000000"/>
          <w:szCs w:val="24"/>
          <w:lang w:val="en-AU"/>
        </w:rPr>
        <w:t xml:space="preserve"> </w:t>
      </w:r>
    </w:p>
    <w:p w14:paraId="73580F7C" w14:textId="77777777" w:rsidR="00860F8E" w:rsidRPr="00E3350E" w:rsidRDefault="00860F8E" w:rsidP="00860F8E">
      <w:pPr>
        <w:pStyle w:val="Bullet"/>
        <w:rPr>
          <w:rFonts w:cs="Calibri"/>
          <w:lang w:val="en-AU"/>
        </w:rPr>
      </w:pPr>
      <w:r w:rsidRPr="00E3350E">
        <w:rPr>
          <w:lang w:val="en-AU"/>
        </w:rPr>
        <w:t>‘Getting smart: artificial intelligence and aviation’ looked at the challenges and opportunities that machine learning br</w:t>
      </w:r>
      <w:r>
        <w:rPr>
          <w:lang w:val="en-AU"/>
        </w:rPr>
        <w:t>ings</w:t>
      </w:r>
      <w:r w:rsidRPr="00E3350E">
        <w:rPr>
          <w:lang w:val="en-AU"/>
        </w:rPr>
        <w:t xml:space="preserve"> to aviation safety, particularly in the area of automation.</w:t>
      </w:r>
    </w:p>
    <w:p w14:paraId="14570DCC" w14:textId="77777777" w:rsidR="00860F8E" w:rsidRPr="00E3350E" w:rsidRDefault="00860F8E" w:rsidP="00860F8E">
      <w:pPr>
        <w:pStyle w:val="Bullet"/>
        <w:rPr>
          <w:lang w:val="en-AU"/>
        </w:rPr>
      </w:pPr>
      <w:r w:rsidRPr="00E3350E">
        <w:rPr>
          <w:lang w:val="en-AU"/>
        </w:rPr>
        <w:t>‘Watts happening: behind the buzz about electric aircraft’ analysed recent developments in electric aircraft propulsion, sought expert opinion on the likelihood of electric aircraft, and examined the safety implications of this technology.</w:t>
      </w:r>
    </w:p>
    <w:p w14:paraId="6AB9076D" w14:textId="77777777" w:rsidR="00860F8E" w:rsidRPr="00E3350E" w:rsidRDefault="00860F8E" w:rsidP="00860F8E">
      <w:pPr>
        <w:pStyle w:val="Bullet"/>
        <w:rPr>
          <w:lang w:val="en-AU"/>
        </w:rPr>
      </w:pPr>
      <w:r w:rsidRPr="00E3350E">
        <w:rPr>
          <w:lang w:val="en-AU"/>
        </w:rPr>
        <w:t xml:space="preserve">‘Skyhacked’ evaluated the threat posed by </w:t>
      </w:r>
      <w:r>
        <w:rPr>
          <w:lang w:val="en-AU"/>
        </w:rPr>
        <w:t xml:space="preserve">the </w:t>
      </w:r>
      <w:r w:rsidRPr="00E3350E">
        <w:rPr>
          <w:lang w:val="en-AU"/>
        </w:rPr>
        <w:t>hacking of aviation computer systems, including the possibility of hacking aircraft systems.</w:t>
      </w:r>
    </w:p>
    <w:p w14:paraId="575EC2E7" w14:textId="77777777" w:rsidR="00860F8E" w:rsidRPr="00E3350E" w:rsidRDefault="00860F8E" w:rsidP="00860F8E">
      <w:pPr>
        <w:pStyle w:val="Bullet"/>
        <w:rPr>
          <w:lang w:val="en-AU"/>
        </w:rPr>
      </w:pPr>
      <w:r w:rsidRPr="00E3350E">
        <w:rPr>
          <w:lang w:val="en-AU"/>
        </w:rPr>
        <w:t>‘All in your head’ looked at virtual reality and the future of aviation, with an emphasis on training and simulation</w:t>
      </w:r>
      <w:r>
        <w:rPr>
          <w:lang w:val="en-AU"/>
        </w:rPr>
        <w:t>.</w:t>
      </w:r>
    </w:p>
    <w:p w14:paraId="6967FDBE" w14:textId="77777777" w:rsidR="00860F8E" w:rsidRPr="00E3350E" w:rsidRDefault="00860F8E" w:rsidP="00860F8E">
      <w:pPr>
        <w:pStyle w:val="BulletLast"/>
        <w:rPr>
          <w:lang w:val="en-AU"/>
        </w:rPr>
      </w:pPr>
      <w:r w:rsidRPr="00E3350E">
        <w:rPr>
          <w:lang w:val="en-AU"/>
        </w:rPr>
        <w:t>‘Inside knowledge’ looked at neuroscience and aviation.</w:t>
      </w:r>
    </w:p>
    <w:p w14:paraId="557E5C75" w14:textId="77777777" w:rsidR="00860F8E" w:rsidRPr="00E3350E" w:rsidRDefault="00860F8E" w:rsidP="00860F8E">
      <w:pPr>
        <w:rPr>
          <w:rFonts w:cs="Calibri"/>
          <w:color w:val="000000"/>
          <w:szCs w:val="24"/>
          <w:lang w:val="en-AU"/>
        </w:rPr>
      </w:pPr>
      <w:r w:rsidRPr="00E3350E">
        <w:rPr>
          <w:rFonts w:cs="Arial"/>
          <w:color w:val="000000"/>
          <w:szCs w:val="24"/>
          <w:lang w:val="en-AU"/>
        </w:rPr>
        <w:t xml:space="preserve">Other articles covered an eclectic mix of issues, including drone safety, cabin safety, sleep hygiene, </w:t>
      </w:r>
      <w:r w:rsidR="00DE23F9" w:rsidRPr="00E3350E">
        <w:rPr>
          <w:rFonts w:cs="Arial"/>
          <w:color w:val="000000"/>
          <w:szCs w:val="24"/>
          <w:lang w:val="en-AU"/>
        </w:rPr>
        <w:t>wire strike</w:t>
      </w:r>
      <w:r w:rsidRPr="00E3350E">
        <w:rPr>
          <w:rFonts w:cs="Arial"/>
          <w:color w:val="000000"/>
          <w:szCs w:val="24"/>
          <w:lang w:val="en-AU"/>
        </w:rPr>
        <w:t>, helicopter safety, an almost forgotten collision at Sydney’s Kingsford Smith Airport in 1971, and the Japanese railway practice of ‘point and call’ as a means of cockpit error mitigation.</w:t>
      </w:r>
    </w:p>
    <w:p w14:paraId="6BADC6B3" w14:textId="77777777" w:rsidR="00860F8E" w:rsidRPr="00E3350E" w:rsidRDefault="00860F8E" w:rsidP="00860F8E">
      <w:pPr>
        <w:rPr>
          <w:rFonts w:cs="Arial"/>
          <w:color w:val="000000"/>
          <w:szCs w:val="24"/>
          <w:lang w:val="en-AU"/>
        </w:rPr>
      </w:pPr>
      <w:r w:rsidRPr="00E3350E">
        <w:rPr>
          <w:rFonts w:cs="Arial"/>
          <w:color w:val="000000"/>
          <w:szCs w:val="24"/>
          <w:lang w:val="en-AU"/>
        </w:rPr>
        <w:t>The aviation community had a wider choice of ways to read the magazine: the bi</w:t>
      </w:r>
      <w:r w:rsidR="006974CC">
        <w:rPr>
          <w:rFonts w:cs="Arial"/>
          <w:color w:val="000000"/>
          <w:szCs w:val="24"/>
          <w:lang w:val="en-AU"/>
        </w:rPr>
        <w:noBreakHyphen/>
      </w:r>
      <w:r w:rsidRPr="00E3350E">
        <w:rPr>
          <w:rFonts w:cs="Arial"/>
          <w:color w:val="000000"/>
          <w:szCs w:val="24"/>
          <w:lang w:val="en-AU"/>
        </w:rPr>
        <w:t xml:space="preserve">monthly app for </w:t>
      </w:r>
      <w:r>
        <w:rPr>
          <w:rFonts w:cs="Arial"/>
          <w:color w:val="000000"/>
          <w:szCs w:val="24"/>
          <w:lang w:val="en-AU"/>
        </w:rPr>
        <w:t>t</w:t>
      </w:r>
      <w:r w:rsidRPr="00E3350E">
        <w:rPr>
          <w:rFonts w:cs="Arial"/>
          <w:color w:val="000000"/>
          <w:szCs w:val="24"/>
          <w:lang w:val="en-AU"/>
        </w:rPr>
        <w:t xml:space="preserve">ablets, rich with multimedia (video, audio and interactive infographics); the flightsafetyaustralia.com news site, featuring all the articles from the app magazine as well as daily aviation safety news updates; and a hardcopy collectors’ edition. Following the success of the 2015 and 2016 publications, the </w:t>
      </w:r>
      <w:r w:rsidRPr="00E3350E">
        <w:rPr>
          <w:rFonts w:cs="Arial"/>
          <w:i/>
          <w:iCs/>
          <w:color w:val="000000"/>
          <w:szCs w:val="24"/>
          <w:lang w:val="en-AU"/>
        </w:rPr>
        <w:t>Flight Safety</w:t>
      </w:r>
      <w:r w:rsidRPr="00E3350E">
        <w:rPr>
          <w:rFonts w:cs="Arial"/>
          <w:color w:val="000000"/>
          <w:szCs w:val="24"/>
          <w:lang w:val="en-AU"/>
        </w:rPr>
        <w:t xml:space="preserve"> </w:t>
      </w:r>
      <w:r w:rsidRPr="00E3350E">
        <w:rPr>
          <w:rFonts w:cs="Arial"/>
          <w:i/>
          <w:iCs/>
          <w:color w:val="000000"/>
          <w:szCs w:val="24"/>
          <w:lang w:val="en-AU"/>
        </w:rPr>
        <w:t>Australia 2017 Collectors’ Edition,</w:t>
      </w:r>
      <w:r w:rsidRPr="00E3350E">
        <w:rPr>
          <w:rFonts w:cs="Arial"/>
          <w:color w:val="000000"/>
          <w:szCs w:val="24"/>
          <w:lang w:val="en-AU"/>
        </w:rPr>
        <w:t xml:space="preserve"> a 168-page showcase of the year’s best articles, was published in December 2017.</w:t>
      </w:r>
    </w:p>
    <w:p w14:paraId="04ACA4D6" w14:textId="77777777" w:rsidR="00860F8E" w:rsidRPr="00E3350E" w:rsidRDefault="00860F8E" w:rsidP="00860F8E">
      <w:pPr>
        <w:rPr>
          <w:rFonts w:cs="Arial"/>
          <w:color w:val="000000"/>
          <w:szCs w:val="24"/>
          <w:lang w:val="en-AU"/>
        </w:rPr>
      </w:pPr>
      <w:r w:rsidRPr="00E3350E">
        <w:rPr>
          <w:rFonts w:cs="Arial"/>
          <w:color w:val="000000"/>
          <w:szCs w:val="24"/>
          <w:lang w:val="en-AU"/>
        </w:rPr>
        <w:t>The audio versions of the popular stories about ‘close calls’ continued to grow in popularity as users discovered the benefit of audio in bringing the close calls to life.</w:t>
      </w:r>
    </w:p>
    <w:p w14:paraId="6E3C571E" w14:textId="77777777" w:rsidR="00860F8E" w:rsidRPr="00E3350E" w:rsidRDefault="00860F8E" w:rsidP="00860F8E">
      <w:pPr>
        <w:pStyle w:val="Heading2noTOC"/>
        <w:rPr>
          <w:lang w:val="en-AU"/>
        </w:rPr>
      </w:pPr>
      <w:r w:rsidRPr="00E3350E">
        <w:rPr>
          <w:lang w:val="en-AU"/>
        </w:rPr>
        <w:t>Industry engagement</w:t>
      </w:r>
    </w:p>
    <w:p w14:paraId="1BE70EA4" w14:textId="77777777" w:rsidR="00860F8E" w:rsidRPr="00E3350E" w:rsidRDefault="00860F8E" w:rsidP="00860F8E">
      <w:pPr>
        <w:rPr>
          <w:lang w:val="en-AU"/>
        </w:rPr>
      </w:pPr>
      <w:r w:rsidRPr="00E3350E">
        <w:rPr>
          <w:lang w:val="en-AU"/>
        </w:rPr>
        <w:t>CASA’s ability to develop and enforce appropriate safety standards relies on effective engagement with the aviation industry. CASA participates in consultative forums and supports specialist expert panels to facilitate industry engagement.</w:t>
      </w:r>
    </w:p>
    <w:p w14:paraId="0A295D0F" w14:textId="77777777" w:rsidR="00860F8E" w:rsidRPr="00794E7B" w:rsidRDefault="00860F8E" w:rsidP="00860F8E">
      <w:r w:rsidRPr="00794E7B">
        <w:t>All proposed regulatory changes and related consultation documents for 2017–18 are published on the CASA website and can be accessed at www.casa.gov.au/newrules.</w:t>
      </w:r>
    </w:p>
    <w:p w14:paraId="6FE3B3C1" w14:textId="77777777" w:rsidR="00860F8E" w:rsidRPr="00E3350E" w:rsidRDefault="00860F8E" w:rsidP="00860F8E">
      <w:pPr>
        <w:pStyle w:val="Heading3"/>
        <w:rPr>
          <w:lang w:val="en-AU"/>
        </w:rPr>
      </w:pPr>
      <w:r w:rsidRPr="00E3350E">
        <w:rPr>
          <w:lang w:val="en-AU"/>
        </w:rPr>
        <w:lastRenderedPageBreak/>
        <w:t>Aviation Safety Advisory Panel</w:t>
      </w:r>
    </w:p>
    <w:p w14:paraId="0D73F2DF" w14:textId="77777777" w:rsidR="00860F8E" w:rsidRPr="00E3350E" w:rsidRDefault="00860F8E" w:rsidP="00860F8E">
      <w:pPr>
        <w:rPr>
          <w:lang w:val="en-AU"/>
        </w:rPr>
      </w:pPr>
      <w:r w:rsidRPr="00E3350E">
        <w:rPr>
          <w:lang w:val="en-AU"/>
        </w:rPr>
        <w:t xml:space="preserve">Following a review of CASA’s engagement forums and consultation mechanisms in 2016–17, a new engagement framework was introduced on 1 July 2017 to replace the functions of the various consultative committees and advisory groups. </w:t>
      </w:r>
    </w:p>
    <w:p w14:paraId="3438FCF3" w14:textId="77777777" w:rsidR="00794E7B" w:rsidRPr="00E3350E" w:rsidRDefault="00794E7B" w:rsidP="00794E7B">
      <w:pPr>
        <w:rPr>
          <w:rFonts w:cs="Arial"/>
          <w:szCs w:val="24"/>
          <w:lang w:val="en-AU"/>
        </w:rPr>
      </w:pPr>
      <w:r w:rsidRPr="00E3350E">
        <w:rPr>
          <w:rFonts w:cs="Arial"/>
          <w:szCs w:val="24"/>
          <w:lang w:val="en-AU"/>
        </w:rPr>
        <w:t xml:space="preserve">The changes streamline consultation and ensure that the aviation community is directly involved in the early setting of safety and regulatory objectives and policies. </w:t>
      </w:r>
    </w:p>
    <w:p w14:paraId="094CC900" w14:textId="77777777" w:rsidR="00860F8E" w:rsidRPr="00E3350E" w:rsidRDefault="00860F8E" w:rsidP="00860F8E">
      <w:pPr>
        <w:rPr>
          <w:rFonts w:cs="Arial"/>
          <w:szCs w:val="24"/>
          <w:lang w:val="en-AU"/>
        </w:rPr>
      </w:pPr>
      <w:r w:rsidRPr="00E3350E">
        <w:rPr>
          <w:rFonts w:cs="Arial"/>
          <w:szCs w:val="24"/>
          <w:lang w:val="en-AU"/>
        </w:rPr>
        <w:t>The Aviation Safety Advisory Panel</w:t>
      </w:r>
      <w:r>
        <w:rPr>
          <w:rFonts w:cs="Arial"/>
          <w:szCs w:val="24"/>
          <w:lang w:val="en-AU"/>
        </w:rPr>
        <w:t xml:space="preserve"> (ASAP)</w:t>
      </w:r>
      <w:r w:rsidRPr="00E3350E">
        <w:rPr>
          <w:rFonts w:cs="Arial"/>
          <w:szCs w:val="24"/>
          <w:lang w:val="en-AU"/>
        </w:rPr>
        <w:t xml:space="preserve"> provides CASA with objective, high-level advice from the aviation community on issues with significant implications for aviation safety and the way CASA performs its functions. </w:t>
      </w:r>
    </w:p>
    <w:p w14:paraId="61C7CCDB" w14:textId="77777777" w:rsidR="00860F8E" w:rsidRDefault="00E24851" w:rsidP="00860F8E">
      <w:pPr>
        <w:rPr>
          <w:rFonts w:cs="Arial"/>
          <w:szCs w:val="24"/>
          <w:lang w:val="en-AU"/>
        </w:rPr>
      </w:pPr>
      <w:r>
        <w:rPr>
          <w:rFonts w:cs="Arial"/>
          <w:szCs w:val="24"/>
          <w:lang w:val="en-AU"/>
        </w:rPr>
        <w:t xml:space="preserve">The </w:t>
      </w:r>
      <w:r w:rsidR="00860F8E">
        <w:rPr>
          <w:rFonts w:cs="Arial"/>
          <w:szCs w:val="24"/>
          <w:lang w:val="en-AU"/>
        </w:rPr>
        <w:t>ASAP</w:t>
      </w:r>
      <w:r w:rsidR="00860F8E" w:rsidRPr="00E3350E">
        <w:rPr>
          <w:rFonts w:cs="Arial"/>
          <w:szCs w:val="24"/>
          <w:lang w:val="en-AU"/>
        </w:rPr>
        <w:t xml:space="preserve"> is the primary advisory body through which CASA will direct its engagement with industry and seek input on current and future regulatory and associated policy approaches. </w:t>
      </w:r>
      <w:r w:rsidR="00C71BA2">
        <w:rPr>
          <w:rFonts w:cs="Arial"/>
          <w:szCs w:val="24"/>
          <w:lang w:val="en-AU"/>
        </w:rPr>
        <w:t>Its work is</w:t>
      </w:r>
      <w:r w:rsidR="00C71BA2" w:rsidRPr="00E3350E">
        <w:rPr>
          <w:rFonts w:cs="Arial"/>
          <w:szCs w:val="24"/>
          <w:lang w:val="en-AU"/>
        </w:rPr>
        <w:t xml:space="preserve"> supported by technical advisory committees and technical working groups</w:t>
      </w:r>
    </w:p>
    <w:p w14:paraId="490ACED1" w14:textId="77777777" w:rsidR="00860F8E" w:rsidRPr="00E3350E" w:rsidRDefault="00860F8E" w:rsidP="00860F8E">
      <w:pPr>
        <w:rPr>
          <w:b/>
          <w:szCs w:val="24"/>
          <w:lang w:val="en-AU"/>
        </w:rPr>
      </w:pPr>
      <w:r>
        <w:rPr>
          <w:rFonts w:eastAsia="Times New Roman"/>
          <w:lang w:val="en" w:eastAsia="en-AU"/>
        </w:rPr>
        <w:t xml:space="preserve">Honorary </w:t>
      </w:r>
      <w:r w:rsidRPr="00B0290C">
        <w:rPr>
          <w:rFonts w:eastAsia="Times New Roman"/>
          <w:lang w:val="en" w:eastAsia="en-AU"/>
        </w:rPr>
        <w:t>Professor Pat</w:t>
      </w:r>
      <w:r>
        <w:rPr>
          <w:rFonts w:eastAsia="Times New Roman"/>
          <w:lang w:val="en" w:eastAsia="en-AU"/>
        </w:rPr>
        <w:t>rick</w:t>
      </w:r>
      <w:r w:rsidRPr="00B0290C">
        <w:rPr>
          <w:rFonts w:eastAsia="Times New Roman"/>
          <w:lang w:val="en" w:eastAsia="en-AU"/>
        </w:rPr>
        <w:t xml:space="preserve"> Murray, </w:t>
      </w:r>
      <w:r>
        <w:rPr>
          <w:rFonts w:eastAsia="Times New Roman"/>
          <w:lang w:val="en" w:eastAsia="en-AU"/>
        </w:rPr>
        <w:t xml:space="preserve">University of Southern Queensland, was appointed the inaugural </w:t>
      </w:r>
      <w:r w:rsidRPr="00B0290C">
        <w:rPr>
          <w:rFonts w:eastAsia="Times New Roman"/>
          <w:lang w:val="en" w:eastAsia="en-AU"/>
        </w:rPr>
        <w:t>independent Chair of the ASAP.</w:t>
      </w:r>
      <w:r>
        <w:rPr>
          <w:rFonts w:eastAsia="Times New Roman"/>
          <w:lang w:val="en" w:eastAsia="en-AU"/>
        </w:rPr>
        <w:t xml:space="preserve"> </w:t>
      </w:r>
      <w:r w:rsidR="00C71BA2">
        <w:rPr>
          <w:rFonts w:eastAsia="Times New Roman"/>
          <w:lang w:val="en" w:eastAsia="en-AU"/>
        </w:rPr>
        <w:t xml:space="preserve">Current membership </w:t>
      </w:r>
      <w:r w:rsidR="00E24851">
        <w:rPr>
          <w:rFonts w:eastAsia="Times New Roman"/>
          <w:lang w:val="en" w:eastAsia="en-AU"/>
        </w:rPr>
        <w:t>compris</w:t>
      </w:r>
      <w:r w:rsidR="00C71BA2">
        <w:rPr>
          <w:rFonts w:eastAsia="Times New Roman"/>
          <w:lang w:val="en" w:eastAsia="en-AU"/>
        </w:rPr>
        <w:t>es</w:t>
      </w:r>
      <w:r w:rsidRPr="00E3350E">
        <w:rPr>
          <w:rFonts w:cs="Arial"/>
          <w:szCs w:val="24"/>
          <w:lang w:val="en-AU"/>
        </w:rPr>
        <w:t xml:space="preserve"> six industry </w:t>
      </w:r>
      <w:r w:rsidR="00C71BA2">
        <w:rPr>
          <w:rFonts w:cs="Arial"/>
          <w:szCs w:val="24"/>
          <w:lang w:val="en-AU"/>
        </w:rPr>
        <w:t>representatives and two CASA executives.</w:t>
      </w:r>
      <w:r w:rsidR="00C71BA2" w:rsidRPr="00E3350E">
        <w:rPr>
          <w:rFonts w:cs="Arial"/>
          <w:szCs w:val="24"/>
          <w:lang w:val="en-AU"/>
        </w:rPr>
        <w:t xml:space="preserve"> </w:t>
      </w:r>
      <w:r w:rsidRPr="00E3350E">
        <w:rPr>
          <w:rFonts w:cs="Calibri"/>
          <w:szCs w:val="24"/>
          <w:lang w:val="en-AU"/>
        </w:rPr>
        <w:t xml:space="preserve">The panel met three times during </w:t>
      </w:r>
      <w:r>
        <w:rPr>
          <w:rFonts w:cs="Calibri"/>
          <w:szCs w:val="24"/>
          <w:lang w:val="en-AU"/>
        </w:rPr>
        <w:t>2017–18</w:t>
      </w:r>
      <w:r w:rsidRPr="00E3350E">
        <w:rPr>
          <w:rFonts w:cs="Calibri"/>
          <w:szCs w:val="24"/>
          <w:lang w:val="en-AU"/>
        </w:rPr>
        <w:t xml:space="preserve">. </w:t>
      </w:r>
    </w:p>
    <w:p w14:paraId="3EACF8EC" w14:textId="77777777" w:rsidR="00860F8E" w:rsidRPr="00E3350E" w:rsidRDefault="00860F8E" w:rsidP="00860F8E">
      <w:pPr>
        <w:pStyle w:val="Heading3"/>
        <w:rPr>
          <w:lang w:val="en-AU"/>
        </w:rPr>
      </w:pPr>
      <w:r w:rsidRPr="00E3350E">
        <w:rPr>
          <w:lang w:val="en-AU"/>
        </w:rPr>
        <w:t xml:space="preserve">Regional Airspace and Procedures Advisory Committees </w:t>
      </w:r>
    </w:p>
    <w:p w14:paraId="0CD65D24" w14:textId="77777777" w:rsidR="00860F8E" w:rsidRPr="00E3350E" w:rsidRDefault="00860F8E" w:rsidP="00860F8E">
      <w:pPr>
        <w:autoSpaceDE w:val="0"/>
        <w:autoSpaceDN w:val="0"/>
        <w:rPr>
          <w:rFonts w:cs="Arial"/>
          <w:szCs w:val="24"/>
          <w:lang w:val="en-AU"/>
        </w:rPr>
      </w:pPr>
      <w:r w:rsidRPr="00E3350E">
        <w:rPr>
          <w:rFonts w:cs="Arial"/>
          <w:szCs w:val="24"/>
          <w:lang w:val="en-AU"/>
        </w:rPr>
        <w:t xml:space="preserve">Meetings of Regional Airspace and Procedures Advisory Committees are primarily state-based forums for </w:t>
      </w:r>
      <w:r>
        <w:rPr>
          <w:rFonts w:cs="Arial"/>
          <w:szCs w:val="24"/>
          <w:lang w:val="en-AU"/>
        </w:rPr>
        <w:t xml:space="preserve">the </w:t>
      </w:r>
      <w:r w:rsidRPr="00E3350E">
        <w:rPr>
          <w:rFonts w:cs="Arial"/>
          <w:szCs w:val="24"/>
          <w:lang w:val="en-AU"/>
        </w:rPr>
        <w:t>discussion of matters relating to airspace and related procedures in Australia.</w:t>
      </w:r>
    </w:p>
    <w:p w14:paraId="16BFD4AB" w14:textId="77777777" w:rsidR="00860F8E" w:rsidRPr="00E3350E" w:rsidRDefault="00860F8E" w:rsidP="00860F8E">
      <w:pPr>
        <w:autoSpaceDE w:val="0"/>
        <w:autoSpaceDN w:val="0"/>
        <w:rPr>
          <w:rFonts w:cs="Arial"/>
          <w:szCs w:val="24"/>
          <w:lang w:val="en-AU"/>
        </w:rPr>
      </w:pPr>
      <w:r w:rsidRPr="00E3350E">
        <w:rPr>
          <w:rFonts w:cs="Arial"/>
          <w:szCs w:val="24"/>
          <w:lang w:val="en-AU"/>
        </w:rPr>
        <w:t>Membership is open to all significant airspace users, either independently or through their major industry associations and organisations.</w:t>
      </w:r>
    </w:p>
    <w:p w14:paraId="584E6C80" w14:textId="77777777" w:rsidR="00860F8E" w:rsidRPr="00E3350E" w:rsidRDefault="00860F8E" w:rsidP="00860F8E">
      <w:pPr>
        <w:rPr>
          <w:szCs w:val="24"/>
          <w:lang w:val="en-AU" w:eastAsia="en-AU"/>
        </w:rPr>
      </w:pPr>
      <w:r w:rsidRPr="00E3350E">
        <w:rPr>
          <w:rFonts w:cs="Arial"/>
          <w:szCs w:val="24"/>
          <w:lang w:val="en-AU"/>
        </w:rPr>
        <w:t xml:space="preserve">In 2017–18, 24 committee meetings were held in 12 </w:t>
      </w:r>
      <w:r>
        <w:rPr>
          <w:rFonts w:cs="Arial"/>
          <w:szCs w:val="24"/>
          <w:lang w:val="en-AU"/>
        </w:rPr>
        <w:t>locations</w:t>
      </w:r>
      <w:r w:rsidRPr="00E3350E">
        <w:rPr>
          <w:rFonts w:cs="Arial"/>
          <w:szCs w:val="24"/>
          <w:lang w:val="en-AU"/>
        </w:rPr>
        <w:t xml:space="preserve"> around Australia</w:t>
      </w:r>
      <w:r>
        <w:rPr>
          <w:rFonts w:cs="Arial"/>
          <w:szCs w:val="24"/>
          <w:lang w:val="en-AU"/>
        </w:rPr>
        <w:t xml:space="preserve">: </w:t>
      </w:r>
      <w:r w:rsidRPr="00E3350E">
        <w:rPr>
          <w:rFonts w:cs="Arial"/>
          <w:szCs w:val="24"/>
          <w:lang w:val="en-AU"/>
        </w:rPr>
        <w:t>Adelaide, Brisbane, Broome, Cairns, Canberra, Darwin, Hobart, Kununurra, Melbourne, Perth, Rockhampton and Sydney.</w:t>
      </w:r>
    </w:p>
    <w:p w14:paraId="53A5562C" w14:textId="77777777" w:rsidR="00860F8E" w:rsidRPr="00E3350E" w:rsidRDefault="00860F8E" w:rsidP="00860F8E">
      <w:pPr>
        <w:pStyle w:val="Heading3"/>
        <w:rPr>
          <w:lang w:val="en-AU"/>
        </w:rPr>
      </w:pPr>
      <w:r w:rsidRPr="00E3350E">
        <w:rPr>
          <w:lang w:val="en-AU"/>
        </w:rPr>
        <w:t>Sport Aviation Safety Forum</w:t>
      </w:r>
    </w:p>
    <w:p w14:paraId="08E7B080" w14:textId="77777777" w:rsidR="00860F8E" w:rsidRPr="00E3350E" w:rsidRDefault="00860F8E" w:rsidP="00860F8E">
      <w:pPr>
        <w:rPr>
          <w:rFonts w:cs="Calibri"/>
          <w:lang w:val="en-AU"/>
        </w:rPr>
      </w:pPr>
      <w:r w:rsidRPr="00E3350E">
        <w:rPr>
          <w:rFonts w:cs="Calibri"/>
          <w:lang w:val="en-AU"/>
        </w:rPr>
        <w:t xml:space="preserve">The Sport Aviation Safety Forum facilitates communication and consultation between CASA and the sport and recreational aviation sector. </w:t>
      </w:r>
      <w:r>
        <w:rPr>
          <w:rFonts w:cs="Calibri"/>
          <w:lang w:val="en-AU"/>
        </w:rPr>
        <w:t>Usually</w:t>
      </w:r>
      <w:r w:rsidRPr="00E3350E">
        <w:rPr>
          <w:rFonts w:cs="Calibri"/>
          <w:lang w:val="en-AU"/>
        </w:rPr>
        <w:t xml:space="preserve"> held in June, the forum brings all the recreational aviation administration organisations (RAAOs) together as a group and provides a single communication point for a range of issues pertinent to the safety of sport aviation operations in Australia.</w:t>
      </w:r>
    </w:p>
    <w:p w14:paraId="3B6AE229" w14:textId="77777777" w:rsidR="00860F8E" w:rsidRPr="00E3350E" w:rsidRDefault="00860F8E" w:rsidP="00860F8E">
      <w:pPr>
        <w:rPr>
          <w:lang w:val="en-AU"/>
        </w:rPr>
      </w:pPr>
      <w:r w:rsidRPr="00E3350E">
        <w:rPr>
          <w:rFonts w:cs="Calibri"/>
          <w:lang w:val="en-AU"/>
        </w:rPr>
        <w:t>The annual forum meeting is an opportunity for RAAOs to discuss ways to improve the oversight of sport and recreational aviation, share information and establish benchmarks. This two-day event is also a unique opportunity for CASA to significantly enhance key relationships with RAAO stakeholders, participate in consultative discussions, and honestly and openly address any RAAO concerns</w:t>
      </w:r>
      <w:r w:rsidRPr="00E3350E">
        <w:rPr>
          <w:lang w:val="en-AU"/>
        </w:rPr>
        <w:t>.</w:t>
      </w:r>
    </w:p>
    <w:p w14:paraId="0E731990" w14:textId="77777777" w:rsidR="00860F8E" w:rsidRPr="00E3350E" w:rsidRDefault="00860F8E" w:rsidP="00860F8E">
      <w:pPr>
        <w:rPr>
          <w:lang w:val="en-AU"/>
        </w:rPr>
      </w:pPr>
      <w:r w:rsidRPr="00E3350E">
        <w:rPr>
          <w:rFonts w:cs="Calibri"/>
          <w:lang w:val="en-AU"/>
        </w:rPr>
        <w:t>The 10th annual Sport Aviation Safety Forum was held in June 2018 in Melbourne. The 47 participants considered a wide range of topics, including the Civil Aviation Safety Regulations Part 149 transition</w:t>
      </w:r>
      <w:r>
        <w:rPr>
          <w:rFonts w:cs="Calibri"/>
          <w:lang w:val="en-AU"/>
        </w:rPr>
        <w:t>,</w:t>
      </w:r>
      <w:r w:rsidRPr="00E3350E">
        <w:rPr>
          <w:rFonts w:cs="Calibri"/>
          <w:lang w:val="en-AU"/>
        </w:rPr>
        <w:t xml:space="preserve"> an ATSB presentation, and a number of presentations from the other participating organisations. </w:t>
      </w:r>
      <w:r w:rsidR="00436F3D">
        <w:rPr>
          <w:rFonts w:cs="Calibri"/>
          <w:lang w:val="en-AU"/>
        </w:rPr>
        <w:t>Senior CASA representatives – t</w:t>
      </w:r>
      <w:r w:rsidRPr="00E3350E">
        <w:rPr>
          <w:rFonts w:cs="Calibri"/>
          <w:lang w:val="en-AU"/>
        </w:rPr>
        <w:t xml:space="preserve">he acting CEO/DAS, </w:t>
      </w:r>
      <w:r>
        <w:rPr>
          <w:rFonts w:cs="Calibri"/>
          <w:lang w:val="en-AU"/>
        </w:rPr>
        <w:t>the Executive</w:t>
      </w:r>
      <w:r w:rsidRPr="00E3350E">
        <w:rPr>
          <w:rFonts w:cs="Calibri"/>
          <w:lang w:val="en-AU"/>
        </w:rPr>
        <w:t xml:space="preserve"> Manager</w:t>
      </w:r>
      <w:r w:rsidR="00436F3D">
        <w:rPr>
          <w:rFonts w:cs="Calibri"/>
          <w:lang w:val="en-AU"/>
        </w:rPr>
        <w:t>,</w:t>
      </w:r>
      <w:r w:rsidRPr="00E3350E">
        <w:rPr>
          <w:rFonts w:cs="Calibri"/>
          <w:lang w:val="en-AU"/>
        </w:rPr>
        <w:t xml:space="preserve"> Stakeholder Engagement </w:t>
      </w:r>
      <w:r>
        <w:rPr>
          <w:rFonts w:cs="Calibri"/>
          <w:lang w:val="en-AU"/>
        </w:rPr>
        <w:t>Division</w:t>
      </w:r>
      <w:r w:rsidRPr="00E3350E">
        <w:rPr>
          <w:rFonts w:cs="Calibri"/>
          <w:lang w:val="en-AU"/>
        </w:rPr>
        <w:t xml:space="preserve">, </w:t>
      </w:r>
      <w:r>
        <w:rPr>
          <w:rFonts w:cs="Calibri"/>
          <w:lang w:val="en-AU"/>
        </w:rPr>
        <w:t xml:space="preserve">the </w:t>
      </w:r>
      <w:r w:rsidRPr="00E3350E">
        <w:rPr>
          <w:rFonts w:cs="Calibri"/>
          <w:lang w:val="en-AU"/>
        </w:rPr>
        <w:t xml:space="preserve">Manager </w:t>
      </w:r>
      <w:r w:rsidRPr="00E3350E">
        <w:rPr>
          <w:rFonts w:cs="Calibri"/>
          <w:lang w:val="en-AU"/>
        </w:rPr>
        <w:lastRenderedPageBreak/>
        <w:t>General, Recreational and Sport Aviation Branch</w:t>
      </w:r>
      <w:r>
        <w:rPr>
          <w:rFonts w:cs="Calibri"/>
          <w:lang w:val="en-AU"/>
        </w:rPr>
        <w:t>,</w:t>
      </w:r>
      <w:r w:rsidRPr="00E3350E">
        <w:rPr>
          <w:rFonts w:cs="Calibri"/>
          <w:lang w:val="en-AU"/>
        </w:rPr>
        <w:t xml:space="preserve"> and </w:t>
      </w:r>
      <w:r>
        <w:rPr>
          <w:rFonts w:cs="Calibri"/>
          <w:lang w:val="en-AU"/>
        </w:rPr>
        <w:t xml:space="preserve">the </w:t>
      </w:r>
      <w:r w:rsidRPr="00E3350E">
        <w:rPr>
          <w:rFonts w:cs="Calibri"/>
          <w:lang w:val="en-AU"/>
        </w:rPr>
        <w:t xml:space="preserve">Manager National Operations </w:t>
      </w:r>
      <w:r w:rsidR="00436F3D">
        <w:rPr>
          <w:rFonts w:cs="Calibri"/>
          <w:lang w:val="en-AU"/>
        </w:rPr>
        <w:t xml:space="preserve">– </w:t>
      </w:r>
      <w:r w:rsidRPr="00E3350E">
        <w:rPr>
          <w:rFonts w:cs="Calibri"/>
          <w:lang w:val="en-AU"/>
        </w:rPr>
        <w:t>participated in a question and answer session, providing a unique opportunity for RAAOs at the forum to make contact with CASA specifically on sport and recreational aviation matters.</w:t>
      </w:r>
    </w:p>
    <w:p w14:paraId="70A8548B" w14:textId="77777777" w:rsidR="00860F8E" w:rsidRPr="00E3350E" w:rsidRDefault="00860F8E" w:rsidP="00860F8E">
      <w:pPr>
        <w:pStyle w:val="Heading3"/>
        <w:rPr>
          <w:lang w:val="en-AU"/>
        </w:rPr>
      </w:pPr>
      <w:r w:rsidRPr="00E3350E">
        <w:rPr>
          <w:lang w:val="en-AU"/>
        </w:rPr>
        <w:t>Australian Strategic Air Traffic Management Group</w:t>
      </w:r>
    </w:p>
    <w:p w14:paraId="04C05149" w14:textId="77777777" w:rsidR="00860F8E" w:rsidRPr="00E3350E" w:rsidRDefault="00860F8E" w:rsidP="00860F8E">
      <w:pPr>
        <w:autoSpaceDE w:val="0"/>
        <w:autoSpaceDN w:val="0"/>
        <w:adjustRightInd w:val="0"/>
        <w:rPr>
          <w:rFonts w:cs="Calibri"/>
          <w:lang w:val="en-AU"/>
        </w:rPr>
      </w:pPr>
      <w:r>
        <w:rPr>
          <w:rFonts w:cs="Calibri"/>
          <w:lang w:val="en-AU"/>
        </w:rPr>
        <w:t>The Australian Strategic Air Traffic Management Group (</w:t>
      </w:r>
      <w:r w:rsidRPr="00E3350E">
        <w:rPr>
          <w:rFonts w:cs="Calibri"/>
          <w:lang w:val="en-AU"/>
        </w:rPr>
        <w:t>ASTRA</w:t>
      </w:r>
      <w:r>
        <w:rPr>
          <w:rFonts w:cs="Calibri"/>
          <w:lang w:val="en-AU"/>
        </w:rPr>
        <w:t>)</w:t>
      </w:r>
      <w:r w:rsidRPr="00E3350E">
        <w:rPr>
          <w:rFonts w:cs="Calibri"/>
          <w:lang w:val="en-AU"/>
        </w:rPr>
        <w:t xml:space="preserve"> is a key industry advisory body on strategic airspace and air traffic management issues for Australia. As such, it is an important source of industry advice to government on air traffic management issues. </w:t>
      </w:r>
    </w:p>
    <w:p w14:paraId="60FB0980" w14:textId="77777777" w:rsidR="00860F8E" w:rsidRDefault="00860F8E" w:rsidP="00860F8E">
      <w:pPr>
        <w:pStyle w:val="BulletIntro"/>
      </w:pPr>
      <w:r w:rsidRPr="00E3350E">
        <w:t>ASTRA brings together all the industry stakeholders, including aircraft operators, airports and service providers, to provide an industry-wide representative forum t</w:t>
      </w:r>
      <w:r>
        <w:t>hat:</w:t>
      </w:r>
    </w:p>
    <w:p w14:paraId="19A8653E" w14:textId="77777777" w:rsidR="00860F8E" w:rsidRDefault="00860F8E" w:rsidP="00860F8E">
      <w:pPr>
        <w:pStyle w:val="Bullet"/>
        <w:rPr>
          <w:lang w:val="en-AU"/>
        </w:rPr>
      </w:pPr>
      <w:r w:rsidRPr="00E3350E">
        <w:rPr>
          <w:lang w:val="en-AU"/>
        </w:rPr>
        <w:t>develop</w:t>
      </w:r>
      <w:r>
        <w:rPr>
          <w:lang w:val="en-AU"/>
        </w:rPr>
        <w:t>s</w:t>
      </w:r>
      <w:r w:rsidRPr="00E3350E">
        <w:rPr>
          <w:lang w:val="en-AU"/>
        </w:rPr>
        <w:t xml:space="preserve"> the industry position on air traffic management matters, including communications, navigation and surveillance, as the basis for strategic advice to government</w:t>
      </w:r>
    </w:p>
    <w:p w14:paraId="6C40CB05" w14:textId="77777777" w:rsidR="00860F8E" w:rsidRDefault="00860F8E" w:rsidP="00860F8E">
      <w:pPr>
        <w:pStyle w:val="BulletLast"/>
        <w:rPr>
          <w:lang w:val="en-AU"/>
        </w:rPr>
      </w:pPr>
      <w:r w:rsidRPr="00E3350E">
        <w:rPr>
          <w:lang w:val="en-AU"/>
        </w:rPr>
        <w:t>coordinate</w:t>
      </w:r>
      <w:r>
        <w:rPr>
          <w:lang w:val="en-AU"/>
        </w:rPr>
        <w:t>s</w:t>
      </w:r>
      <w:r w:rsidRPr="00E3350E">
        <w:rPr>
          <w:lang w:val="en-AU"/>
        </w:rPr>
        <w:t xml:space="preserve"> agreed integrated air traffic management planning, development and implementation efforts by all relevant stakeholders.</w:t>
      </w:r>
    </w:p>
    <w:p w14:paraId="0CB9744F" w14:textId="77777777" w:rsidR="00860F8E" w:rsidRDefault="00860F8E" w:rsidP="00860F8E">
      <w:pPr>
        <w:rPr>
          <w:lang w:val="en-AU"/>
        </w:rPr>
      </w:pPr>
      <w:r>
        <w:rPr>
          <w:lang w:val="en-AU"/>
        </w:rPr>
        <w:t>CASA has a standing invitation to attend meetings of the ASTRA Council, as a permanent observer, and was represented at three meetings in 2017–18.</w:t>
      </w:r>
    </w:p>
    <w:p w14:paraId="41AFA6FB" w14:textId="77777777" w:rsidR="00860F8E" w:rsidRPr="00E3350E" w:rsidRDefault="00860F8E" w:rsidP="00860F8E">
      <w:pPr>
        <w:pStyle w:val="Heading3"/>
        <w:rPr>
          <w:lang w:val="en-AU"/>
        </w:rPr>
      </w:pPr>
      <w:bookmarkStart w:id="92" w:name="_Hlk522886054"/>
      <w:r w:rsidRPr="00E3350E">
        <w:rPr>
          <w:lang w:val="en-AU"/>
        </w:rPr>
        <w:t>Flying Training Panel</w:t>
      </w:r>
    </w:p>
    <w:p w14:paraId="0AA5D270" w14:textId="77777777" w:rsidR="00860F8E" w:rsidRPr="00E3350E" w:rsidRDefault="00860F8E" w:rsidP="00860F8E">
      <w:pPr>
        <w:rPr>
          <w:lang w:val="en-AU"/>
        </w:rPr>
      </w:pPr>
      <w:r>
        <w:rPr>
          <w:rFonts w:cs="Calibri"/>
          <w:color w:val="000000"/>
          <w:lang w:val="en-AU"/>
        </w:rPr>
        <w:t xml:space="preserve">Following </w:t>
      </w:r>
      <w:r w:rsidRPr="00E3350E">
        <w:rPr>
          <w:rFonts w:cs="Calibri"/>
          <w:color w:val="000000"/>
          <w:lang w:val="en-AU"/>
        </w:rPr>
        <w:t xml:space="preserve">the introduction of the ASAP in July 2017, CASA made the decision to close the Flying Training Panel in March 2018. The work </w:t>
      </w:r>
      <w:r>
        <w:rPr>
          <w:rFonts w:cs="Calibri"/>
          <w:color w:val="000000"/>
          <w:lang w:val="en-AU"/>
        </w:rPr>
        <w:t xml:space="preserve">previously </w:t>
      </w:r>
      <w:r w:rsidRPr="00E3350E">
        <w:rPr>
          <w:rFonts w:cs="Calibri"/>
          <w:color w:val="000000"/>
          <w:lang w:val="en-AU"/>
        </w:rPr>
        <w:t xml:space="preserve">undertaken by the panel has been </w:t>
      </w:r>
      <w:r>
        <w:rPr>
          <w:rFonts w:cs="Calibri"/>
          <w:color w:val="000000"/>
          <w:lang w:val="en-AU"/>
        </w:rPr>
        <w:t>diverted to</w:t>
      </w:r>
      <w:r w:rsidRPr="00E3350E">
        <w:rPr>
          <w:rFonts w:cs="Calibri"/>
          <w:color w:val="000000"/>
          <w:lang w:val="en-AU"/>
        </w:rPr>
        <w:t xml:space="preserve"> an industry flight examiner group</w:t>
      </w:r>
      <w:r>
        <w:rPr>
          <w:rFonts w:cs="Calibri"/>
          <w:color w:val="000000"/>
          <w:lang w:val="en-AU"/>
        </w:rPr>
        <w:t>,</w:t>
      </w:r>
      <w:r w:rsidRPr="00E3350E">
        <w:rPr>
          <w:rFonts w:cs="Calibri"/>
          <w:color w:val="000000"/>
          <w:lang w:val="en-AU"/>
        </w:rPr>
        <w:t xml:space="preserve"> which aims to focus on the continuous improvement of flight examiner safety related outcomes.</w:t>
      </w:r>
    </w:p>
    <w:bookmarkEnd w:id="92"/>
    <w:p w14:paraId="1686D1B4" w14:textId="77777777" w:rsidR="00860F8E" w:rsidRPr="00E3350E" w:rsidRDefault="00860F8E" w:rsidP="00860F8E">
      <w:pPr>
        <w:pStyle w:val="Heading2"/>
        <w:rPr>
          <w:lang w:val="en-AU"/>
        </w:rPr>
      </w:pPr>
      <w:r w:rsidRPr="00E3350E">
        <w:rPr>
          <w:lang w:val="en-AU"/>
        </w:rPr>
        <w:t>Intragovernmental engagement</w:t>
      </w:r>
    </w:p>
    <w:p w14:paraId="4D27B703" w14:textId="77777777" w:rsidR="00860F8E" w:rsidRPr="00E3350E" w:rsidRDefault="00860F8E" w:rsidP="00860F8E">
      <w:pPr>
        <w:rPr>
          <w:lang w:val="en-AU"/>
        </w:rPr>
      </w:pPr>
      <w:r w:rsidRPr="00E3350E">
        <w:rPr>
          <w:lang w:val="en-AU"/>
        </w:rPr>
        <w:t xml:space="preserve">Cooperation between Australian Government agencies that have an interest in the aviation sector helps to reduce </w:t>
      </w:r>
      <w:r>
        <w:rPr>
          <w:lang w:val="en-AU"/>
        </w:rPr>
        <w:t xml:space="preserve">the </w:t>
      </w:r>
      <w:r w:rsidRPr="00E3350E">
        <w:rPr>
          <w:lang w:val="en-AU"/>
        </w:rPr>
        <w:t>duplication and fragmentation of government policies, regulations and services.</w:t>
      </w:r>
    </w:p>
    <w:p w14:paraId="07A4D904" w14:textId="77777777" w:rsidR="00860F8E" w:rsidRPr="00E3350E" w:rsidRDefault="00860F8E" w:rsidP="00860F8E">
      <w:pPr>
        <w:pStyle w:val="Heading3"/>
        <w:rPr>
          <w:lang w:val="en-AU"/>
        </w:rPr>
      </w:pPr>
      <w:r w:rsidRPr="00E3350E">
        <w:rPr>
          <w:lang w:val="en-AU"/>
        </w:rPr>
        <w:t>Aviation Policy Group</w:t>
      </w:r>
    </w:p>
    <w:p w14:paraId="5A2629A5" w14:textId="77777777" w:rsidR="00860F8E" w:rsidRPr="00E3350E" w:rsidRDefault="00860F8E" w:rsidP="00860F8E">
      <w:pPr>
        <w:rPr>
          <w:rFonts w:cs="Arial"/>
          <w:szCs w:val="24"/>
          <w:lang w:val="en-AU"/>
        </w:rPr>
      </w:pPr>
      <w:r w:rsidRPr="00E3350E">
        <w:rPr>
          <w:rFonts w:cs="Arial"/>
          <w:szCs w:val="24"/>
          <w:lang w:val="en-AU"/>
        </w:rPr>
        <w:t xml:space="preserve">The Aviation Policy Group is a high-level interagency group that consists of CASA’s Director of Aviation Safety, the Chief Executive Officer of Airservices Australia, the Chief of Air Force and the Secretary of the Department of Infrastructure, Regional Development and Cities. </w:t>
      </w:r>
    </w:p>
    <w:p w14:paraId="05188BD1" w14:textId="77777777" w:rsidR="00860F8E" w:rsidRPr="00E3350E" w:rsidRDefault="00860F8E" w:rsidP="00860F8E">
      <w:pPr>
        <w:rPr>
          <w:szCs w:val="24"/>
          <w:lang w:val="en-AU"/>
        </w:rPr>
      </w:pPr>
      <w:r w:rsidRPr="00E3350E">
        <w:rPr>
          <w:rFonts w:cs="Arial"/>
          <w:szCs w:val="24"/>
          <w:lang w:val="en-AU"/>
        </w:rPr>
        <w:t>Although the group is not a decision-making body, it provides a forum for effective interagency policy coordination and for working through air traffic management and other aviation issues at a strategic level. The Aviation Policy Group met twice during 2017–18.</w:t>
      </w:r>
    </w:p>
    <w:p w14:paraId="19B8817B" w14:textId="77777777" w:rsidR="00860F8E" w:rsidRPr="00E3350E" w:rsidRDefault="00860F8E" w:rsidP="00860F8E">
      <w:pPr>
        <w:pStyle w:val="Heading3"/>
        <w:rPr>
          <w:lang w:val="en-AU"/>
        </w:rPr>
      </w:pPr>
      <w:r w:rsidRPr="00E3350E">
        <w:rPr>
          <w:lang w:val="en-AU"/>
        </w:rPr>
        <w:t>Aviation Implementation Group</w:t>
      </w:r>
    </w:p>
    <w:p w14:paraId="564C1A22" w14:textId="77777777" w:rsidR="00860F8E" w:rsidRPr="00E3350E" w:rsidRDefault="00860F8E" w:rsidP="00860F8E">
      <w:pPr>
        <w:rPr>
          <w:rFonts w:cs="Arial"/>
          <w:szCs w:val="24"/>
          <w:lang w:val="en-AU"/>
        </w:rPr>
      </w:pPr>
      <w:r w:rsidRPr="00E3350E">
        <w:rPr>
          <w:rFonts w:cs="Arial"/>
          <w:szCs w:val="24"/>
          <w:lang w:val="en-AU"/>
        </w:rPr>
        <w:t xml:space="preserve">The Aviation Implementation Group is an interagency forum chaired by the Department of Infrastructure, Regional Development and Cities that involves representation from CASA, Airservices Australia and the Royal Australian Air Force. </w:t>
      </w:r>
    </w:p>
    <w:p w14:paraId="40936B02" w14:textId="77777777" w:rsidR="00860F8E" w:rsidRPr="00E3350E" w:rsidRDefault="00860F8E" w:rsidP="00860F8E">
      <w:pPr>
        <w:rPr>
          <w:rFonts w:cs="Arial"/>
          <w:szCs w:val="24"/>
          <w:lang w:val="en-AU"/>
        </w:rPr>
      </w:pPr>
      <w:r w:rsidRPr="00E3350E">
        <w:rPr>
          <w:rFonts w:cs="Arial"/>
          <w:szCs w:val="24"/>
          <w:lang w:val="en-AU"/>
        </w:rPr>
        <w:lastRenderedPageBreak/>
        <w:t>It is an important forum for identifying cross-agency aviation issues and maintaining regular communication between the four agencies and supports the Aviation Policy Group in implementing cross-agency strategies. The Aviation Implementation Group met four times during 2017–18.</w:t>
      </w:r>
    </w:p>
    <w:p w14:paraId="727D11B4" w14:textId="77777777" w:rsidR="00860F8E" w:rsidRPr="00E3350E" w:rsidRDefault="00860F8E" w:rsidP="00860F8E">
      <w:pPr>
        <w:pStyle w:val="Heading3"/>
        <w:rPr>
          <w:lang w:val="en-AU"/>
        </w:rPr>
      </w:pPr>
      <w:r w:rsidRPr="00E3350E">
        <w:rPr>
          <w:lang w:val="en-AU"/>
        </w:rPr>
        <w:t>Australian Transport Safety Bureau</w:t>
      </w:r>
    </w:p>
    <w:p w14:paraId="431D0866" w14:textId="77777777" w:rsidR="00860F8E" w:rsidRPr="00E3350E" w:rsidRDefault="00860F8E" w:rsidP="00860F8E">
      <w:pPr>
        <w:rPr>
          <w:rFonts w:cs="Calibri"/>
          <w:lang w:val="en-AU"/>
        </w:rPr>
      </w:pPr>
      <w:r w:rsidRPr="00E3350E">
        <w:rPr>
          <w:rFonts w:cs="Calibri"/>
          <w:lang w:val="en-AU"/>
        </w:rPr>
        <w:t xml:space="preserve">The relationship between CASA and the ATSB is governed, in part, by a </w:t>
      </w:r>
      <w:r>
        <w:rPr>
          <w:rFonts w:cs="Calibri"/>
          <w:lang w:val="en-AU"/>
        </w:rPr>
        <w:t>m</w:t>
      </w:r>
      <w:r w:rsidRPr="00E3350E">
        <w:rPr>
          <w:rFonts w:cs="Calibri"/>
          <w:lang w:val="en-AU"/>
        </w:rPr>
        <w:t xml:space="preserve">emorandum of </w:t>
      </w:r>
      <w:r>
        <w:rPr>
          <w:rFonts w:cs="Calibri"/>
          <w:lang w:val="en-AU"/>
        </w:rPr>
        <w:t>u</w:t>
      </w:r>
      <w:r w:rsidRPr="00E3350E">
        <w:rPr>
          <w:rFonts w:cs="Calibri"/>
          <w:lang w:val="en-AU"/>
        </w:rPr>
        <w:t xml:space="preserve">nderstanding (MoU) that was first signed in February 2010. The MoU was subsequently updated and </w:t>
      </w:r>
      <w:r>
        <w:rPr>
          <w:rFonts w:cs="Calibri"/>
          <w:lang w:val="en-AU"/>
        </w:rPr>
        <w:t>re-</w:t>
      </w:r>
      <w:r w:rsidRPr="00E3350E">
        <w:rPr>
          <w:rFonts w:cs="Calibri"/>
          <w:lang w:val="en-AU"/>
        </w:rPr>
        <w:t>signed on 30 March 2015.</w:t>
      </w:r>
    </w:p>
    <w:p w14:paraId="4BD7FB02" w14:textId="77777777" w:rsidR="00860F8E" w:rsidRPr="00E3350E" w:rsidRDefault="00860F8E" w:rsidP="00860F8E">
      <w:pPr>
        <w:rPr>
          <w:rFonts w:cs="Calibri"/>
          <w:lang w:val="en-AU"/>
        </w:rPr>
      </w:pPr>
      <w:r w:rsidRPr="00E3350E">
        <w:rPr>
          <w:rFonts w:cs="Calibri"/>
          <w:lang w:val="en-AU"/>
        </w:rPr>
        <w:t xml:space="preserve">The agreement focuses on making the most effective and appropriate use of the findings of accident investigations and clarifying the different but complementary roles of CASA and the ATSB in maintaining and improving air safety. It also provides a framework for cooperation between CASA and the ATSB on aviation safety education, research and data analysis. </w:t>
      </w:r>
    </w:p>
    <w:p w14:paraId="37C56048" w14:textId="77777777" w:rsidR="00860F8E" w:rsidRPr="00E3350E" w:rsidRDefault="00860F8E" w:rsidP="00860F8E">
      <w:pPr>
        <w:rPr>
          <w:rFonts w:cs="Calibri"/>
          <w:lang w:val="en-AU"/>
        </w:rPr>
      </w:pPr>
      <w:r w:rsidRPr="00E3350E">
        <w:rPr>
          <w:rFonts w:cs="Calibri"/>
          <w:lang w:val="en-AU"/>
        </w:rPr>
        <w:t>The agreement covers issues such as the roles of CASA and the ATSB in accident investigations, assistance during investigations, the State Safety Program and the exchange of safety information and safety education. CASA’s Director of Aviation Safety and the ATSB’s Chief Commissioner also participate in formal dialogue on a regular basis.</w:t>
      </w:r>
    </w:p>
    <w:p w14:paraId="2A0B7ADB" w14:textId="77777777" w:rsidR="00860F8E" w:rsidRPr="00E3350E" w:rsidRDefault="00860F8E" w:rsidP="00860F8E">
      <w:pPr>
        <w:rPr>
          <w:rFonts w:cs="Calibri"/>
          <w:lang w:val="en-AU"/>
        </w:rPr>
      </w:pPr>
      <w:r w:rsidRPr="00E3350E">
        <w:rPr>
          <w:rFonts w:cs="Calibri"/>
          <w:lang w:val="en-AU"/>
        </w:rPr>
        <w:t>CASA’s ATSB Liaison Office ensures that ATSB reports and requests for information are responded to effectively and efficiently. In particular, CASA formally responds to ATSB safety recommendations, and subsequent safety actions are tracked to implementation.</w:t>
      </w:r>
    </w:p>
    <w:p w14:paraId="1574EF17" w14:textId="77777777" w:rsidR="00860F8E" w:rsidRPr="00E3350E" w:rsidRDefault="00860F8E" w:rsidP="00860F8E">
      <w:pPr>
        <w:rPr>
          <w:rFonts w:cs="Calibri"/>
          <w:lang w:val="en-AU"/>
        </w:rPr>
      </w:pPr>
      <w:r w:rsidRPr="00E3350E">
        <w:rPr>
          <w:rFonts w:cs="Calibri"/>
          <w:lang w:val="en-AU"/>
        </w:rPr>
        <w:t>In accordance with the requirements of the MoU, CASA and the ATSB formally meet twice each calendar year to exchange views and liaise about safety issues of mutual interest. The two agencies met in December 2017 and June 2018. A further meeting is planned for December 2018.</w:t>
      </w:r>
    </w:p>
    <w:p w14:paraId="4204FC6E" w14:textId="77777777" w:rsidR="00860F8E" w:rsidRPr="00E3350E" w:rsidRDefault="00860F8E" w:rsidP="00860F8E">
      <w:pPr>
        <w:rPr>
          <w:lang w:val="en-AU"/>
        </w:rPr>
      </w:pPr>
      <w:r w:rsidRPr="00E3350E">
        <w:rPr>
          <w:rFonts w:cs="Calibri"/>
          <w:lang w:val="en-AU"/>
        </w:rPr>
        <w:t>The agencies also cooperate on important research projects that improve the understanding of and response to issues that affect flight safety in Australia.</w:t>
      </w:r>
    </w:p>
    <w:p w14:paraId="5454CED8" w14:textId="77777777" w:rsidR="00860F8E" w:rsidRPr="00E3350E" w:rsidRDefault="00860F8E" w:rsidP="00860F8E">
      <w:pPr>
        <w:pStyle w:val="Heading2noTOC"/>
        <w:rPr>
          <w:lang w:val="en-AU"/>
        </w:rPr>
      </w:pPr>
      <w:r w:rsidRPr="00E3350E">
        <w:rPr>
          <w:lang w:val="en-AU"/>
        </w:rPr>
        <w:t>International engagement</w:t>
      </w:r>
    </w:p>
    <w:p w14:paraId="549007DD" w14:textId="77777777" w:rsidR="00860F8E" w:rsidRDefault="00860F8E" w:rsidP="00860F8E">
      <w:pPr>
        <w:rPr>
          <w:rFonts w:cs="Arial"/>
          <w:szCs w:val="24"/>
          <w:lang w:val="en-AU"/>
        </w:rPr>
      </w:pPr>
      <w:r w:rsidRPr="00E3350E">
        <w:rPr>
          <w:rFonts w:cs="Arial"/>
          <w:szCs w:val="24"/>
          <w:lang w:val="en-AU"/>
        </w:rPr>
        <w:t>CASA is a well-respected civil aviation safety regulator</w:t>
      </w:r>
      <w:r>
        <w:rPr>
          <w:rFonts w:cs="Arial"/>
          <w:szCs w:val="24"/>
          <w:lang w:val="en-AU"/>
        </w:rPr>
        <w:t>,</w:t>
      </w:r>
      <w:r w:rsidRPr="00E3350E">
        <w:rPr>
          <w:rFonts w:cs="Arial"/>
          <w:szCs w:val="24"/>
          <w:lang w:val="en-AU"/>
        </w:rPr>
        <w:t xml:space="preserve"> regionally and </w:t>
      </w:r>
      <w:r>
        <w:rPr>
          <w:rFonts w:cs="Arial"/>
          <w:szCs w:val="24"/>
          <w:lang w:val="en-AU"/>
        </w:rPr>
        <w:t>globally</w:t>
      </w:r>
      <w:r w:rsidRPr="00E3350E">
        <w:rPr>
          <w:rFonts w:cs="Arial"/>
          <w:szCs w:val="24"/>
          <w:lang w:val="en-AU"/>
        </w:rPr>
        <w:t xml:space="preserve">. CASA’s engagement with the global aviation community, including with foreign regulatory counterparts, is an important part of CASA’s role and responsibilities under the </w:t>
      </w:r>
      <w:r w:rsidRPr="00D265C8">
        <w:t xml:space="preserve">Civil Aviation Act </w:t>
      </w:r>
      <w:r w:rsidRPr="00E3350E">
        <w:rPr>
          <w:rFonts w:cs="Arial"/>
          <w:szCs w:val="24"/>
          <w:lang w:val="en-AU"/>
        </w:rPr>
        <w:t xml:space="preserve">to influence aviation safety standards, advocate for rules that benefit Australian travellers and Australian industry, and respond in a timely manner to emerging opportunities and trends. </w:t>
      </w:r>
    </w:p>
    <w:p w14:paraId="348A897E" w14:textId="77777777" w:rsidR="00860F8E" w:rsidRDefault="00860F8E" w:rsidP="00860F8E">
      <w:pPr>
        <w:rPr>
          <w:rFonts w:cs="Arial"/>
          <w:szCs w:val="24"/>
          <w:lang w:val="en-AU"/>
        </w:rPr>
      </w:pPr>
      <w:r w:rsidRPr="00E3350E">
        <w:rPr>
          <w:rFonts w:cs="Arial"/>
          <w:szCs w:val="24"/>
          <w:lang w:val="en-AU"/>
        </w:rPr>
        <w:t>Bilateral relationships and multilateral forums such as ICAO allow collaboration with aviation safety partners to be strengthened, as well as showcasing Australia’s civil aviation safety capabilities.</w:t>
      </w:r>
    </w:p>
    <w:p w14:paraId="41C9894E" w14:textId="77777777" w:rsidR="00860F8E" w:rsidRPr="00E3350E" w:rsidRDefault="00860F8E" w:rsidP="00860F8E">
      <w:pPr>
        <w:rPr>
          <w:rFonts w:cs="Arial"/>
          <w:szCs w:val="24"/>
          <w:lang w:val="en-AU"/>
        </w:rPr>
      </w:pPr>
      <w:r w:rsidRPr="00E3350E">
        <w:rPr>
          <w:rFonts w:cs="Arial"/>
          <w:szCs w:val="24"/>
          <w:lang w:val="en-AU"/>
        </w:rPr>
        <w:t>CASA’s international commitments are threefold:</w:t>
      </w:r>
    </w:p>
    <w:p w14:paraId="6BA549B4" w14:textId="77777777" w:rsidR="00860F8E" w:rsidRPr="00E3350E" w:rsidRDefault="00860F8E" w:rsidP="00860F8E">
      <w:pPr>
        <w:pStyle w:val="Bullet"/>
      </w:pPr>
      <w:r w:rsidRPr="00E3350E">
        <w:t xml:space="preserve">engaging with ICAO through an Australian </w:t>
      </w:r>
      <w:r>
        <w:t>G</w:t>
      </w:r>
      <w:r w:rsidRPr="00E3350E">
        <w:t xml:space="preserve">overnment agency tripartite policy approach in partnership with Airservices Australia and the Department of Infrastructure, Regional Development and Cities </w:t>
      </w:r>
    </w:p>
    <w:p w14:paraId="3F096C76" w14:textId="77777777" w:rsidR="00860F8E" w:rsidRPr="00E3350E" w:rsidRDefault="00860F8E" w:rsidP="00860F8E">
      <w:pPr>
        <w:pStyle w:val="Bullet"/>
      </w:pPr>
      <w:r w:rsidRPr="00FD0BB6">
        <w:lastRenderedPageBreak/>
        <w:t>establishing</w:t>
      </w:r>
      <w:r w:rsidRPr="00E3350E">
        <w:t xml:space="preserve">, reviewing and improving on bilateral and multilateral arrangements with counterpart regulatory agencies and countries to streamline industry standards and requirements, </w:t>
      </w:r>
      <w:r>
        <w:t>and engaging in</w:t>
      </w:r>
      <w:r w:rsidRPr="00E3350E">
        <w:t xml:space="preserve"> informal dialogue with counterpart regulators to discuss emerging issues</w:t>
      </w:r>
    </w:p>
    <w:p w14:paraId="6792BE43" w14:textId="77777777" w:rsidR="00860F8E" w:rsidRPr="00E3350E" w:rsidRDefault="00860F8E" w:rsidP="00860F8E">
      <w:pPr>
        <w:pStyle w:val="Bullet"/>
      </w:pPr>
      <w:r w:rsidRPr="00E3350E">
        <w:t xml:space="preserve">strengthening aviation safety in the Asia-Pacific region through targeted and effective assistance activities funded by Australian </w:t>
      </w:r>
      <w:r>
        <w:t>A</w:t>
      </w:r>
      <w:r w:rsidRPr="00E3350E">
        <w:t>id.</w:t>
      </w:r>
    </w:p>
    <w:p w14:paraId="0399F08D" w14:textId="77777777" w:rsidR="00860F8E" w:rsidRPr="00E3350E" w:rsidRDefault="00860F8E" w:rsidP="00860F8E">
      <w:pPr>
        <w:pStyle w:val="Heading3"/>
        <w:rPr>
          <w:lang w:val="en-AU"/>
        </w:rPr>
      </w:pPr>
      <w:r w:rsidRPr="00E3350E">
        <w:rPr>
          <w:lang w:val="en-AU"/>
        </w:rPr>
        <w:t>International Civil Aviation Organization</w:t>
      </w:r>
    </w:p>
    <w:p w14:paraId="43AE0D64" w14:textId="77777777" w:rsidR="00860F8E" w:rsidRDefault="00860F8E" w:rsidP="00860F8E">
      <w:pPr>
        <w:autoSpaceDE w:val="0"/>
        <w:autoSpaceDN w:val="0"/>
        <w:adjustRightInd w:val="0"/>
        <w:rPr>
          <w:rFonts w:cs="Arial"/>
          <w:color w:val="000000"/>
          <w:szCs w:val="24"/>
          <w:lang w:val="en-AU"/>
        </w:rPr>
      </w:pPr>
      <w:r w:rsidRPr="00E3350E">
        <w:rPr>
          <w:rFonts w:cs="Arial"/>
          <w:color w:val="000000"/>
          <w:szCs w:val="24"/>
          <w:lang w:val="en-AU"/>
        </w:rPr>
        <w:t>Australia is one of 192 signatory States to the 1944 Convention on International Civil Aviation (</w:t>
      </w:r>
      <w:r>
        <w:rPr>
          <w:rFonts w:cs="Arial"/>
          <w:color w:val="000000"/>
          <w:szCs w:val="24"/>
          <w:lang w:val="en-AU"/>
        </w:rPr>
        <w:t xml:space="preserve">the </w:t>
      </w:r>
      <w:r w:rsidRPr="00E3350E">
        <w:rPr>
          <w:rFonts w:cs="Arial"/>
          <w:color w:val="000000"/>
          <w:szCs w:val="24"/>
          <w:lang w:val="en-AU"/>
        </w:rPr>
        <w:t>Chicago Convention)</w:t>
      </w:r>
      <w:r>
        <w:rPr>
          <w:rFonts w:cs="Arial"/>
          <w:color w:val="000000"/>
          <w:szCs w:val="24"/>
          <w:lang w:val="en-AU"/>
        </w:rPr>
        <w:t>,</w:t>
      </w:r>
      <w:r w:rsidRPr="00E3350E">
        <w:rPr>
          <w:rFonts w:cs="Arial"/>
          <w:color w:val="000000"/>
          <w:szCs w:val="24"/>
          <w:lang w:val="en-AU"/>
        </w:rPr>
        <w:t xml:space="preserve"> which provides for the safe and orderly development of international civil aviation. The Chicago Convention established ICAO, </w:t>
      </w:r>
      <w:r>
        <w:rPr>
          <w:rFonts w:cs="Arial"/>
          <w:color w:val="000000"/>
          <w:szCs w:val="24"/>
          <w:lang w:val="en-AU"/>
        </w:rPr>
        <w:t xml:space="preserve">which is </w:t>
      </w:r>
      <w:r w:rsidRPr="00E3350E">
        <w:rPr>
          <w:rFonts w:cs="Arial"/>
          <w:color w:val="000000"/>
          <w:szCs w:val="24"/>
          <w:lang w:val="en-AU"/>
        </w:rPr>
        <w:t xml:space="preserve">a specialised agency of the United Nations with responsibility for creating standards and recommended practices through the ICAO Council, the Air Navigation Commission and various technical working groups and panels implemented by ICAO Member States. </w:t>
      </w:r>
    </w:p>
    <w:p w14:paraId="074489B3" w14:textId="77777777" w:rsidR="00860F8E" w:rsidRDefault="00860F8E" w:rsidP="00860F8E">
      <w:pPr>
        <w:autoSpaceDE w:val="0"/>
        <w:autoSpaceDN w:val="0"/>
        <w:adjustRightInd w:val="0"/>
        <w:rPr>
          <w:rFonts w:cs="Arial"/>
          <w:color w:val="000000"/>
          <w:szCs w:val="24"/>
          <w:lang w:val="en-AU"/>
        </w:rPr>
      </w:pPr>
      <w:r w:rsidRPr="00E3350E">
        <w:rPr>
          <w:rFonts w:cs="Arial"/>
          <w:color w:val="000000"/>
          <w:szCs w:val="24"/>
          <w:lang w:val="en-AU"/>
        </w:rPr>
        <w:t xml:space="preserve">Australian participation is shared among CASA, Airservices Australia and the Department of Infrastructure, Regional Development and Cities under an Australian </w:t>
      </w:r>
      <w:r>
        <w:rPr>
          <w:rFonts w:cs="Arial"/>
          <w:color w:val="000000"/>
          <w:szCs w:val="24"/>
          <w:lang w:val="en-AU"/>
        </w:rPr>
        <w:t>G</w:t>
      </w:r>
      <w:r w:rsidRPr="00E3350E">
        <w:rPr>
          <w:rFonts w:cs="Arial"/>
          <w:color w:val="000000"/>
          <w:szCs w:val="24"/>
          <w:lang w:val="en-AU"/>
        </w:rPr>
        <w:t xml:space="preserve">overnment tripartite arrangement to ensure a coordinated and consistent policy approach. The three agencies also sponsor the Australian office in Montreal </w:t>
      </w:r>
      <w:r>
        <w:rPr>
          <w:rFonts w:cs="Arial"/>
          <w:color w:val="000000"/>
          <w:szCs w:val="24"/>
          <w:lang w:val="en-AU"/>
        </w:rPr>
        <w:t>that</w:t>
      </w:r>
      <w:r w:rsidRPr="00E3350E">
        <w:rPr>
          <w:rFonts w:cs="Arial"/>
          <w:color w:val="000000"/>
          <w:szCs w:val="24"/>
          <w:lang w:val="en-AU"/>
        </w:rPr>
        <w:t xml:space="preserve"> is responsible for direct liaison and coordination of ICAO activities. </w:t>
      </w:r>
    </w:p>
    <w:p w14:paraId="6B635FBB" w14:textId="77777777" w:rsidR="00860F8E" w:rsidRPr="00E3350E" w:rsidRDefault="00860F8E" w:rsidP="00860F8E">
      <w:pPr>
        <w:autoSpaceDE w:val="0"/>
        <w:autoSpaceDN w:val="0"/>
        <w:adjustRightInd w:val="0"/>
        <w:rPr>
          <w:rFonts w:cs="Arial"/>
          <w:color w:val="000000"/>
          <w:szCs w:val="24"/>
          <w:lang w:val="en-AU"/>
        </w:rPr>
      </w:pPr>
      <w:r w:rsidRPr="00E3350E">
        <w:rPr>
          <w:rFonts w:cs="Arial"/>
          <w:color w:val="000000"/>
          <w:szCs w:val="24"/>
          <w:lang w:val="en-AU"/>
        </w:rPr>
        <w:t>CASA actively participates in and makes a significant technical and leadership contribution to all major ICAO work</w:t>
      </w:r>
      <w:r>
        <w:rPr>
          <w:rFonts w:cs="Arial"/>
          <w:color w:val="000000"/>
          <w:szCs w:val="24"/>
          <w:lang w:val="en-AU"/>
        </w:rPr>
        <w:t>. CASA is</w:t>
      </w:r>
      <w:r w:rsidRPr="00E3350E">
        <w:rPr>
          <w:rFonts w:cs="Arial"/>
          <w:color w:val="000000"/>
          <w:szCs w:val="24"/>
          <w:lang w:val="en-AU"/>
        </w:rPr>
        <w:t xml:space="preserve"> involve</w:t>
      </w:r>
      <w:r>
        <w:rPr>
          <w:rFonts w:cs="Arial"/>
          <w:color w:val="000000"/>
          <w:szCs w:val="24"/>
          <w:lang w:val="en-AU"/>
        </w:rPr>
        <w:t>d</w:t>
      </w:r>
      <w:r w:rsidRPr="00E3350E">
        <w:rPr>
          <w:rFonts w:cs="Arial"/>
          <w:color w:val="000000"/>
          <w:szCs w:val="24"/>
          <w:lang w:val="en-AU"/>
        </w:rPr>
        <w:t xml:space="preserve"> in </w:t>
      </w:r>
      <w:r>
        <w:rPr>
          <w:rFonts w:cs="Arial"/>
          <w:color w:val="000000"/>
          <w:szCs w:val="24"/>
          <w:lang w:val="en-AU"/>
        </w:rPr>
        <w:t>more than</w:t>
      </w:r>
      <w:r w:rsidRPr="00E3350E">
        <w:rPr>
          <w:rFonts w:cs="Arial"/>
          <w:color w:val="000000"/>
          <w:szCs w:val="24"/>
          <w:lang w:val="en-AU"/>
        </w:rPr>
        <w:t xml:space="preserve"> a dozen ICAO forums on emerging global issues</w:t>
      </w:r>
      <w:r>
        <w:rPr>
          <w:rFonts w:cs="Arial"/>
          <w:color w:val="000000"/>
          <w:szCs w:val="24"/>
          <w:lang w:val="en-AU"/>
        </w:rPr>
        <w:t>,</w:t>
      </w:r>
      <w:r w:rsidRPr="00E3350E">
        <w:rPr>
          <w:rFonts w:cs="Arial"/>
          <w:color w:val="000000"/>
          <w:szCs w:val="24"/>
          <w:lang w:val="en-AU"/>
        </w:rPr>
        <w:t xml:space="preserve"> such as fatigue risk management, remotely piloted aircraft systems, communication and navigation systems, and matters affecting the Asia-Pacific region. Australia is an elected Member State of chief importance in air transport and sits on the governing ICAO Council alongside the United States, </w:t>
      </w:r>
      <w:r>
        <w:rPr>
          <w:rFonts w:cs="Arial"/>
          <w:color w:val="000000"/>
          <w:szCs w:val="24"/>
          <w:lang w:val="en-AU"/>
        </w:rPr>
        <w:t xml:space="preserve">the </w:t>
      </w:r>
      <w:r w:rsidRPr="00E3350E">
        <w:rPr>
          <w:rFonts w:cs="Arial"/>
          <w:color w:val="000000"/>
          <w:szCs w:val="24"/>
          <w:lang w:val="en-AU"/>
        </w:rPr>
        <w:t>United Kingdom, China, France, Germany, Canada, Italy, Japan, Brazil and the Russian Federation.</w:t>
      </w:r>
    </w:p>
    <w:p w14:paraId="5E5C829E" w14:textId="77777777" w:rsidR="00860F8E" w:rsidRPr="00E3350E" w:rsidRDefault="00860F8E" w:rsidP="00860F8E">
      <w:pPr>
        <w:autoSpaceDE w:val="0"/>
        <w:autoSpaceDN w:val="0"/>
        <w:adjustRightInd w:val="0"/>
        <w:rPr>
          <w:rFonts w:cs="Arial"/>
          <w:color w:val="000000"/>
          <w:szCs w:val="24"/>
          <w:lang w:val="en-AU"/>
        </w:rPr>
      </w:pPr>
      <w:r w:rsidRPr="00E3350E">
        <w:rPr>
          <w:rFonts w:cs="Arial"/>
          <w:color w:val="000000"/>
          <w:szCs w:val="24"/>
          <w:lang w:val="en-AU"/>
        </w:rPr>
        <w:t xml:space="preserve">CASA routinely facilitates and coordinates responses to ICAO State Letters, including supporting requests for ICAO </w:t>
      </w:r>
      <w:r w:rsidR="00EA214A">
        <w:rPr>
          <w:rFonts w:cs="Arial"/>
          <w:color w:val="000000"/>
          <w:szCs w:val="24"/>
          <w:lang w:val="en-AU"/>
        </w:rPr>
        <w:t>c</w:t>
      </w:r>
      <w:r w:rsidRPr="00E3350E">
        <w:rPr>
          <w:rFonts w:cs="Arial"/>
          <w:color w:val="000000"/>
          <w:szCs w:val="24"/>
          <w:lang w:val="en-AU"/>
        </w:rPr>
        <w:t xml:space="preserve">oordinated </w:t>
      </w:r>
      <w:r w:rsidR="00EA214A">
        <w:rPr>
          <w:rFonts w:cs="Arial"/>
          <w:color w:val="000000"/>
          <w:szCs w:val="24"/>
          <w:lang w:val="en-AU"/>
        </w:rPr>
        <w:t>a</w:t>
      </w:r>
      <w:r w:rsidRPr="00E3350E">
        <w:rPr>
          <w:rFonts w:cs="Arial"/>
          <w:color w:val="000000"/>
          <w:szCs w:val="24"/>
          <w:lang w:val="en-AU"/>
        </w:rPr>
        <w:t xml:space="preserve">ction </w:t>
      </w:r>
      <w:r w:rsidR="00EA214A">
        <w:rPr>
          <w:rFonts w:cs="Arial"/>
          <w:color w:val="000000"/>
          <w:szCs w:val="24"/>
          <w:lang w:val="en-AU"/>
        </w:rPr>
        <w:t>t</w:t>
      </w:r>
      <w:r w:rsidRPr="00E3350E">
        <w:rPr>
          <w:rFonts w:cs="Arial"/>
          <w:color w:val="000000"/>
          <w:szCs w:val="24"/>
          <w:lang w:val="en-AU"/>
        </w:rPr>
        <w:t>eam (CAT) assistance to build regulatory capability in the Asia-Pacific region. In 2017–18, CASA participated in two CAT missions to Papua New Guinea (16 to 22 August 2017) and Fiji (11 to 15 December 2017).</w:t>
      </w:r>
    </w:p>
    <w:p w14:paraId="1E0BC0A4" w14:textId="77777777" w:rsidR="00860F8E" w:rsidRPr="00E3350E" w:rsidRDefault="00860F8E" w:rsidP="00860F8E">
      <w:pPr>
        <w:pStyle w:val="Heading3"/>
        <w:rPr>
          <w:lang w:val="en-AU"/>
        </w:rPr>
      </w:pPr>
      <w:r w:rsidRPr="00E3350E">
        <w:rPr>
          <w:lang w:val="en-AU"/>
        </w:rPr>
        <w:t>Directors General of Civil Aviation Conference</w:t>
      </w:r>
    </w:p>
    <w:p w14:paraId="43EA13DE" w14:textId="77777777" w:rsidR="00860F8E" w:rsidRDefault="00860F8E" w:rsidP="00860F8E">
      <w:pPr>
        <w:rPr>
          <w:rFonts w:cs="Arial"/>
          <w:szCs w:val="24"/>
          <w:lang w:val="en-AU"/>
        </w:rPr>
      </w:pPr>
      <w:r w:rsidRPr="00E3350E">
        <w:rPr>
          <w:rFonts w:cs="Arial"/>
          <w:szCs w:val="24"/>
          <w:lang w:val="en-AU"/>
        </w:rPr>
        <w:t xml:space="preserve">The Directors General of Civil Aviation (DGCA) Conference is an annual multilateral meeting that allows the heads of civil aviation regulatory agencies in the Asia-Pacific region to collaborate on improving aviation safety in a coordinated manner. The </w:t>
      </w:r>
      <w:r>
        <w:rPr>
          <w:rFonts w:cs="Arial"/>
          <w:szCs w:val="24"/>
          <w:lang w:val="en-AU"/>
        </w:rPr>
        <w:t>c</w:t>
      </w:r>
      <w:r w:rsidRPr="00E3350E">
        <w:rPr>
          <w:rFonts w:cs="Arial"/>
          <w:szCs w:val="24"/>
          <w:lang w:val="en-AU"/>
        </w:rPr>
        <w:t xml:space="preserve">onference is supported by the ICAO Secretariat and is a valuable forum </w:t>
      </w:r>
      <w:r>
        <w:rPr>
          <w:rFonts w:cs="Arial"/>
          <w:szCs w:val="24"/>
          <w:lang w:val="en-AU"/>
        </w:rPr>
        <w:t>for</w:t>
      </w:r>
      <w:r w:rsidRPr="00E3350E">
        <w:rPr>
          <w:rFonts w:cs="Arial"/>
          <w:szCs w:val="24"/>
          <w:lang w:val="en-AU"/>
        </w:rPr>
        <w:t xml:space="preserve"> workshop</w:t>
      </w:r>
      <w:r>
        <w:rPr>
          <w:rFonts w:cs="Arial"/>
          <w:szCs w:val="24"/>
          <w:lang w:val="en-AU"/>
        </w:rPr>
        <w:t>ping</w:t>
      </w:r>
      <w:r w:rsidRPr="00E3350E">
        <w:rPr>
          <w:rFonts w:cs="Arial"/>
          <w:szCs w:val="24"/>
          <w:lang w:val="en-AU"/>
        </w:rPr>
        <w:t xml:space="preserve"> policy proposals and gaug</w:t>
      </w:r>
      <w:r>
        <w:rPr>
          <w:rFonts w:cs="Arial"/>
          <w:szCs w:val="24"/>
          <w:lang w:val="en-AU"/>
        </w:rPr>
        <w:t>ing</w:t>
      </w:r>
      <w:r w:rsidRPr="00E3350E">
        <w:rPr>
          <w:rFonts w:cs="Arial"/>
          <w:szCs w:val="24"/>
          <w:lang w:val="en-AU"/>
        </w:rPr>
        <w:t xml:space="preserve"> stakeholder support in the lead</w:t>
      </w:r>
      <w:r>
        <w:rPr>
          <w:rFonts w:cs="Arial"/>
          <w:szCs w:val="24"/>
          <w:lang w:val="en-AU"/>
        </w:rPr>
        <w:t>-</w:t>
      </w:r>
      <w:r w:rsidRPr="00E3350E">
        <w:rPr>
          <w:rFonts w:cs="Arial"/>
          <w:szCs w:val="24"/>
          <w:lang w:val="en-AU"/>
        </w:rPr>
        <w:t xml:space="preserve">up to other ICAO meetings. </w:t>
      </w:r>
    </w:p>
    <w:p w14:paraId="0608FFA6" w14:textId="77777777" w:rsidR="00860F8E" w:rsidRPr="00E3350E" w:rsidRDefault="00860F8E" w:rsidP="00860F8E">
      <w:pPr>
        <w:rPr>
          <w:rFonts w:cs="Arial"/>
          <w:szCs w:val="24"/>
          <w:lang w:val="en-AU"/>
        </w:rPr>
      </w:pPr>
      <w:r w:rsidRPr="00E3350E">
        <w:rPr>
          <w:rFonts w:cs="Arial"/>
          <w:szCs w:val="24"/>
          <w:lang w:val="en-AU"/>
        </w:rPr>
        <w:t xml:space="preserve">The </w:t>
      </w:r>
      <w:r w:rsidRPr="00D164CA">
        <w:rPr>
          <w:lang w:val="en-AU"/>
        </w:rPr>
        <w:t xml:space="preserve">54th </w:t>
      </w:r>
      <w:r>
        <w:rPr>
          <w:lang w:val="en-AU"/>
        </w:rPr>
        <w:t xml:space="preserve">DGCA </w:t>
      </w:r>
      <w:r w:rsidRPr="00E3350E">
        <w:rPr>
          <w:rFonts w:cs="Arial"/>
          <w:szCs w:val="24"/>
          <w:lang w:val="en-AU"/>
        </w:rPr>
        <w:t>Conference was held in Ulaanbaatar, Mongolia</w:t>
      </w:r>
      <w:r>
        <w:rPr>
          <w:rFonts w:cs="Arial"/>
          <w:szCs w:val="24"/>
          <w:lang w:val="en-AU"/>
        </w:rPr>
        <w:t>,</w:t>
      </w:r>
      <w:r w:rsidRPr="00E3350E">
        <w:rPr>
          <w:rFonts w:cs="Arial"/>
          <w:szCs w:val="24"/>
          <w:lang w:val="en-AU"/>
        </w:rPr>
        <w:t xml:space="preserve"> </w:t>
      </w:r>
      <w:r>
        <w:rPr>
          <w:rFonts w:cs="Arial"/>
          <w:szCs w:val="24"/>
          <w:lang w:val="en-AU"/>
        </w:rPr>
        <w:t>from</w:t>
      </w:r>
      <w:r w:rsidRPr="00E3350E">
        <w:rPr>
          <w:rFonts w:cs="Arial"/>
          <w:szCs w:val="24"/>
          <w:lang w:val="en-AU"/>
        </w:rPr>
        <w:t xml:space="preserve"> 7 </w:t>
      </w:r>
      <w:r>
        <w:rPr>
          <w:rFonts w:cs="Arial"/>
          <w:szCs w:val="24"/>
          <w:lang w:val="en-AU"/>
        </w:rPr>
        <w:t>to</w:t>
      </w:r>
      <w:r w:rsidRPr="00E3350E">
        <w:rPr>
          <w:rFonts w:cs="Arial"/>
          <w:szCs w:val="24"/>
          <w:lang w:val="en-AU"/>
        </w:rPr>
        <w:t xml:space="preserve"> 11 August 2017, with the theme of ‘The Challenge of Managing Outcome Focused and Risk Based Regulations for Asia Pacific States’. The 321 delegates from 38 countries and 12 international organisations deliberated on supporting the economic development of air transport</w:t>
      </w:r>
      <w:r>
        <w:rPr>
          <w:rFonts w:cs="Arial"/>
          <w:szCs w:val="24"/>
          <w:lang w:val="en-AU"/>
        </w:rPr>
        <w:t>;</w:t>
      </w:r>
      <w:r w:rsidRPr="00E3350E">
        <w:rPr>
          <w:rFonts w:cs="Arial"/>
          <w:szCs w:val="24"/>
          <w:lang w:val="en-AU"/>
        </w:rPr>
        <w:t xml:space="preserve"> safety needs and capabilities analysis</w:t>
      </w:r>
      <w:r>
        <w:rPr>
          <w:rFonts w:cs="Arial"/>
          <w:szCs w:val="24"/>
          <w:lang w:val="en-AU"/>
        </w:rPr>
        <w:t>;</w:t>
      </w:r>
      <w:r w:rsidRPr="00E3350E">
        <w:rPr>
          <w:rFonts w:cs="Arial"/>
          <w:szCs w:val="24"/>
          <w:lang w:val="en-AU"/>
        </w:rPr>
        <w:t xml:space="preserve"> developing and implementing </w:t>
      </w:r>
      <w:r w:rsidRPr="00E3350E">
        <w:rPr>
          <w:rFonts w:cs="Arial"/>
          <w:szCs w:val="24"/>
          <w:lang w:val="en-AU"/>
        </w:rPr>
        <w:lastRenderedPageBreak/>
        <w:t>performance-based regulations</w:t>
      </w:r>
      <w:r>
        <w:rPr>
          <w:rFonts w:cs="Arial"/>
          <w:szCs w:val="24"/>
          <w:lang w:val="en-AU"/>
        </w:rPr>
        <w:t>;</w:t>
      </w:r>
      <w:r w:rsidRPr="00E3350E">
        <w:rPr>
          <w:rFonts w:cs="Arial"/>
          <w:szCs w:val="24"/>
          <w:lang w:val="en-AU"/>
        </w:rPr>
        <w:t xml:space="preserve"> and other key issues. CASA leads the Australian delegation to these conferences.</w:t>
      </w:r>
    </w:p>
    <w:p w14:paraId="2244282C" w14:textId="77777777" w:rsidR="00860F8E" w:rsidRPr="00E3350E" w:rsidRDefault="00860F8E" w:rsidP="00860F8E">
      <w:pPr>
        <w:pStyle w:val="Heading3"/>
        <w:rPr>
          <w:lang w:val="en-AU"/>
        </w:rPr>
      </w:pPr>
      <w:r w:rsidRPr="00E3350E">
        <w:rPr>
          <w:lang w:val="en-AU"/>
        </w:rPr>
        <w:t>Regional Aviation Safety Group – Asia and Pacific Regions</w:t>
      </w:r>
    </w:p>
    <w:p w14:paraId="2BC5E18C" w14:textId="77777777" w:rsidR="00860F8E" w:rsidRPr="00E3350E" w:rsidRDefault="00860F8E" w:rsidP="00860F8E">
      <w:pPr>
        <w:autoSpaceDE w:val="0"/>
        <w:autoSpaceDN w:val="0"/>
        <w:adjustRightInd w:val="0"/>
        <w:rPr>
          <w:rFonts w:cs="Arial"/>
          <w:szCs w:val="24"/>
          <w:lang w:val="en-AU"/>
        </w:rPr>
      </w:pPr>
      <w:r>
        <w:rPr>
          <w:rFonts w:cs="Arial"/>
          <w:szCs w:val="24"/>
          <w:lang w:val="en-AU"/>
        </w:rPr>
        <w:t>In 2017–18, t</w:t>
      </w:r>
      <w:r w:rsidRPr="00E3350E">
        <w:rPr>
          <w:rFonts w:cs="Arial"/>
          <w:szCs w:val="24"/>
          <w:lang w:val="en-AU"/>
        </w:rPr>
        <w:t xml:space="preserve">he Regional Aviation Safety Group – Asia and Pacific Regions (RASG–APAC) met separately from the annual </w:t>
      </w:r>
      <w:r>
        <w:rPr>
          <w:rFonts w:cs="Arial"/>
          <w:szCs w:val="24"/>
          <w:lang w:val="en-AU"/>
        </w:rPr>
        <w:t>DGCA</w:t>
      </w:r>
      <w:r w:rsidRPr="00E3350E">
        <w:rPr>
          <w:rFonts w:cs="Arial"/>
          <w:szCs w:val="24"/>
          <w:lang w:val="en-AU"/>
        </w:rPr>
        <w:t xml:space="preserve"> Conference for the first time since its inception</w:t>
      </w:r>
      <w:r>
        <w:rPr>
          <w:rFonts w:cs="Arial"/>
          <w:szCs w:val="24"/>
          <w:lang w:val="en-AU"/>
        </w:rPr>
        <w:t>. The meeting took place</w:t>
      </w:r>
      <w:r w:rsidRPr="00E3350E">
        <w:rPr>
          <w:rFonts w:cs="Arial"/>
          <w:szCs w:val="24"/>
          <w:lang w:val="en-AU"/>
        </w:rPr>
        <w:t xml:space="preserve"> at the ICAO </w:t>
      </w:r>
      <w:r>
        <w:rPr>
          <w:rFonts w:cs="Arial"/>
          <w:szCs w:val="24"/>
          <w:lang w:val="en-AU"/>
        </w:rPr>
        <w:t>Asia and Pacific</w:t>
      </w:r>
      <w:r w:rsidRPr="00E3350E">
        <w:rPr>
          <w:rFonts w:cs="Arial"/>
          <w:szCs w:val="24"/>
          <w:lang w:val="en-AU"/>
        </w:rPr>
        <w:t xml:space="preserve"> Office in Bangkok, Thailand, </w:t>
      </w:r>
      <w:r>
        <w:rPr>
          <w:rFonts w:cs="Arial"/>
          <w:szCs w:val="24"/>
          <w:lang w:val="en-AU"/>
        </w:rPr>
        <w:t>from</w:t>
      </w:r>
      <w:r w:rsidRPr="00E3350E">
        <w:rPr>
          <w:rFonts w:cs="Arial"/>
          <w:szCs w:val="24"/>
          <w:lang w:val="en-AU"/>
        </w:rPr>
        <w:t xml:space="preserve"> 3 to 5</w:t>
      </w:r>
      <w:r>
        <w:rPr>
          <w:rFonts w:cs="Arial"/>
          <w:szCs w:val="24"/>
          <w:lang w:val="en-AU"/>
        </w:rPr>
        <w:t> </w:t>
      </w:r>
      <w:r w:rsidRPr="00E3350E">
        <w:rPr>
          <w:rFonts w:cs="Arial"/>
          <w:szCs w:val="24"/>
          <w:lang w:val="en-AU"/>
        </w:rPr>
        <w:t>July 2017.</w:t>
      </w:r>
    </w:p>
    <w:p w14:paraId="616A8F39" w14:textId="77777777" w:rsidR="00860F8E" w:rsidRPr="00E3350E" w:rsidRDefault="00860F8E" w:rsidP="00860F8E">
      <w:pPr>
        <w:autoSpaceDE w:val="0"/>
        <w:autoSpaceDN w:val="0"/>
        <w:adjustRightInd w:val="0"/>
        <w:rPr>
          <w:rFonts w:cs="Arial"/>
          <w:szCs w:val="24"/>
          <w:lang w:val="en-AU"/>
        </w:rPr>
      </w:pPr>
      <w:r w:rsidRPr="00E3350E">
        <w:rPr>
          <w:rFonts w:cs="Arial"/>
          <w:szCs w:val="24"/>
          <w:lang w:val="en-AU"/>
        </w:rPr>
        <w:t xml:space="preserve">The RASG–APAC is tasked with developing and implementing a work program that supports a regional performance framework for the management of safety on the basis of ICAO’s Global Aviation Safety Plan and Global Aviation Safety Roadmap. The reports of RASG–APAC meetings are reviewed regularly by the Air Navigation Commission and by the ICAO Council as necessary. </w:t>
      </w:r>
    </w:p>
    <w:p w14:paraId="500575F7" w14:textId="77777777" w:rsidR="00860F8E" w:rsidRPr="00E3350E" w:rsidRDefault="00860F8E" w:rsidP="00860F8E">
      <w:pPr>
        <w:rPr>
          <w:szCs w:val="24"/>
          <w:lang w:val="en-AU"/>
        </w:rPr>
      </w:pPr>
      <w:r w:rsidRPr="00E3350E">
        <w:rPr>
          <w:rFonts w:cs="Arial"/>
          <w:szCs w:val="24"/>
          <w:lang w:val="en-AU"/>
        </w:rPr>
        <w:t>The Asia Pacific Regional Aviation Safety Team (APRAST) is a subgroup of the RASG–APAC. CASA delegates attended APRAST meetings in Bangkok, Thailand, from 20 to 24 November 2017 and</w:t>
      </w:r>
      <w:r>
        <w:rPr>
          <w:rFonts w:cs="Arial"/>
          <w:szCs w:val="24"/>
          <w:lang w:val="en-AU"/>
        </w:rPr>
        <w:t xml:space="preserve"> from</w:t>
      </w:r>
      <w:r w:rsidRPr="00E3350E">
        <w:rPr>
          <w:rFonts w:cs="Arial"/>
          <w:szCs w:val="24"/>
          <w:lang w:val="en-AU"/>
        </w:rPr>
        <w:t xml:space="preserve"> 28 May to 1 June 2018. The objective of APRAST is to recommend to the RASG–APAC interventions that will reduce aviation risks in the Asia</w:t>
      </w:r>
      <w:r>
        <w:rPr>
          <w:rFonts w:cs="Arial"/>
          <w:szCs w:val="24"/>
          <w:lang w:val="en-AU"/>
        </w:rPr>
        <w:t>-</w:t>
      </w:r>
      <w:r w:rsidRPr="00E3350E">
        <w:rPr>
          <w:rFonts w:cs="Arial"/>
          <w:szCs w:val="24"/>
          <w:lang w:val="en-AU"/>
        </w:rPr>
        <w:t>Pacific region. APRAST includes representatives of overseas regulatory agencies in the Asia</w:t>
      </w:r>
      <w:r>
        <w:rPr>
          <w:rFonts w:cs="Arial"/>
          <w:szCs w:val="24"/>
          <w:lang w:val="en-AU"/>
        </w:rPr>
        <w:t>-</w:t>
      </w:r>
      <w:r w:rsidRPr="00E3350E">
        <w:rPr>
          <w:rFonts w:cs="Arial"/>
          <w:szCs w:val="24"/>
          <w:lang w:val="en-AU"/>
        </w:rPr>
        <w:t>Pacific region, as well as industry and other organisations.</w:t>
      </w:r>
    </w:p>
    <w:p w14:paraId="7C8B7306" w14:textId="77777777" w:rsidR="00860F8E" w:rsidRPr="00E3350E" w:rsidRDefault="00860F8E" w:rsidP="00860F8E">
      <w:pPr>
        <w:pStyle w:val="Heading3"/>
        <w:rPr>
          <w:lang w:val="en-AU"/>
        </w:rPr>
      </w:pPr>
      <w:r w:rsidRPr="00E3350E">
        <w:rPr>
          <w:lang w:val="en-AU"/>
        </w:rPr>
        <w:t>Cooperative arrangements and agreements</w:t>
      </w:r>
    </w:p>
    <w:p w14:paraId="0CC89569" w14:textId="77777777" w:rsidR="00860F8E" w:rsidRPr="00E3350E" w:rsidRDefault="00860F8E" w:rsidP="00860F8E">
      <w:pPr>
        <w:autoSpaceDE w:val="0"/>
        <w:autoSpaceDN w:val="0"/>
        <w:adjustRightInd w:val="0"/>
        <w:rPr>
          <w:rFonts w:cs="Arial"/>
          <w:szCs w:val="24"/>
          <w:lang w:val="en-AU"/>
        </w:rPr>
      </w:pPr>
      <w:r w:rsidRPr="00E3350E">
        <w:rPr>
          <w:rFonts w:cs="Arial"/>
          <w:szCs w:val="24"/>
          <w:lang w:val="en-AU"/>
        </w:rPr>
        <w:t>Bilateral arrangements and agreements enable CASA and the wider Australian government to formalise regulatory relationships with foreign counterparts and streamline regulatory processes</w:t>
      </w:r>
      <w:r>
        <w:rPr>
          <w:rFonts w:cs="Arial"/>
          <w:szCs w:val="24"/>
          <w:lang w:val="en-AU"/>
        </w:rPr>
        <w:t>,</w:t>
      </w:r>
      <w:r w:rsidRPr="00E3350E">
        <w:rPr>
          <w:rFonts w:cs="Arial"/>
          <w:szCs w:val="24"/>
          <w:lang w:val="en-AU"/>
        </w:rPr>
        <w:t xml:space="preserve"> resulting in outcomes </w:t>
      </w:r>
      <w:r>
        <w:rPr>
          <w:rFonts w:cs="Arial"/>
          <w:szCs w:val="24"/>
          <w:lang w:val="en-AU"/>
        </w:rPr>
        <w:t>that</w:t>
      </w:r>
      <w:r w:rsidRPr="00E3350E">
        <w:rPr>
          <w:rFonts w:cs="Arial"/>
          <w:szCs w:val="24"/>
          <w:lang w:val="en-AU"/>
        </w:rPr>
        <w:t xml:space="preserve"> benefit the aviation industry by improving </w:t>
      </w:r>
      <w:r>
        <w:rPr>
          <w:rFonts w:cs="Arial"/>
          <w:szCs w:val="24"/>
          <w:lang w:val="en-AU"/>
        </w:rPr>
        <w:t xml:space="preserve">the </w:t>
      </w:r>
      <w:r w:rsidRPr="00E3350E">
        <w:rPr>
          <w:rFonts w:cs="Arial"/>
          <w:szCs w:val="24"/>
          <w:lang w:val="en-AU"/>
        </w:rPr>
        <w:t>consistency of safety considerations, lead to a coordinated regulatory approach and reduce regulatory costs.</w:t>
      </w:r>
    </w:p>
    <w:p w14:paraId="061883BD" w14:textId="77777777" w:rsidR="00860F8E" w:rsidRPr="00E3350E" w:rsidRDefault="00860F8E" w:rsidP="00860F8E">
      <w:pPr>
        <w:autoSpaceDE w:val="0"/>
        <w:autoSpaceDN w:val="0"/>
        <w:adjustRightInd w:val="0"/>
        <w:rPr>
          <w:rFonts w:cs="Arial"/>
          <w:szCs w:val="24"/>
          <w:lang w:val="en-AU"/>
        </w:rPr>
      </w:pPr>
      <w:r>
        <w:rPr>
          <w:rFonts w:cs="Arial"/>
          <w:szCs w:val="24"/>
          <w:lang w:val="en-AU"/>
        </w:rPr>
        <w:t>In</w:t>
      </w:r>
      <w:r w:rsidRPr="00E3350E">
        <w:rPr>
          <w:rFonts w:cs="Arial"/>
          <w:szCs w:val="24"/>
          <w:lang w:val="en-AU"/>
        </w:rPr>
        <w:t xml:space="preserve"> June 2018, CASA was a participant in </w:t>
      </w:r>
      <w:r>
        <w:rPr>
          <w:rFonts w:cs="Arial"/>
          <w:szCs w:val="24"/>
          <w:lang w:val="en-AU"/>
        </w:rPr>
        <w:t>more than</w:t>
      </w:r>
      <w:r w:rsidRPr="00E3350E">
        <w:rPr>
          <w:rFonts w:cs="Arial"/>
          <w:szCs w:val="24"/>
          <w:lang w:val="en-AU"/>
        </w:rPr>
        <w:t xml:space="preserve"> 25 bilateral arrangements or agreements with </w:t>
      </w:r>
      <w:r>
        <w:rPr>
          <w:rFonts w:cs="Arial"/>
          <w:szCs w:val="24"/>
          <w:lang w:val="en-AU"/>
        </w:rPr>
        <w:t xml:space="preserve">a total of </w:t>
      </w:r>
      <w:r w:rsidRPr="00E3350E">
        <w:rPr>
          <w:rFonts w:cs="Arial"/>
          <w:szCs w:val="24"/>
          <w:lang w:val="en-AU"/>
        </w:rPr>
        <w:t>13 countries and international organisations</w:t>
      </w:r>
      <w:r w:rsidR="00436F3D">
        <w:rPr>
          <w:rFonts w:cs="Arial"/>
          <w:szCs w:val="24"/>
          <w:lang w:val="en-AU"/>
        </w:rPr>
        <w:t>,</w:t>
      </w:r>
      <w:r w:rsidRPr="00E3350E">
        <w:rPr>
          <w:rFonts w:cs="Arial"/>
          <w:szCs w:val="24"/>
          <w:lang w:val="en-AU"/>
        </w:rPr>
        <w:t xml:space="preserve"> on matters ranging from airworthiness and aeronautical product certification to information sharing and mutual recognition of operators. Such </w:t>
      </w:r>
      <w:r>
        <w:rPr>
          <w:rFonts w:cs="Arial"/>
          <w:szCs w:val="24"/>
          <w:lang w:val="en-AU"/>
        </w:rPr>
        <w:t>arrangements</w:t>
      </w:r>
      <w:r w:rsidRPr="00E3350E">
        <w:rPr>
          <w:rFonts w:cs="Arial"/>
          <w:szCs w:val="24"/>
          <w:lang w:val="en-AU"/>
        </w:rPr>
        <w:t xml:space="preserve"> underpin and institutionalise working relationships between civil aviation safety agencies and enable better regulatory oversight of operators and companies that conduct business in Australia and overseas.</w:t>
      </w:r>
    </w:p>
    <w:p w14:paraId="75828BAD" w14:textId="77777777" w:rsidR="00860F8E" w:rsidRDefault="00860F8E" w:rsidP="00860F8E">
      <w:pPr>
        <w:autoSpaceDE w:val="0"/>
        <w:autoSpaceDN w:val="0"/>
        <w:adjustRightInd w:val="0"/>
        <w:rPr>
          <w:rFonts w:cs="Arial"/>
          <w:szCs w:val="24"/>
          <w:lang w:val="en-AU"/>
        </w:rPr>
      </w:pPr>
      <w:r w:rsidRPr="00E3350E">
        <w:rPr>
          <w:rFonts w:cs="Arial"/>
          <w:szCs w:val="24"/>
          <w:lang w:val="en-AU"/>
        </w:rPr>
        <w:t xml:space="preserve">In particular, the Australian </w:t>
      </w:r>
      <w:r>
        <w:rPr>
          <w:rFonts w:cs="Arial"/>
          <w:szCs w:val="24"/>
          <w:lang w:val="en-AU"/>
        </w:rPr>
        <w:t>G</w:t>
      </w:r>
      <w:r w:rsidRPr="00E3350E">
        <w:rPr>
          <w:rFonts w:cs="Arial"/>
          <w:szCs w:val="24"/>
          <w:lang w:val="en-AU"/>
        </w:rPr>
        <w:t>overnment’s bilateral arrangements with Papua New Guinea (PNG) and Indonesia on aviation matters enabled CASA to implement 12</w:t>
      </w:r>
      <w:r>
        <w:rPr>
          <w:rFonts w:cs="Arial"/>
          <w:szCs w:val="24"/>
          <w:lang w:val="en-AU"/>
        </w:rPr>
        <w:t xml:space="preserve"> </w:t>
      </w:r>
      <w:r w:rsidRPr="00E3350E">
        <w:rPr>
          <w:rFonts w:cs="Arial"/>
          <w:szCs w:val="24"/>
          <w:lang w:val="en-AU"/>
        </w:rPr>
        <w:t>activities throughout the year through engagement with counterpart agencies to strengthen regulatory and organisational capacity, while also improving capacity in technical fields. Th</w:t>
      </w:r>
      <w:r>
        <w:rPr>
          <w:rFonts w:cs="Arial"/>
          <w:szCs w:val="24"/>
          <w:lang w:val="en-AU"/>
        </w:rPr>
        <w:t>o</w:t>
      </w:r>
      <w:r w:rsidRPr="00E3350E">
        <w:rPr>
          <w:rFonts w:cs="Arial"/>
          <w:szCs w:val="24"/>
          <w:lang w:val="en-AU"/>
        </w:rPr>
        <w:t xml:space="preserve">se technical fields included dangerous goods oversight, aviation medical standards, remotely piloted aircraft system operations, aviation law enhancements and aerodrome emergency planning. </w:t>
      </w:r>
    </w:p>
    <w:p w14:paraId="2C355785" w14:textId="77777777" w:rsidR="00860F8E" w:rsidRPr="00E3350E" w:rsidRDefault="00860F8E" w:rsidP="00860F8E">
      <w:pPr>
        <w:autoSpaceDE w:val="0"/>
        <w:autoSpaceDN w:val="0"/>
        <w:adjustRightInd w:val="0"/>
        <w:rPr>
          <w:rFonts w:cs="Arial"/>
          <w:szCs w:val="24"/>
          <w:lang w:val="en-AU"/>
        </w:rPr>
      </w:pPr>
      <w:r w:rsidRPr="00E3350E">
        <w:rPr>
          <w:rFonts w:cs="Arial"/>
          <w:szCs w:val="24"/>
          <w:lang w:val="en-AU"/>
        </w:rPr>
        <w:t>CASA’s activities with Indonesia and PNG under Australian Aid have been ongoing since 2007 and 2010</w:t>
      </w:r>
      <w:r>
        <w:rPr>
          <w:rFonts w:cs="Arial"/>
          <w:szCs w:val="24"/>
          <w:lang w:val="en-AU"/>
        </w:rPr>
        <w:t>,</w:t>
      </w:r>
      <w:r w:rsidRPr="00E3350E">
        <w:rPr>
          <w:rFonts w:cs="Arial"/>
          <w:szCs w:val="24"/>
          <w:lang w:val="en-AU"/>
        </w:rPr>
        <w:t xml:space="preserve"> respectively. Both the Indonesian and </w:t>
      </w:r>
      <w:r>
        <w:rPr>
          <w:rFonts w:cs="Arial"/>
          <w:szCs w:val="24"/>
          <w:lang w:val="en-AU"/>
        </w:rPr>
        <w:t xml:space="preserve">the </w:t>
      </w:r>
      <w:r w:rsidRPr="00E3350E">
        <w:rPr>
          <w:rFonts w:cs="Arial"/>
          <w:szCs w:val="24"/>
          <w:lang w:val="en-AU"/>
        </w:rPr>
        <w:t xml:space="preserve">PNG governments have recognised the positive influence </w:t>
      </w:r>
      <w:r>
        <w:rPr>
          <w:rFonts w:cs="Arial"/>
          <w:szCs w:val="24"/>
          <w:lang w:val="en-AU"/>
        </w:rPr>
        <w:t xml:space="preserve">that </w:t>
      </w:r>
      <w:r w:rsidRPr="00E3350E">
        <w:rPr>
          <w:rFonts w:cs="Arial"/>
          <w:szCs w:val="24"/>
          <w:lang w:val="en-AU"/>
        </w:rPr>
        <w:t xml:space="preserve">these activities have </w:t>
      </w:r>
      <w:r>
        <w:rPr>
          <w:rFonts w:cs="Arial"/>
          <w:szCs w:val="24"/>
          <w:lang w:val="en-AU"/>
        </w:rPr>
        <w:t>had in</w:t>
      </w:r>
      <w:r w:rsidRPr="00E3350E">
        <w:rPr>
          <w:rFonts w:cs="Arial"/>
          <w:szCs w:val="24"/>
          <w:lang w:val="en-AU"/>
        </w:rPr>
        <w:t xml:space="preserve"> improv</w:t>
      </w:r>
      <w:r>
        <w:rPr>
          <w:rFonts w:cs="Arial"/>
          <w:szCs w:val="24"/>
          <w:lang w:val="en-AU"/>
        </w:rPr>
        <w:t>ing their</w:t>
      </w:r>
      <w:r w:rsidRPr="00E3350E">
        <w:rPr>
          <w:rFonts w:cs="Arial"/>
          <w:szCs w:val="24"/>
          <w:lang w:val="en-AU"/>
        </w:rPr>
        <w:t xml:space="preserve"> 2017–18 </w:t>
      </w:r>
      <w:r>
        <w:rPr>
          <w:rFonts w:cs="Arial"/>
          <w:szCs w:val="24"/>
          <w:lang w:val="en-AU"/>
        </w:rPr>
        <w:t>ICAO</w:t>
      </w:r>
      <w:r w:rsidRPr="00E3350E">
        <w:rPr>
          <w:rFonts w:cs="Arial"/>
          <w:szCs w:val="24"/>
          <w:lang w:val="en-AU"/>
        </w:rPr>
        <w:t xml:space="preserve"> </w:t>
      </w:r>
      <w:r>
        <w:rPr>
          <w:rFonts w:cs="Arial"/>
          <w:szCs w:val="24"/>
          <w:lang w:val="en-AU"/>
        </w:rPr>
        <w:t>c</w:t>
      </w:r>
      <w:r w:rsidRPr="00E3350E">
        <w:rPr>
          <w:rFonts w:cs="Arial"/>
          <w:szCs w:val="24"/>
          <w:lang w:val="en-AU"/>
        </w:rPr>
        <w:t xml:space="preserve">oordinated </w:t>
      </w:r>
      <w:r>
        <w:rPr>
          <w:rFonts w:cs="Arial"/>
          <w:szCs w:val="24"/>
          <w:lang w:val="en-AU"/>
        </w:rPr>
        <w:t>v</w:t>
      </w:r>
      <w:r w:rsidRPr="00E3350E">
        <w:rPr>
          <w:rFonts w:cs="Arial"/>
          <w:szCs w:val="24"/>
          <w:lang w:val="en-AU"/>
        </w:rPr>
        <w:t xml:space="preserve">alidation </w:t>
      </w:r>
      <w:r>
        <w:rPr>
          <w:rFonts w:cs="Arial"/>
          <w:szCs w:val="24"/>
          <w:lang w:val="en-AU"/>
        </w:rPr>
        <w:t>m</w:t>
      </w:r>
      <w:r w:rsidRPr="00E3350E">
        <w:rPr>
          <w:rFonts w:cs="Arial"/>
          <w:szCs w:val="24"/>
          <w:lang w:val="en-AU"/>
        </w:rPr>
        <w:t xml:space="preserve">ission effective implementation scores. PNG’s interim score for 2018 is 62.16 per cent, an improvement from 50.41 per cent in 2013, and Indonesia had an overall score of 80.34 per cent in 2017, an improvement from 50.61 </w:t>
      </w:r>
      <w:r w:rsidRPr="00E3350E">
        <w:rPr>
          <w:rFonts w:cs="Arial"/>
          <w:szCs w:val="24"/>
          <w:lang w:val="en-AU"/>
        </w:rPr>
        <w:lastRenderedPageBreak/>
        <w:t xml:space="preserve">per cent in 2016. Indonesia’s improved score has been particularly rewarding, </w:t>
      </w:r>
      <w:r>
        <w:rPr>
          <w:rFonts w:cs="Arial"/>
          <w:szCs w:val="24"/>
          <w:lang w:val="en-AU"/>
        </w:rPr>
        <w:t>as</w:t>
      </w:r>
      <w:r w:rsidRPr="00E3350E">
        <w:rPr>
          <w:rFonts w:cs="Arial"/>
          <w:szCs w:val="24"/>
          <w:lang w:val="en-AU"/>
        </w:rPr>
        <w:t xml:space="preserve"> all Indonesian airlines </w:t>
      </w:r>
      <w:r>
        <w:rPr>
          <w:rFonts w:cs="Arial"/>
          <w:szCs w:val="24"/>
          <w:lang w:val="en-AU"/>
        </w:rPr>
        <w:t xml:space="preserve">were removed </w:t>
      </w:r>
      <w:r w:rsidRPr="00E3350E">
        <w:rPr>
          <w:rFonts w:cs="Arial"/>
          <w:szCs w:val="24"/>
          <w:lang w:val="en-AU"/>
        </w:rPr>
        <w:t>from the European Commission’s EU Air Safety List in June 2018.</w:t>
      </w:r>
    </w:p>
    <w:p w14:paraId="156B63E8" w14:textId="77777777" w:rsidR="00860F8E" w:rsidRPr="00E3350E" w:rsidRDefault="00860F8E" w:rsidP="00860F8E">
      <w:pPr>
        <w:autoSpaceDE w:val="0"/>
        <w:autoSpaceDN w:val="0"/>
        <w:adjustRightInd w:val="0"/>
        <w:rPr>
          <w:rFonts w:cs="Arial"/>
          <w:szCs w:val="24"/>
          <w:lang w:val="en-AU"/>
        </w:rPr>
      </w:pPr>
      <w:r w:rsidRPr="00E3350E">
        <w:rPr>
          <w:rFonts w:cs="Arial"/>
          <w:szCs w:val="24"/>
          <w:lang w:val="en-AU"/>
        </w:rPr>
        <w:t>Throughout 2017–18, CASA worked towards new arrangements and reciprocal policy approaches on:</w:t>
      </w:r>
    </w:p>
    <w:p w14:paraId="53E485E9" w14:textId="77777777" w:rsidR="00860F8E" w:rsidRPr="00E3350E" w:rsidRDefault="00860F8E" w:rsidP="00860F8E">
      <w:pPr>
        <w:pStyle w:val="Bullet"/>
      </w:pPr>
      <w:r w:rsidRPr="00E3350E">
        <w:t>mutual recognition of private pilot licences and Class 2 medical certificates with the Civil Aviation Authority of New Zealand (CAA NZ)</w:t>
      </w:r>
    </w:p>
    <w:p w14:paraId="00F21231" w14:textId="77777777" w:rsidR="00860F8E" w:rsidRPr="00E3350E" w:rsidRDefault="00860F8E" w:rsidP="00860F8E">
      <w:pPr>
        <w:pStyle w:val="Bullet"/>
      </w:pPr>
      <w:r w:rsidRPr="00E3350E">
        <w:t>a technical arrangement with the Civil Aviation Authority of Singapore to enable recognition of flight simulation training devices and flight crew licensing outcomes</w:t>
      </w:r>
    </w:p>
    <w:p w14:paraId="61B08D68" w14:textId="77777777" w:rsidR="00860F8E" w:rsidRPr="00E3350E" w:rsidRDefault="00860F8E" w:rsidP="00860F8E">
      <w:pPr>
        <w:pStyle w:val="Bullet"/>
      </w:pPr>
      <w:r w:rsidRPr="00E3350E">
        <w:t>sharing of flight crew licensing material with the Civil Aviation Safety Authority of Papua New Guinea</w:t>
      </w:r>
    </w:p>
    <w:p w14:paraId="4D2DC40B" w14:textId="77777777" w:rsidR="00860F8E" w:rsidRPr="00E3350E" w:rsidRDefault="00860F8E" w:rsidP="00860F8E">
      <w:pPr>
        <w:pStyle w:val="Bullet"/>
      </w:pPr>
      <w:r w:rsidRPr="00E3350E">
        <w:t xml:space="preserve">a technical assistance arrangement to provide cost-recoverable expertise and inspection services to </w:t>
      </w:r>
      <w:r w:rsidR="00B56F3A">
        <w:t>PASO</w:t>
      </w:r>
      <w:r w:rsidRPr="00E3350E">
        <w:t xml:space="preserve">, for the benefit of 10 Pacific </w:t>
      </w:r>
      <w:r>
        <w:t>i</w:t>
      </w:r>
      <w:r w:rsidRPr="00E3350E">
        <w:t>sland countries.</w:t>
      </w:r>
    </w:p>
    <w:p w14:paraId="6FC6C990" w14:textId="77777777" w:rsidR="00860F8E" w:rsidRPr="00E3350E" w:rsidRDefault="00860F8E" w:rsidP="00860F8E">
      <w:pPr>
        <w:autoSpaceDE w:val="0"/>
        <w:autoSpaceDN w:val="0"/>
        <w:adjustRightInd w:val="0"/>
        <w:rPr>
          <w:rFonts w:cs="Arial"/>
          <w:szCs w:val="24"/>
          <w:lang w:val="en-AU"/>
        </w:rPr>
      </w:pPr>
      <w:r>
        <w:rPr>
          <w:rFonts w:cs="Arial"/>
          <w:szCs w:val="24"/>
          <w:lang w:val="en-AU"/>
        </w:rPr>
        <w:t>One</w:t>
      </w:r>
      <w:r w:rsidRPr="00E3350E">
        <w:rPr>
          <w:rFonts w:cs="Arial"/>
          <w:szCs w:val="24"/>
          <w:lang w:val="en-AU"/>
        </w:rPr>
        <w:t xml:space="preserve"> key accomplishment was CASA</w:t>
      </w:r>
      <w:r>
        <w:rPr>
          <w:rFonts w:cs="Arial"/>
          <w:szCs w:val="24"/>
          <w:lang w:val="en-AU"/>
        </w:rPr>
        <w:t>’s</w:t>
      </w:r>
      <w:r w:rsidRPr="00E3350E">
        <w:rPr>
          <w:rFonts w:cs="Arial"/>
          <w:szCs w:val="24"/>
          <w:lang w:val="en-AU"/>
        </w:rPr>
        <w:t xml:space="preserve"> signing</w:t>
      </w:r>
      <w:r>
        <w:rPr>
          <w:rFonts w:cs="Arial"/>
          <w:szCs w:val="24"/>
          <w:lang w:val="en-AU"/>
        </w:rPr>
        <w:t xml:space="preserve"> of</w:t>
      </w:r>
      <w:r w:rsidRPr="00E3350E">
        <w:rPr>
          <w:rFonts w:cs="Arial"/>
          <w:szCs w:val="24"/>
          <w:lang w:val="en-AU"/>
        </w:rPr>
        <w:t xml:space="preserve"> the first trilateral arrangement with CAA NZ and Transport Canada on information sharing and regulatory cooperation</w:t>
      </w:r>
      <w:r>
        <w:rPr>
          <w:rFonts w:cs="Arial"/>
          <w:szCs w:val="24"/>
          <w:lang w:val="en-AU"/>
        </w:rPr>
        <w:t>, which took place</w:t>
      </w:r>
      <w:r w:rsidRPr="00E3350E">
        <w:rPr>
          <w:rFonts w:cs="Arial"/>
          <w:szCs w:val="24"/>
          <w:lang w:val="en-AU"/>
        </w:rPr>
        <w:t xml:space="preserve"> in June 2018 at the margins of the FAA</w:t>
      </w:r>
      <w:r w:rsidR="003C6F57">
        <w:rPr>
          <w:rFonts w:cs="Arial"/>
          <w:szCs w:val="24"/>
          <w:lang w:val="en-AU"/>
        </w:rPr>
        <w:t>–</w:t>
      </w:r>
      <w:r w:rsidRPr="00E3350E">
        <w:rPr>
          <w:rFonts w:cs="Arial"/>
          <w:szCs w:val="24"/>
          <w:lang w:val="en-AU"/>
        </w:rPr>
        <w:t>EASA International Aviation Safety Conference in Washington DC</w:t>
      </w:r>
      <w:r>
        <w:rPr>
          <w:rFonts w:cs="Arial"/>
          <w:szCs w:val="24"/>
          <w:lang w:val="en-AU"/>
        </w:rPr>
        <w:t>. This</w:t>
      </w:r>
      <w:r w:rsidRPr="00E3350E">
        <w:rPr>
          <w:rFonts w:cs="Arial"/>
          <w:szCs w:val="24"/>
          <w:lang w:val="en-AU"/>
        </w:rPr>
        <w:t xml:space="preserve"> sets a solid foundation for closer ties in </w:t>
      </w:r>
      <w:r>
        <w:rPr>
          <w:rFonts w:cs="Arial"/>
          <w:szCs w:val="24"/>
          <w:lang w:val="en-AU"/>
        </w:rPr>
        <w:t>the future</w:t>
      </w:r>
      <w:r w:rsidRPr="00E3350E">
        <w:rPr>
          <w:rFonts w:cs="Arial"/>
          <w:szCs w:val="24"/>
          <w:lang w:val="en-AU"/>
        </w:rPr>
        <w:t>.</w:t>
      </w:r>
    </w:p>
    <w:p w14:paraId="382F84E9" w14:textId="77777777" w:rsidR="00860F8E" w:rsidRPr="00E3350E" w:rsidRDefault="00860F8E" w:rsidP="00860F8E">
      <w:pPr>
        <w:rPr>
          <w:rFonts w:cs="Arial"/>
          <w:szCs w:val="24"/>
          <w:lang w:val="en-AU"/>
        </w:rPr>
      </w:pPr>
      <w:r w:rsidRPr="00E3350E">
        <w:rPr>
          <w:rFonts w:cs="Arial"/>
          <w:szCs w:val="24"/>
          <w:lang w:val="en-AU"/>
        </w:rPr>
        <w:t xml:space="preserve">Discussions with CASA stakeholders will continue in 2018–19 to implement and review new initiatives, including </w:t>
      </w:r>
      <w:r>
        <w:rPr>
          <w:rFonts w:cs="Arial"/>
          <w:szCs w:val="24"/>
          <w:lang w:val="en-AU"/>
        </w:rPr>
        <w:t xml:space="preserve">by </w:t>
      </w:r>
      <w:r w:rsidRPr="00E3350E">
        <w:rPr>
          <w:rFonts w:cs="Arial"/>
          <w:szCs w:val="24"/>
          <w:lang w:val="en-AU"/>
        </w:rPr>
        <w:t>enacting the necessary regulatory amendments. CASA also continues to review cooperative arrangements and consider new engagement opportunities with great benefit to aviation industry participants</w:t>
      </w:r>
      <w:r>
        <w:rPr>
          <w:rFonts w:cs="Arial"/>
          <w:szCs w:val="24"/>
          <w:lang w:val="en-AU"/>
        </w:rPr>
        <w:t>,</w:t>
      </w:r>
      <w:r w:rsidRPr="00E3350E">
        <w:rPr>
          <w:rFonts w:cs="Arial"/>
          <w:szCs w:val="24"/>
          <w:lang w:val="en-AU"/>
        </w:rPr>
        <w:t xml:space="preserve"> leading to improved and more effective and efficient regulatory outcomes in Australia.</w:t>
      </w:r>
    </w:p>
    <w:p w14:paraId="120AB231" w14:textId="77777777" w:rsidR="00860F8E" w:rsidRPr="00E3350E" w:rsidRDefault="00860F8E" w:rsidP="00860F8E">
      <w:pPr>
        <w:pStyle w:val="Heading3"/>
        <w:rPr>
          <w:lang w:val="en-AU"/>
        </w:rPr>
      </w:pPr>
      <w:r w:rsidRPr="004053A1">
        <w:t xml:space="preserve">20th </w:t>
      </w:r>
      <w:r w:rsidRPr="00E3350E">
        <w:rPr>
          <w:lang w:val="en-AU"/>
        </w:rPr>
        <w:t>Asia-Pacific Bilateral Partners Dialogue Meeting</w:t>
      </w:r>
    </w:p>
    <w:p w14:paraId="3F62C995" w14:textId="77777777" w:rsidR="00860F8E" w:rsidRDefault="00860F8E" w:rsidP="00860F8E">
      <w:pPr>
        <w:rPr>
          <w:rFonts w:cs="Arial"/>
          <w:szCs w:val="24"/>
          <w:lang w:val="en-AU"/>
        </w:rPr>
      </w:pPr>
      <w:r w:rsidRPr="00E3350E">
        <w:rPr>
          <w:rFonts w:cs="Arial"/>
          <w:szCs w:val="24"/>
          <w:lang w:val="en-AU"/>
        </w:rPr>
        <w:t xml:space="preserve">In March 2018, CASA </w:t>
      </w:r>
      <w:r>
        <w:rPr>
          <w:rFonts w:cs="Arial"/>
          <w:szCs w:val="24"/>
          <w:lang w:val="en-AU"/>
        </w:rPr>
        <w:t>hosted</w:t>
      </w:r>
      <w:r w:rsidRPr="00E3350E">
        <w:rPr>
          <w:rFonts w:cs="Arial"/>
          <w:szCs w:val="24"/>
          <w:lang w:val="en-AU"/>
        </w:rPr>
        <w:t xml:space="preserve"> the </w:t>
      </w:r>
      <w:r w:rsidR="00EA214A" w:rsidRPr="00E3350E">
        <w:rPr>
          <w:rFonts w:cs="Arial"/>
          <w:szCs w:val="24"/>
          <w:lang w:val="en-AU"/>
        </w:rPr>
        <w:t>2</w:t>
      </w:r>
      <w:r w:rsidR="00EA214A" w:rsidRPr="004053A1">
        <w:t xml:space="preserve">0th </w:t>
      </w:r>
      <w:r w:rsidRPr="00E3350E">
        <w:rPr>
          <w:rFonts w:cs="Arial"/>
          <w:szCs w:val="24"/>
          <w:lang w:val="en-AU"/>
        </w:rPr>
        <w:t xml:space="preserve">FAA Asia-Pacific Bilateral Partners Dialogue Meeting under the auspices of </w:t>
      </w:r>
      <w:r>
        <w:rPr>
          <w:rFonts w:cs="Arial"/>
          <w:szCs w:val="24"/>
          <w:lang w:val="en-AU"/>
        </w:rPr>
        <w:t>b</w:t>
      </w:r>
      <w:r w:rsidRPr="00E3350E">
        <w:rPr>
          <w:rFonts w:cs="Arial"/>
          <w:szCs w:val="24"/>
          <w:lang w:val="en-AU"/>
        </w:rPr>
        <w:t xml:space="preserve">ilateral </w:t>
      </w:r>
      <w:r>
        <w:rPr>
          <w:rFonts w:cs="Arial"/>
          <w:szCs w:val="24"/>
          <w:lang w:val="en-AU"/>
        </w:rPr>
        <w:t>a</w:t>
      </w:r>
      <w:r w:rsidRPr="00E3350E">
        <w:rPr>
          <w:rFonts w:cs="Arial"/>
          <w:szCs w:val="24"/>
          <w:lang w:val="en-AU"/>
        </w:rPr>
        <w:t xml:space="preserve">viation </w:t>
      </w:r>
      <w:r>
        <w:rPr>
          <w:rFonts w:cs="Arial"/>
          <w:szCs w:val="24"/>
          <w:lang w:val="en-AU"/>
        </w:rPr>
        <w:t>s</w:t>
      </w:r>
      <w:r w:rsidRPr="00E3350E">
        <w:rPr>
          <w:rFonts w:cs="Arial"/>
          <w:szCs w:val="24"/>
          <w:lang w:val="en-AU"/>
        </w:rPr>
        <w:t xml:space="preserve">afety </w:t>
      </w:r>
      <w:r>
        <w:rPr>
          <w:rFonts w:cs="Arial"/>
          <w:szCs w:val="24"/>
          <w:lang w:val="en-AU"/>
        </w:rPr>
        <w:t>a</w:t>
      </w:r>
      <w:r w:rsidRPr="00E3350E">
        <w:rPr>
          <w:rFonts w:cs="Arial"/>
          <w:szCs w:val="24"/>
          <w:lang w:val="en-AU"/>
        </w:rPr>
        <w:t xml:space="preserve">greements entered </w:t>
      </w:r>
      <w:r>
        <w:rPr>
          <w:rFonts w:cs="Arial"/>
          <w:szCs w:val="24"/>
          <w:lang w:val="en-AU"/>
        </w:rPr>
        <w:t xml:space="preserve">into </w:t>
      </w:r>
      <w:r w:rsidRPr="00E3350E">
        <w:rPr>
          <w:rFonts w:cs="Arial"/>
          <w:szCs w:val="24"/>
          <w:lang w:val="en-AU"/>
        </w:rPr>
        <w:t xml:space="preserve">with the United States. The meeting was themed ‘Striking the Balance: Sustaining Aviation Safety while Embracing Innovation’ and was attended by </w:t>
      </w:r>
      <w:r>
        <w:rPr>
          <w:rFonts w:cs="Arial"/>
          <w:szCs w:val="24"/>
          <w:lang w:val="en-AU"/>
        </w:rPr>
        <w:t>more than</w:t>
      </w:r>
      <w:r w:rsidRPr="00E3350E">
        <w:rPr>
          <w:rFonts w:cs="Arial"/>
          <w:szCs w:val="24"/>
          <w:lang w:val="en-AU"/>
        </w:rPr>
        <w:t xml:space="preserve"> 40 foreign government and industry delegations. </w:t>
      </w:r>
    </w:p>
    <w:p w14:paraId="4BDC336B" w14:textId="77777777" w:rsidR="00860F8E" w:rsidRPr="00E3350E" w:rsidRDefault="00860F8E" w:rsidP="00860F8E">
      <w:pPr>
        <w:rPr>
          <w:rFonts w:cs="Arial"/>
          <w:szCs w:val="24"/>
          <w:lang w:val="en-AU"/>
        </w:rPr>
      </w:pPr>
      <w:r w:rsidRPr="00E3350E">
        <w:rPr>
          <w:rFonts w:cs="Arial"/>
          <w:szCs w:val="24"/>
          <w:lang w:val="en-AU"/>
        </w:rPr>
        <w:t xml:space="preserve">Plenary and bilateral discussions focused on airworthiness and certification linkages, as well as opportunities to update current and establish new bilateral arrangements and coordinated processes in recognition of emerging technological challenges in the aviation industry. Delegates commended CASA staff on the quality of </w:t>
      </w:r>
      <w:r>
        <w:rPr>
          <w:rFonts w:cs="Arial"/>
          <w:szCs w:val="24"/>
          <w:lang w:val="en-AU"/>
        </w:rPr>
        <w:t xml:space="preserve">the </w:t>
      </w:r>
      <w:r w:rsidRPr="00E3350E">
        <w:rPr>
          <w:rFonts w:cs="Arial"/>
          <w:szCs w:val="24"/>
          <w:lang w:val="en-AU"/>
        </w:rPr>
        <w:t>presenters and discussions and the excellent facilitation and professionalism of the Australian hosts.</w:t>
      </w:r>
    </w:p>
    <w:p w14:paraId="59AD64FD" w14:textId="77777777" w:rsidR="00860F8E" w:rsidRPr="00E3350E" w:rsidRDefault="00860F8E" w:rsidP="00860F8E">
      <w:pPr>
        <w:pStyle w:val="Heading3"/>
        <w:rPr>
          <w:lang w:val="en-AU"/>
        </w:rPr>
      </w:pPr>
      <w:r w:rsidRPr="00E3350E">
        <w:rPr>
          <w:lang w:val="en-AU"/>
        </w:rPr>
        <w:t>Thai</w:t>
      </w:r>
      <w:r>
        <w:rPr>
          <w:lang w:val="en-AU"/>
        </w:rPr>
        <w:t xml:space="preserve"> delegations</w:t>
      </w:r>
    </w:p>
    <w:p w14:paraId="6C0824EF" w14:textId="77777777" w:rsidR="00860F8E" w:rsidRDefault="00860F8E" w:rsidP="00860F8E">
      <w:pPr>
        <w:rPr>
          <w:rFonts w:cs="Arial"/>
          <w:szCs w:val="24"/>
          <w:lang w:val="en-AU"/>
        </w:rPr>
      </w:pPr>
      <w:r w:rsidRPr="00E3350E">
        <w:rPr>
          <w:rFonts w:cs="Arial"/>
          <w:szCs w:val="24"/>
          <w:lang w:val="en-AU"/>
        </w:rPr>
        <w:t xml:space="preserve">CASA hosted two delegations from the Civil Aviation Authority of Thailand (CAAT) and the Thai air navigation service provider, AEROTHAI, in November 2017 and June 2018. </w:t>
      </w:r>
    </w:p>
    <w:p w14:paraId="0F7DDBAA" w14:textId="77777777" w:rsidR="00860F8E" w:rsidRPr="00E3350E" w:rsidRDefault="00860F8E" w:rsidP="00860F8E">
      <w:pPr>
        <w:rPr>
          <w:rFonts w:cs="Arial"/>
          <w:szCs w:val="24"/>
          <w:lang w:val="en-AU"/>
        </w:rPr>
      </w:pPr>
      <w:r w:rsidRPr="00E3350E">
        <w:rPr>
          <w:rFonts w:cs="Arial"/>
          <w:szCs w:val="24"/>
          <w:lang w:val="en-AU"/>
        </w:rPr>
        <w:t xml:space="preserve">Discussion during the November 2017 meeting centred </w:t>
      </w:r>
      <w:r>
        <w:rPr>
          <w:rFonts w:cs="Arial"/>
          <w:szCs w:val="24"/>
          <w:lang w:val="en-AU"/>
        </w:rPr>
        <w:t>on</w:t>
      </w:r>
      <w:r w:rsidRPr="00E3350E">
        <w:rPr>
          <w:rFonts w:cs="Arial"/>
          <w:szCs w:val="24"/>
          <w:lang w:val="en-AU"/>
        </w:rPr>
        <w:t xml:space="preserve"> the regulatory system and the management of air navigation services</w:t>
      </w:r>
      <w:r>
        <w:rPr>
          <w:rFonts w:cs="Arial"/>
          <w:szCs w:val="24"/>
          <w:lang w:val="en-AU"/>
        </w:rPr>
        <w:t>,</w:t>
      </w:r>
      <w:r w:rsidRPr="00E3350E">
        <w:rPr>
          <w:rFonts w:cs="Arial"/>
          <w:szCs w:val="24"/>
          <w:lang w:val="en-AU"/>
        </w:rPr>
        <w:t xml:space="preserve"> while the focus of the June 2018 meeting was on Australia’s legislative and regulatory structure</w:t>
      </w:r>
      <w:r>
        <w:rPr>
          <w:rFonts w:cs="Arial"/>
          <w:szCs w:val="24"/>
          <w:lang w:val="en-AU"/>
        </w:rPr>
        <w:t>,</w:t>
      </w:r>
      <w:r w:rsidRPr="00E3350E">
        <w:rPr>
          <w:rFonts w:cs="Arial"/>
          <w:szCs w:val="24"/>
          <w:lang w:val="en-AU"/>
        </w:rPr>
        <w:t xml:space="preserve"> including</w:t>
      </w:r>
      <w:r>
        <w:rPr>
          <w:rFonts w:cs="Arial"/>
          <w:szCs w:val="24"/>
          <w:lang w:val="en-AU"/>
        </w:rPr>
        <w:t xml:space="preserve"> the regulatory oversight of</w:t>
      </w:r>
      <w:r w:rsidRPr="00E3350E">
        <w:rPr>
          <w:rFonts w:cs="Arial"/>
          <w:szCs w:val="24"/>
          <w:lang w:val="en-AU"/>
        </w:rPr>
        <w:t xml:space="preserve"> aeronautical information services</w:t>
      </w:r>
      <w:r>
        <w:rPr>
          <w:rFonts w:cs="Arial"/>
          <w:szCs w:val="24"/>
          <w:lang w:val="en-AU"/>
        </w:rPr>
        <w:t xml:space="preserve"> and </w:t>
      </w:r>
      <w:r w:rsidRPr="00E3350E">
        <w:rPr>
          <w:rFonts w:cs="Arial"/>
          <w:szCs w:val="24"/>
          <w:lang w:val="en-AU"/>
        </w:rPr>
        <w:t>aeronautical information management</w:t>
      </w:r>
      <w:r>
        <w:rPr>
          <w:rFonts w:cs="Arial"/>
          <w:szCs w:val="24"/>
          <w:lang w:val="en-AU"/>
        </w:rPr>
        <w:t>;</w:t>
      </w:r>
      <w:r w:rsidRPr="00E3350E">
        <w:rPr>
          <w:rFonts w:cs="Arial"/>
          <w:szCs w:val="24"/>
          <w:lang w:val="en-AU"/>
        </w:rPr>
        <w:t xml:space="preserve"> inspector qualifications</w:t>
      </w:r>
      <w:r>
        <w:rPr>
          <w:rFonts w:cs="Arial"/>
          <w:szCs w:val="24"/>
          <w:lang w:val="en-AU"/>
        </w:rPr>
        <w:t>;</w:t>
      </w:r>
      <w:r w:rsidRPr="00E3350E">
        <w:rPr>
          <w:rFonts w:cs="Arial"/>
          <w:szCs w:val="24"/>
          <w:lang w:val="en-AU"/>
        </w:rPr>
        <w:t xml:space="preserve"> and the financial resourcing of regulatory </w:t>
      </w:r>
      <w:r w:rsidRPr="00E3350E">
        <w:rPr>
          <w:rFonts w:cs="Arial"/>
          <w:szCs w:val="24"/>
          <w:lang w:val="en-AU"/>
        </w:rPr>
        <w:lastRenderedPageBreak/>
        <w:t>activities. The CAAT had a particular interest in the development and workings of Part 172 (</w:t>
      </w:r>
      <w:r>
        <w:rPr>
          <w:rFonts w:cs="Arial"/>
          <w:szCs w:val="24"/>
          <w:lang w:val="en-AU"/>
        </w:rPr>
        <w:t>a</w:t>
      </w:r>
      <w:r w:rsidRPr="00E3350E">
        <w:rPr>
          <w:rFonts w:cs="Arial"/>
          <w:szCs w:val="24"/>
          <w:lang w:val="en-AU"/>
        </w:rPr>
        <w:t xml:space="preserve">ir </w:t>
      </w:r>
      <w:r>
        <w:rPr>
          <w:rFonts w:cs="Arial"/>
          <w:szCs w:val="24"/>
          <w:lang w:val="en-AU"/>
        </w:rPr>
        <w:t>t</w:t>
      </w:r>
      <w:r w:rsidRPr="00E3350E">
        <w:rPr>
          <w:rFonts w:cs="Arial"/>
          <w:szCs w:val="24"/>
          <w:lang w:val="en-AU"/>
        </w:rPr>
        <w:t xml:space="preserve">raffic </w:t>
      </w:r>
      <w:r>
        <w:rPr>
          <w:rFonts w:cs="Arial"/>
          <w:szCs w:val="24"/>
          <w:lang w:val="en-AU"/>
        </w:rPr>
        <w:t>s</w:t>
      </w:r>
      <w:r w:rsidRPr="00E3350E">
        <w:rPr>
          <w:rFonts w:cs="Arial"/>
          <w:szCs w:val="24"/>
          <w:lang w:val="en-AU"/>
        </w:rPr>
        <w:t xml:space="preserve">ervice </w:t>
      </w:r>
      <w:r>
        <w:rPr>
          <w:rFonts w:cs="Arial"/>
          <w:szCs w:val="24"/>
          <w:lang w:val="en-AU"/>
        </w:rPr>
        <w:t>p</w:t>
      </w:r>
      <w:r w:rsidRPr="00E3350E">
        <w:rPr>
          <w:rFonts w:cs="Arial"/>
          <w:szCs w:val="24"/>
          <w:lang w:val="en-AU"/>
        </w:rPr>
        <w:t>roviders) of the Civil Aviation Safety Regulations.</w:t>
      </w:r>
    </w:p>
    <w:p w14:paraId="579ED72C" w14:textId="77777777" w:rsidR="00860F8E" w:rsidRPr="00E3350E" w:rsidRDefault="00860F8E" w:rsidP="00860F8E">
      <w:pPr>
        <w:pStyle w:val="Heading1"/>
        <w:rPr>
          <w:lang w:val="en-AU"/>
        </w:rPr>
      </w:pPr>
      <w:bookmarkStart w:id="93" w:name="_Toc522537161"/>
      <w:bookmarkStart w:id="94" w:name="_Toc523924886"/>
      <w:r w:rsidRPr="00E3350E">
        <w:rPr>
          <w:lang w:val="en-AU"/>
        </w:rPr>
        <w:t>External scrutiny</w:t>
      </w:r>
      <w:bookmarkEnd w:id="93"/>
      <w:bookmarkEnd w:id="94"/>
    </w:p>
    <w:p w14:paraId="03B191B3" w14:textId="77777777" w:rsidR="00860F8E" w:rsidRPr="00E3350E" w:rsidRDefault="00860F8E" w:rsidP="00860F8E">
      <w:pPr>
        <w:rPr>
          <w:rFonts w:cs="Arial"/>
          <w:szCs w:val="24"/>
          <w:lang w:val="en-AU"/>
        </w:rPr>
      </w:pPr>
      <w:r w:rsidRPr="00E3350E">
        <w:rPr>
          <w:rFonts w:cs="Arial"/>
          <w:szCs w:val="24"/>
          <w:lang w:val="en-AU"/>
        </w:rPr>
        <w:t xml:space="preserve">As a Commonwealth statutory authority, CASA is subject to scrutiny by </w:t>
      </w:r>
      <w:r>
        <w:rPr>
          <w:rFonts w:cs="Arial"/>
          <w:szCs w:val="24"/>
          <w:lang w:val="en-AU"/>
        </w:rPr>
        <w:t xml:space="preserve">the Australian </w:t>
      </w:r>
      <w:r w:rsidRPr="00E3350E">
        <w:rPr>
          <w:rFonts w:cs="Arial"/>
          <w:szCs w:val="24"/>
          <w:lang w:val="en-AU"/>
        </w:rPr>
        <w:t>Parliament. CASA’s activities may be subject to investigation or consideration by administrative agencies or the courts. In addition, CASA receives informal feedback on its performance through media coverage and complaints from industry or members of the public.</w:t>
      </w:r>
    </w:p>
    <w:p w14:paraId="4E2F23EB" w14:textId="77777777" w:rsidR="00860F8E" w:rsidRPr="00E3350E" w:rsidRDefault="00860F8E" w:rsidP="00860F8E">
      <w:pPr>
        <w:rPr>
          <w:szCs w:val="24"/>
          <w:lang w:val="en-AU"/>
        </w:rPr>
      </w:pPr>
      <w:r w:rsidRPr="00E3350E">
        <w:rPr>
          <w:rFonts w:cs="Arial"/>
          <w:szCs w:val="24"/>
          <w:lang w:val="en-AU"/>
        </w:rPr>
        <w:t xml:space="preserve">CASA welcomes external scrutiny as a means to confirm what it is doing well, and to identify ways to better meet its obligations and achieve its vision of </w:t>
      </w:r>
      <w:r w:rsidRPr="00E3350E">
        <w:rPr>
          <w:rFonts w:cs="Arial"/>
          <w:i/>
          <w:szCs w:val="24"/>
          <w:lang w:val="en-AU"/>
        </w:rPr>
        <w:t>Safe skies for all</w:t>
      </w:r>
      <w:r w:rsidRPr="00E3350E">
        <w:rPr>
          <w:rFonts w:cs="Arial"/>
          <w:szCs w:val="24"/>
          <w:lang w:val="en-AU"/>
        </w:rPr>
        <w:t>.</w:t>
      </w:r>
    </w:p>
    <w:p w14:paraId="0181C870" w14:textId="77777777" w:rsidR="00860F8E" w:rsidRPr="00E3350E" w:rsidRDefault="00860F8E" w:rsidP="00860F8E">
      <w:pPr>
        <w:pStyle w:val="Heading2noTOC"/>
        <w:rPr>
          <w:lang w:val="en-AU"/>
        </w:rPr>
      </w:pPr>
      <w:r w:rsidRPr="00E3350E">
        <w:rPr>
          <w:lang w:val="en-AU"/>
        </w:rPr>
        <w:t>Parliamentary accountability</w:t>
      </w:r>
    </w:p>
    <w:p w14:paraId="6AF330E6" w14:textId="77777777" w:rsidR="00860F8E" w:rsidRPr="00E3350E" w:rsidRDefault="00860F8E" w:rsidP="00860F8E">
      <w:pPr>
        <w:pStyle w:val="Heading3"/>
        <w:rPr>
          <w:lang w:val="en-AU"/>
        </w:rPr>
      </w:pPr>
      <w:r w:rsidRPr="00E3350E">
        <w:rPr>
          <w:lang w:val="en-AU"/>
        </w:rPr>
        <w:t>Parliamentary committees</w:t>
      </w:r>
    </w:p>
    <w:p w14:paraId="0EA7DAF3" w14:textId="77777777" w:rsidR="00860F8E" w:rsidRPr="00E3350E" w:rsidRDefault="00860F8E" w:rsidP="00860F8E">
      <w:pPr>
        <w:spacing w:after="90"/>
        <w:rPr>
          <w:rFonts w:cs="Arial"/>
          <w:szCs w:val="24"/>
          <w:lang w:val="en-AU"/>
        </w:rPr>
      </w:pPr>
      <w:r w:rsidRPr="00E3350E">
        <w:rPr>
          <w:rFonts w:cs="Arial"/>
          <w:szCs w:val="24"/>
          <w:lang w:val="en-AU"/>
        </w:rPr>
        <w:t>On 27 October 2017, 26 February 2018 and 22 May 2018, CASA appeared at the Senate Rural and Regional Affairs and Transport Legislation Committee Budget Estimates hearings. Issues raised at the hearings included:</w:t>
      </w:r>
    </w:p>
    <w:p w14:paraId="588750CD" w14:textId="77777777" w:rsidR="00860F8E" w:rsidRPr="00E3350E" w:rsidRDefault="00860F8E" w:rsidP="00860F8E">
      <w:pPr>
        <w:pStyle w:val="TableBullet"/>
        <w:tabs>
          <w:tab w:val="left" w:pos="284"/>
        </w:tabs>
        <w:rPr>
          <w:rFonts w:ascii="Cambria" w:hAnsi="Cambria" w:cs="Arial"/>
          <w:sz w:val="24"/>
          <w:szCs w:val="24"/>
          <w:lang w:val="en-AU"/>
        </w:rPr>
      </w:pPr>
      <w:r w:rsidRPr="00E3350E">
        <w:rPr>
          <w:rFonts w:ascii="Cambria" w:hAnsi="Cambria" w:cs="Arial"/>
          <w:sz w:val="24"/>
          <w:szCs w:val="24"/>
          <w:lang w:val="en-AU"/>
        </w:rPr>
        <w:t xml:space="preserve">in October – CASA’s investigation into the operation of a drone over Parliament House, </w:t>
      </w:r>
      <w:r>
        <w:rPr>
          <w:rFonts w:ascii="Cambria" w:hAnsi="Cambria" w:cs="Arial"/>
          <w:sz w:val="24"/>
          <w:szCs w:val="24"/>
          <w:lang w:val="en-AU"/>
        </w:rPr>
        <w:t>p</w:t>
      </w:r>
      <w:r w:rsidRPr="00E3350E">
        <w:rPr>
          <w:rFonts w:ascii="Cambria" w:hAnsi="Cambria" w:cs="Arial"/>
          <w:sz w:val="24"/>
          <w:szCs w:val="24"/>
          <w:lang w:val="en-AU"/>
        </w:rPr>
        <w:t xml:space="preserve">ilot in </w:t>
      </w:r>
      <w:r>
        <w:rPr>
          <w:rFonts w:ascii="Cambria" w:hAnsi="Cambria" w:cs="Arial"/>
          <w:sz w:val="24"/>
          <w:szCs w:val="24"/>
          <w:lang w:val="en-AU"/>
        </w:rPr>
        <w:t>c</w:t>
      </w:r>
      <w:r w:rsidRPr="00E3350E">
        <w:rPr>
          <w:rFonts w:ascii="Cambria" w:hAnsi="Cambria" w:cs="Arial"/>
          <w:sz w:val="24"/>
          <w:szCs w:val="24"/>
          <w:lang w:val="en-AU"/>
        </w:rPr>
        <w:t xml:space="preserve">ommand licence conditions following the Pel-Air accident in 2009, aviation rescue and firefighting services at Brisbane Airport, and aircraft maintenance training at TAFE South Australia </w:t>
      </w:r>
    </w:p>
    <w:p w14:paraId="5A33AEF9" w14:textId="77777777" w:rsidR="00860F8E" w:rsidRPr="00E3350E" w:rsidRDefault="00860F8E" w:rsidP="00860F8E">
      <w:pPr>
        <w:pStyle w:val="TableBullet"/>
        <w:tabs>
          <w:tab w:val="left" w:pos="284"/>
        </w:tabs>
        <w:rPr>
          <w:rFonts w:ascii="Cambria" w:hAnsi="Cambria" w:cs="Arial"/>
          <w:sz w:val="24"/>
          <w:szCs w:val="24"/>
          <w:lang w:val="en-AU"/>
        </w:rPr>
      </w:pPr>
      <w:r w:rsidRPr="00E3350E">
        <w:rPr>
          <w:rFonts w:ascii="Cambria" w:hAnsi="Cambria" w:cs="Arial"/>
          <w:sz w:val="24"/>
          <w:szCs w:val="24"/>
          <w:lang w:val="en-AU"/>
        </w:rPr>
        <w:t xml:space="preserve">in February – CASA’s audit of FalconAir </w:t>
      </w:r>
    </w:p>
    <w:p w14:paraId="0BCC72E2" w14:textId="77777777" w:rsidR="00860F8E" w:rsidRPr="00E3350E" w:rsidRDefault="00860F8E" w:rsidP="00860F8E">
      <w:pPr>
        <w:pStyle w:val="TableBullet"/>
        <w:rPr>
          <w:rFonts w:ascii="Cambria" w:hAnsi="Cambria"/>
          <w:sz w:val="24"/>
          <w:szCs w:val="24"/>
          <w:lang w:val="en-AU"/>
        </w:rPr>
      </w:pPr>
      <w:r w:rsidRPr="00E3350E">
        <w:rPr>
          <w:rFonts w:ascii="Cambria" w:hAnsi="Cambria" w:cs="Arial"/>
          <w:sz w:val="24"/>
          <w:szCs w:val="24"/>
          <w:lang w:val="en-AU"/>
        </w:rPr>
        <w:t xml:space="preserve">in May – CASA’s investigation into the servicing of a tyre and maintenance practices at Townsville </w:t>
      </w:r>
      <w:r>
        <w:rPr>
          <w:rFonts w:ascii="Cambria" w:hAnsi="Cambria" w:cs="Arial"/>
          <w:sz w:val="24"/>
          <w:szCs w:val="24"/>
          <w:lang w:val="en-AU"/>
        </w:rPr>
        <w:t>a</w:t>
      </w:r>
      <w:r w:rsidRPr="00E3350E">
        <w:rPr>
          <w:rFonts w:ascii="Cambria" w:hAnsi="Cambria" w:cs="Arial"/>
          <w:sz w:val="24"/>
          <w:szCs w:val="24"/>
          <w:lang w:val="en-AU"/>
        </w:rPr>
        <w:t>irport in 2017</w:t>
      </w:r>
      <w:r>
        <w:rPr>
          <w:rFonts w:ascii="Cambria" w:hAnsi="Cambria" w:cs="Arial"/>
          <w:sz w:val="24"/>
          <w:szCs w:val="24"/>
          <w:lang w:val="en-AU"/>
        </w:rPr>
        <w:t>,</w:t>
      </w:r>
      <w:r w:rsidRPr="00E3350E">
        <w:rPr>
          <w:rFonts w:ascii="Cambria" w:hAnsi="Cambria" w:cs="Arial"/>
          <w:sz w:val="24"/>
          <w:szCs w:val="24"/>
          <w:lang w:val="en-AU"/>
        </w:rPr>
        <w:t xml:space="preserve"> and the suitability of a chief pilot involved in an assault on another pilot in 2012. </w:t>
      </w:r>
    </w:p>
    <w:p w14:paraId="3D5FF535" w14:textId="77777777" w:rsidR="00860F8E" w:rsidRPr="00E3350E" w:rsidRDefault="00860F8E" w:rsidP="00860F8E">
      <w:pPr>
        <w:rPr>
          <w:lang w:val="en-AU"/>
        </w:rPr>
      </w:pPr>
      <w:r w:rsidRPr="00E3350E">
        <w:rPr>
          <w:lang w:val="en-AU"/>
        </w:rPr>
        <w:t xml:space="preserve">On 29 August 2017, CASA appeared before the </w:t>
      </w:r>
      <w:r>
        <w:rPr>
          <w:lang w:val="en-AU"/>
        </w:rPr>
        <w:t xml:space="preserve">Senate </w:t>
      </w:r>
      <w:r w:rsidRPr="00E3350E">
        <w:rPr>
          <w:lang w:val="en-AU"/>
        </w:rPr>
        <w:t>Rural and Regional Affairs and Transport References Committee for its Inquiry into Regulatory Requirements that Impact on the Safe Use of Remotely Piloted Aircraft Systems (RPAS), Unmanned Aerial Systems and Associated Systems. CASA updated the committee on RPAS developments in education, including the ‘Can I Fly There?’ app and cinema advertising targeting recreational drone operators, and on CASA’s discussion paper on the review of RPAS operations.</w:t>
      </w:r>
    </w:p>
    <w:p w14:paraId="254ED96F" w14:textId="77777777" w:rsidR="00860F8E" w:rsidRPr="00E3350E" w:rsidRDefault="00860F8E" w:rsidP="00860F8E">
      <w:pPr>
        <w:rPr>
          <w:lang w:val="en-AU"/>
        </w:rPr>
      </w:pPr>
      <w:r w:rsidRPr="00E3350E">
        <w:rPr>
          <w:lang w:val="en-AU"/>
        </w:rPr>
        <w:t>On 7 December 2017, CASA provided evidence on the classification and regulation of charter and regular public transport operations at a public hearing for the Joint Standing Committee on Northern Australia’s Inquiry into Opportunities and Methods for Stimulating the Tourism Industry in Northern Australia.</w:t>
      </w:r>
    </w:p>
    <w:p w14:paraId="5CF82F5F" w14:textId="77777777" w:rsidR="00860F8E" w:rsidRPr="00E3350E" w:rsidRDefault="00860F8E" w:rsidP="00860F8E">
      <w:pPr>
        <w:rPr>
          <w:rFonts w:cs="Arial"/>
          <w:szCs w:val="24"/>
          <w:lang w:val="en-AU"/>
        </w:rPr>
      </w:pPr>
      <w:r w:rsidRPr="00E3350E">
        <w:rPr>
          <w:rFonts w:cs="Arial"/>
          <w:szCs w:val="24"/>
          <w:lang w:val="en-AU"/>
        </w:rPr>
        <w:t xml:space="preserve">On 22 June 2018, CASA appeared before the </w:t>
      </w:r>
      <w:r>
        <w:rPr>
          <w:rFonts w:cs="Arial"/>
          <w:szCs w:val="24"/>
          <w:lang w:val="en-AU"/>
        </w:rPr>
        <w:t xml:space="preserve">Senate </w:t>
      </w:r>
      <w:r w:rsidRPr="00E3350E">
        <w:rPr>
          <w:rFonts w:cs="Arial"/>
          <w:szCs w:val="24"/>
          <w:lang w:val="en-AU"/>
        </w:rPr>
        <w:t xml:space="preserve">Rural and Regional Affairs and Transport Legislation Committee for </w:t>
      </w:r>
      <w:r>
        <w:rPr>
          <w:rFonts w:cs="Arial"/>
          <w:szCs w:val="24"/>
          <w:lang w:val="en-AU"/>
        </w:rPr>
        <w:t>its</w:t>
      </w:r>
      <w:r w:rsidRPr="00E3350E">
        <w:rPr>
          <w:rFonts w:cs="Arial"/>
          <w:szCs w:val="24"/>
          <w:lang w:val="en-AU"/>
        </w:rPr>
        <w:t xml:space="preserve"> Inquiry into the Air Services Amendment Bill 2018 and provided evidence on implications of the Bill for Airservices Australia’s safety-related functions, as those functions are overseen by CASA.</w:t>
      </w:r>
    </w:p>
    <w:p w14:paraId="383E2442" w14:textId="77777777" w:rsidR="00860F8E" w:rsidRPr="00E3350E" w:rsidRDefault="00860F8E" w:rsidP="00860F8E">
      <w:pPr>
        <w:spacing w:after="90"/>
        <w:rPr>
          <w:rFonts w:cs="Arial"/>
          <w:szCs w:val="24"/>
          <w:lang w:val="en-AU"/>
        </w:rPr>
      </w:pPr>
      <w:r w:rsidRPr="00E3350E">
        <w:rPr>
          <w:rFonts w:cs="Arial"/>
          <w:szCs w:val="24"/>
          <w:lang w:val="en-AU"/>
        </w:rPr>
        <w:t xml:space="preserve">On 29 June 2018, CASA appeared before the House </w:t>
      </w:r>
      <w:r>
        <w:rPr>
          <w:rFonts w:cs="Arial"/>
          <w:szCs w:val="24"/>
          <w:lang w:val="en-AU"/>
        </w:rPr>
        <w:t xml:space="preserve">of Representatives </w:t>
      </w:r>
      <w:r w:rsidRPr="00E3350E">
        <w:rPr>
          <w:rFonts w:cs="Arial"/>
          <w:szCs w:val="24"/>
          <w:lang w:val="en-AU"/>
        </w:rPr>
        <w:t>Standing Committee on Tax and Revenue at a public hearing in connection with the committee’s Inquiry into the 2016–17 Annual Report of the Australian Taxation Office (ATO) and Taxpayer Engagement, presenting on the origins and development of CASA’s regulatory philosophy and its possible utility for the ATO.</w:t>
      </w:r>
    </w:p>
    <w:p w14:paraId="4301BC29" w14:textId="77777777" w:rsidR="00860F8E" w:rsidRPr="00E3350E" w:rsidRDefault="00860F8E" w:rsidP="00860F8E">
      <w:pPr>
        <w:pStyle w:val="Heading3"/>
        <w:rPr>
          <w:lang w:val="en-AU"/>
        </w:rPr>
      </w:pPr>
      <w:r w:rsidRPr="00E3350E">
        <w:rPr>
          <w:lang w:val="en-AU"/>
        </w:rPr>
        <w:lastRenderedPageBreak/>
        <w:t xml:space="preserve">Questions on notice </w:t>
      </w:r>
    </w:p>
    <w:p w14:paraId="73058856" w14:textId="77777777" w:rsidR="00E272D7" w:rsidRDefault="00860F8E" w:rsidP="00E272D7">
      <w:pPr>
        <w:rPr>
          <w:lang w:val="en-AU"/>
        </w:rPr>
      </w:pPr>
      <w:r w:rsidRPr="00E3350E">
        <w:rPr>
          <w:lang w:val="en-AU"/>
        </w:rPr>
        <w:t xml:space="preserve">During the reporting period, CASA responded to 27 questions on notice and provided input on a number of questions on notice addressed to the portfolio. </w:t>
      </w:r>
      <w:bookmarkStart w:id="95" w:name="_Toc267485896"/>
    </w:p>
    <w:p w14:paraId="133E1216" w14:textId="777F5A41" w:rsidR="00860F8E" w:rsidRPr="00053FD1" w:rsidRDefault="00860F8E" w:rsidP="00E272D7">
      <w:pPr>
        <w:pStyle w:val="Heading3"/>
      </w:pPr>
      <w:r w:rsidRPr="00053FD1">
        <w:t>Aviation Safety Regulation Review</w:t>
      </w:r>
    </w:p>
    <w:p w14:paraId="4F488FC3" w14:textId="77777777" w:rsidR="00860F8E" w:rsidRPr="00053FD1" w:rsidRDefault="00860F8E" w:rsidP="00860F8E">
      <w:r w:rsidRPr="00053FD1">
        <w:t>On 14 November 2013, the Australian Government announced the establishment of the independent</w:t>
      </w:r>
      <w:r w:rsidRPr="00053FD1">
        <w:rPr>
          <w:rFonts w:ascii="Arial" w:hAnsi="Arial"/>
          <w:sz w:val="20"/>
        </w:rPr>
        <w:t xml:space="preserve"> </w:t>
      </w:r>
      <w:r w:rsidRPr="00053FD1">
        <w:t xml:space="preserve">Aviation Safety Regulation Review (ASRR) to examine Australia’s aviation safety regulatory system. </w:t>
      </w:r>
    </w:p>
    <w:p w14:paraId="2DC00767" w14:textId="77777777" w:rsidR="00860F8E" w:rsidRDefault="00860F8E" w:rsidP="00860F8E">
      <w:r w:rsidRPr="00053FD1">
        <w:t xml:space="preserve">The ASRR report was tabled in Parliament on 3 June 2014. It contained 37 recommendations, of which 32 related to the functions and performance of CASA. </w:t>
      </w:r>
    </w:p>
    <w:p w14:paraId="3AE8D2E9" w14:textId="77777777" w:rsidR="00860F8E" w:rsidRPr="00053FD1" w:rsidRDefault="00860F8E" w:rsidP="00860F8E">
      <w:pPr>
        <w:rPr>
          <w:bCs/>
        </w:rPr>
      </w:pPr>
      <w:r w:rsidRPr="00053FD1">
        <w:t>After consideration of public and industry comments on the report and advice from the key aviation agencies, the Minister for Infrastructure and Regional Development tabled the Government’s response to the recommendations and related issues on 3 December 2014.</w:t>
      </w:r>
    </w:p>
    <w:p w14:paraId="10EFFBFB" w14:textId="77777777" w:rsidR="00860F8E" w:rsidRPr="00053FD1" w:rsidRDefault="00860F8E" w:rsidP="00860F8E">
      <w:r w:rsidRPr="00053FD1">
        <w:t>The Minister provided a Statement of Expectations to the CASA Board on 21 March 2017 which included a specific requirement that CASA complete implementation of the remaining parts of the Government’s response to the ASRR.</w:t>
      </w:r>
    </w:p>
    <w:p w14:paraId="61A27CA9" w14:textId="77777777" w:rsidR="00860F8E" w:rsidRDefault="00860F8E" w:rsidP="00860F8E">
      <w:r w:rsidRPr="00053FD1">
        <w:t xml:space="preserve">CASA has now considered and addressed all of the recommendations made to it in the ASRR. CASA has completed actions, incorporated solutions into ongoing activities or announced plans to take action on all its recommendations. There are two recommendations which will be actioned during 2018, those being the completion of </w:t>
      </w:r>
      <w:r>
        <w:t xml:space="preserve">drafting of </w:t>
      </w:r>
      <w:r w:rsidRPr="00053FD1">
        <w:t>the remaining Parts of the Civil Aviation Safety Regulations and review of penalties.</w:t>
      </w:r>
    </w:p>
    <w:p w14:paraId="31954D3E" w14:textId="4538DF3F" w:rsidR="00EA214A" w:rsidRDefault="00EA214A" w:rsidP="00860F8E">
      <w:r>
        <w:t>Table 14 summarises the status of the recommendations as at 30 June 2018.</w:t>
      </w:r>
    </w:p>
    <w:p w14:paraId="5506A676" w14:textId="77777777" w:rsidR="00060752" w:rsidRPr="00053FD1" w:rsidRDefault="00060752" w:rsidP="00060752">
      <w:pPr>
        <w:pStyle w:val="TableName"/>
      </w:pPr>
      <w:r w:rsidRPr="00053FD1">
        <w:t xml:space="preserve">Table </w:t>
      </w:r>
      <w:r>
        <w:t>14</w:t>
      </w:r>
      <w:r w:rsidRPr="00053FD1">
        <w:tab/>
        <w:t>Implementation of Australian Government response to the Aviation Safety Regulation Review, as at 30 June 2018</w:t>
      </w:r>
    </w:p>
    <w:tbl>
      <w:tblPr>
        <w:tblW w:w="48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4576"/>
        <w:gridCol w:w="2220"/>
      </w:tblGrid>
      <w:tr w:rsidR="00060752" w:rsidRPr="00D23518" w14:paraId="326134BC" w14:textId="77777777" w:rsidTr="00060752">
        <w:trPr>
          <w:tblHeader/>
        </w:trPr>
        <w:tc>
          <w:tcPr>
            <w:tcW w:w="1112" w:type="pct"/>
            <w:shd w:val="clear" w:color="auto" w:fill="auto"/>
          </w:tcPr>
          <w:p w14:paraId="7B2CD68E" w14:textId="77777777" w:rsidR="00060752" w:rsidRPr="00D23518" w:rsidRDefault="00060752" w:rsidP="00F73F4D">
            <w:pPr>
              <w:spacing w:after="106"/>
              <w:rPr>
                <w:rFonts w:ascii="Arial Narrow" w:eastAsia="Times New Roman" w:hAnsi="Arial Narrow"/>
                <w:b/>
                <w:color w:val="221E1F"/>
                <w:sz w:val="22"/>
                <w:szCs w:val="22"/>
                <w:lang w:eastAsia="en-AU"/>
              </w:rPr>
            </w:pPr>
            <w:r w:rsidRPr="00D23518">
              <w:rPr>
                <w:rFonts w:ascii="Arial Narrow" w:eastAsia="Times New Roman" w:hAnsi="Arial Narrow"/>
                <w:b/>
                <w:color w:val="221E1F"/>
                <w:sz w:val="22"/>
                <w:szCs w:val="22"/>
                <w:lang w:eastAsia="en-AU"/>
              </w:rPr>
              <w:t>Recommendation</w:t>
            </w:r>
          </w:p>
        </w:tc>
        <w:tc>
          <w:tcPr>
            <w:tcW w:w="2618" w:type="pct"/>
            <w:shd w:val="clear" w:color="auto" w:fill="auto"/>
          </w:tcPr>
          <w:p w14:paraId="022FEFB0" w14:textId="77777777" w:rsidR="00060752" w:rsidRPr="00D23518" w:rsidRDefault="00060752" w:rsidP="00F73F4D">
            <w:pPr>
              <w:spacing w:after="106"/>
              <w:rPr>
                <w:rFonts w:ascii="Arial Narrow" w:eastAsia="Times New Roman" w:hAnsi="Arial Narrow"/>
                <w:b/>
                <w:color w:val="221E1F"/>
                <w:sz w:val="22"/>
                <w:szCs w:val="22"/>
                <w:lang w:eastAsia="en-AU"/>
              </w:rPr>
            </w:pPr>
            <w:r w:rsidRPr="00D23518">
              <w:rPr>
                <w:rFonts w:ascii="Arial Narrow" w:eastAsia="Times New Roman" w:hAnsi="Arial Narrow"/>
                <w:b/>
                <w:color w:val="221E1F"/>
                <w:sz w:val="22"/>
                <w:szCs w:val="22"/>
                <w:lang w:eastAsia="en-AU"/>
              </w:rPr>
              <w:t xml:space="preserve">Government response </w:t>
            </w:r>
          </w:p>
        </w:tc>
        <w:tc>
          <w:tcPr>
            <w:tcW w:w="1270" w:type="pct"/>
            <w:shd w:val="clear" w:color="auto" w:fill="auto"/>
          </w:tcPr>
          <w:p w14:paraId="040AEE36" w14:textId="77777777" w:rsidR="00060752" w:rsidRPr="00D23518" w:rsidRDefault="00060752" w:rsidP="00F73F4D">
            <w:pPr>
              <w:spacing w:after="106"/>
              <w:rPr>
                <w:rFonts w:ascii="Arial Narrow" w:eastAsia="Times New Roman" w:hAnsi="Arial Narrow"/>
                <w:b/>
                <w:color w:val="221E1F"/>
                <w:sz w:val="22"/>
                <w:szCs w:val="22"/>
                <w:lang w:eastAsia="en-AU"/>
              </w:rPr>
            </w:pPr>
            <w:r w:rsidRPr="00D23518">
              <w:rPr>
                <w:rFonts w:ascii="Arial Narrow" w:eastAsia="Times New Roman" w:hAnsi="Arial Narrow"/>
                <w:b/>
                <w:color w:val="221E1F"/>
                <w:sz w:val="22"/>
                <w:szCs w:val="22"/>
                <w:lang w:eastAsia="en-AU"/>
              </w:rPr>
              <w:t>Status of Government response</w:t>
            </w:r>
          </w:p>
        </w:tc>
      </w:tr>
      <w:tr w:rsidR="00060752" w:rsidRPr="00D23518" w14:paraId="33D27237" w14:textId="77777777" w:rsidTr="00060752">
        <w:tc>
          <w:tcPr>
            <w:tcW w:w="1112" w:type="pct"/>
            <w:shd w:val="clear" w:color="auto" w:fill="auto"/>
          </w:tcPr>
          <w:p w14:paraId="3E224CEF" w14:textId="3942072D" w:rsidR="00060752" w:rsidRPr="00D23518" w:rsidRDefault="00060752" w:rsidP="00EA2E42">
            <w:pPr>
              <w:tabs>
                <w:tab w:val="left" w:pos="34"/>
              </w:tabs>
              <w:spacing w:before="40" w:after="40"/>
              <w:rPr>
                <w:rFonts w:ascii="Arial Narrow" w:hAnsi="Arial Narrow"/>
                <w:b/>
                <w:bCs/>
                <w:sz w:val="20"/>
              </w:rPr>
            </w:pPr>
            <w:r w:rsidRPr="00D23518">
              <w:rPr>
                <w:rFonts w:ascii="Arial Narrow" w:hAnsi="Arial Narrow"/>
                <w:sz w:val="20"/>
              </w:rPr>
              <w:br w:type="page"/>
            </w:r>
            <w:r w:rsidRPr="00D23518">
              <w:rPr>
                <w:rFonts w:ascii="Arial Narrow" w:eastAsia="Times New Roman" w:hAnsi="Arial Narrow"/>
                <w:sz w:val="20"/>
                <w:lang w:eastAsia="en-AU"/>
              </w:rPr>
              <w:t>4. The Australian Transport Safety Bureau and the Civil Aviation Safety Authority utilise the provision in their bilateral Memorandum of Understanding to accredit CASA observers to ATSB investigations.</w:t>
            </w:r>
            <w:r w:rsidR="00EA2E42" w:rsidRPr="00D23518">
              <w:rPr>
                <w:rFonts w:ascii="Arial Narrow" w:hAnsi="Arial Narrow"/>
                <w:b/>
                <w:bCs/>
                <w:sz w:val="20"/>
              </w:rPr>
              <w:t xml:space="preserve"> </w:t>
            </w:r>
          </w:p>
        </w:tc>
        <w:tc>
          <w:tcPr>
            <w:tcW w:w="2618" w:type="pct"/>
            <w:shd w:val="clear" w:color="auto" w:fill="auto"/>
          </w:tcPr>
          <w:p w14:paraId="44EE391A" w14:textId="77777777" w:rsidR="00060752" w:rsidRPr="00D23518" w:rsidRDefault="00060752" w:rsidP="00F73F4D">
            <w:pPr>
              <w:rPr>
                <w:rFonts w:ascii="Arial Narrow" w:hAnsi="Arial Narrow"/>
                <w:sz w:val="20"/>
              </w:rPr>
            </w:pPr>
            <w:r w:rsidRPr="00D23518">
              <w:rPr>
                <w:rFonts w:ascii="Arial Narrow" w:hAnsi="Arial Narrow"/>
                <w:sz w:val="20"/>
              </w:rPr>
              <w:t>Agreed.</w:t>
            </w:r>
          </w:p>
          <w:p w14:paraId="021170D7" w14:textId="77777777" w:rsidR="00060752" w:rsidRPr="00D23518" w:rsidRDefault="00060752" w:rsidP="00F73F4D">
            <w:pPr>
              <w:rPr>
                <w:rFonts w:ascii="Arial Narrow" w:hAnsi="Arial Narrow"/>
                <w:b/>
                <w:sz w:val="20"/>
              </w:rPr>
            </w:pPr>
            <w:r w:rsidRPr="00D23518">
              <w:rPr>
                <w:rFonts w:ascii="Arial Narrow" w:hAnsi="Arial Narrow"/>
                <w:b/>
                <w:sz w:val="20"/>
              </w:rPr>
              <w:t>The Government expects the ATSB and CASA to work together to address the following issues in ensuring that CASA staff are engaged in ATSB investigations where appropriate:</w:t>
            </w:r>
          </w:p>
          <w:p w14:paraId="7222AC23" w14:textId="77777777" w:rsidR="00060752" w:rsidRPr="00D23518" w:rsidRDefault="00060752" w:rsidP="00F73F4D">
            <w:pPr>
              <w:pStyle w:val="ListParagraph"/>
              <w:numPr>
                <w:ilvl w:val="0"/>
                <w:numId w:val="22"/>
              </w:numPr>
              <w:spacing w:after="0"/>
              <w:rPr>
                <w:rFonts w:ascii="Arial Narrow" w:hAnsi="Arial Narrow"/>
                <w:b/>
                <w:sz w:val="20"/>
                <w:szCs w:val="20"/>
              </w:rPr>
            </w:pPr>
            <w:r w:rsidRPr="00D23518">
              <w:rPr>
                <w:rFonts w:ascii="Arial Narrow" w:hAnsi="Arial Narrow"/>
                <w:b/>
                <w:sz w:val="20"/>
                <w:szCs w:val="20"/>
              </w:rPr>
              <w:t>workplace health and safety;</w:t>
            </w:r>
          </w:p>
          <w:p w14:paraId="3732B839" w14:textId="77777777" w:rsidR="00060752" w:rsidRPr="00D23518" w:rsidRDefault="00060752" w:rsidP="00F73F4D">
            <w:pPr>
              <w:pStyle w:val="ListParagraph"/>
              <w:numPr>
                <w:ilvl w:val="0"/>
                <w:numId w:val="22"/>
              </w:numPr>
              <w:spacing w:after="0"/>
              <w:rPr>
                <w:rFonts w:ascii="Arial Narrow" w:hAnsi="Arial Narrow"/>
                <w:b/>
                <w:sz w:val="20"/>
                <w:szCs w:val="20"/>
              </w:rPr>
            </w:pPr>
            <w:r w:rsidRPr="00D23518">
              <w:rPr>
                <w:rFonts w:ascii="Arial Narrow" w:hAnsi="Arial Narrow"/>
                <w:b/>
                <w:sz w:val="20"/>
                <w:szCs w:val="20"/>
              </w:rPr>
              <w:t>costs;</w:t>
            </w:r>
          </w:p>
          <w:p w14:paraId="2FD236B4" w14:textId="77777777" w:rsidR="00060752" w:rsidRPr="00D23518" w:rsidRDefault="00060752" w:rsidP="00F73F4D">
            <w:pPr>
              <w:pStyle w:val="ListParagraph"/>
              <w:numPr>
                <w:ilvl w:val="0"/>
                <w:numId w:val="22"/>
              </w:numPr>
              <w:spacing w:after="0"/>
              <w:rPr>
                <w:rFonts w:ascii="Arial Narrow" w:hAnsi="Arial Narrow"/>
                <w:b/>
                <w:sz w:val="20"/>
                <w:szCs w:val="20"/>
              </w:rPr>
            </w:pPr>
            <w:r w:rsidRPr="00D23518">
              <w:rPr>
                <w:rFonts w:ascii="Arial Narrow" w:hAnsi="Arial Narrow"/>
                <w:b/>
                <w:sz w:val="20"/>
                <w:szCs w:val="20"/>
              </w:rPr>
              <w:t>human resource constraints; and</w:t>
            </w:r>
          </w:p>
          <w:p w14:paraId="2E89629F" w14:textId="77777777" w:rsidR="00060752" w:rsidRPr="00D23518" w:rsidRDefault="00060752" w:rsidP="00F73F4D">
            <w:pPr>
              <w:pStyle w:val="ListParagraph"/>
              <w:numPr>
                <w:ilvl w:val="0"/>
                <w:numId w:val="22"/>
              </w:numPr>
              <w:spacing w:after="0"/>
              <w:rPr>
                <w:rFonts w:ascii="Arial Narrow" w:hAnsi="Arial Narrow"/>
                <w:sz w:val="20"/>
                <w:szCs w:val="20"/>
              </w:rPr>
            </w:pPr>
            <w:r w:rsidRPr="00D23518">
              <w:rPr>
                <w:rFonts w:ascii="Arial Narrow" w:hAnsi="Arial Narrow"/>
                <w:b/>
                <w:sz w:val="20"/>
                <w:szCs w:val="20"/>
              </w:rPr>
              <w:t>industry perceptions.</w:t>
            </w:r>
          </w:p>
        </w:tc>
        <w:tc>
          <w:tcPr>
            <w:tcW w:w="1270" w:type="pct"/>
            <w:shd w:val="clear" w:color="auto" w:fill="auto"/>
          </w:tcPr>
          <w:p w14:paraId="67992F52" w14:textId="77777777" w:rsidR="00060752" w:rsidRPr="00D23518" w:rsidRDefault="00060752" w:rsidP="00F73F4D">
            <w:pPr>
              <w:rPr>
                <w:rFonts w:ascii="Arial Narrow" w:hAnsi="Arial Narrow"/>
                <w:sz w:val="20"/>
              </w:rPr>
            </w:pPr>
            <w:r w:rsidRPr="00D23518">
              <w:rPr>
                <w:rFonts w:ascii="Arial Narrow" w:hAnsi="Arial Narrow"/>
                <w:sz w:val="20"/>
              </w:rPr>
              <w:t xml:space="preserve">A revised Memorandum of Understanding agreed between CASA and the ATSB, which includes the participation of CASA officers in ATSB investigations, was published on each agency’s website on 31 March 2015.  </w:t>
            </w:r>
          </w:p>
          <w:p w14:paraId="7AB95A84" w14:textId="77777777" w:rsidR="00060752" w:rsidRPr="00D23518" w:rsidRDefault="00060752" w:rsidP="00F73F4D">
            <w:pPr>
              <w:pStyle w:val="ListParagraph"/>
              <w:autoSpaceDE w:val="0"/>
              <w:autoSpaceDN w:val="0"/>
              <w:ind w:left="0"/>
              <w:rPr>
                <w:rFonts w:ascii="Arial Narrow" w:hAnsi="Arial Narrow"/>
                <w:bCs/>
                <w:sz w:val="20"/>
                <w:szCs w:val="20"/>
              </w:rPr>
            </w:pPr>
          </w:p>
        </w:tc>
      </w:tr>
      <w:tr w:rsidR="00060752" w:rsidRPr="00D23518" w14:paraId="0F4247D4" w14:textId="77777777" w:rsidTr="00060752">
        <w:tc>
          <w:tcPr>
            <w:tcW w:w="1112" w:type="pct"/>
            <w:shd w:val="clear" w:color="auto" w:fill="auto"/>
          </w:tcPr>
          <w:p w14:paraId="2B746FFD" w14:textId="77777777" w:rsidR="00060752" w:rsidRPr="00D23518" w:rsidRDefault="00060752" w:rsidP="00F73F4D">
            <w:pPr>
              <w:spacing w:after="106"/>
              <w:rPr>
                <w:rFonts w:ascii="Arial Narrow" w:hAnsi="Arial Narrow"/>
                <w:sz w:val="20"/>
              </w:rPr>
            </w:pPr>
            <w:r w:rsidRPr="00D23518">
              <w:rPr>
                <w:rFonts w:ascii="Arial Narrow" w:hAnsi="Arial Narrow"/>
                <w:sz w:val="20"/>
              </w:rPr>
              <w:t xml:space="preserve">6. The Civil Aviation Safety Authority’s Board exercises full governance control. The non-executive directors should possess a range of </w:t>
            </w:r>
            <w:r w:rsidRPr="00D23518">
              <w:rPr>
                <w:rFonts w:ascii="Arial Narrow" w:hAnsi="Arial Narrow"/>
                <w:sz w:val="20"/>
              </w:rPr>
              <w:lastRenderedPageBreak/>
              <w:t>appropriate skills and backgrounds in aviation, safety, management, risk regulation, governance and government.</w:t>
            </w:r>
          </w:p>
        </w:tc>
        <w:tc>
          <w:tcPr>
            <w:tcW w:w="2618" w:type="pct"/>
            <w:shd w:val="clear" w:color="auto" w:fill="auto"/>
          </w:tcPr>
          <w:p w14:paraId="2CF905BE" w14:textId="77777777" w:rsidR="00060752" w:rsidRPr="00D23518" w:rsidRDefault="00060752" w:rsidP="00F73F4D">
            <w:pPr>
              <w:rPr>
                <w:rFonts w:ascii="Arial Narrow" w:hAnsi="Arial Narrow"/>
                <w:sz w:val="20"/>
              </w:rPr>
            </w:pPr>
            <w:r w:rsidRPr="00D23518">
              <w:rPr>
                <w:rFonts w:ascii="Arial Narrow" w:hAnsi="Arial Narrow"/>
                <w:sz w:val="20"/>
              </w:rPr>
              <w:lastRenderedPageBreak/>
              <w:t>Agreed.</w:t>
            </w:r>
          </w:p>
          <w:p w14:paraId="685E12C7" w14:textId="77777777" w:rsidR="00060752" w:rsidRPr="00D23518" w:rsidRDefault="00060752" w:rsidP="00F73F4D">
            <w:pPr>
              <w:rPr>
                <w:rFonts w:ascii="Arial Narrow" w:hAnsi="Arial Narrow"/>
                <w:b/>
                <w:sz w:val="20"/>
              </w:rPr>
            </w:pPr>
            <w:r w:rsidRPr="00D23518">
              <w:rPr>
                <w:rFonts w:ascii="Arial Narrow" w:hAnsi="Arial Narrow"/>
                <w:b/>
                <w:sz w:val="20"/>
              </w:rPr>
              <w:t>Issue a new Statement of Expectations (SOE) to the CASA Board.</w:t>
            </w:r>
          </w:p>
          <w:p w14:paraId="7C034471" w14:textId="77777777" w:rsidR="00060752" w:rsidRPr="00D23518" w:rsidRDefault="00060752" w:rsidP="00F73F4D">
            <w:pPr>
              <w:rPr>
                <w:rFonts w:ascii="Arial Narrow" w:hAnsi="Arial Narrow"/>
                <w:b/>
                <w:sz w:val="20"/>
              </w:rPr>
            </w:pPr>
          </w:p>
          <w:p w14:paraId="24658F53" w14:textId="77777777" w:rsidR="00060752" w:rsidRPr="00D23518" w:rsidRDefault="00060752" w:rsidP="00F73F4D">
            <w:pPr>
              <w:pStyle w:val="ListParagraph"/>
              <w:rPr>
                <w:rFonts w:ascii="Arial Narrow" w:hAnsi="Arial Narrow"/>
                <w:sz w:val="20"/>
                <w:szCs w:val="20"/>
              </w:rPr>
            </w:pPr>
          </w:p>
        </w:tc>
        <w:tc>
          <w:tcPr>
            <w:tcW w:w="1270" w:type="pct"/>
            <w:shd w:val="clear" w:color="auto" w:fill="auto"/>
          </w:tcPr>
          <w:p w14:paraId="673828C2" w14:textId="77777777" w:rsidR="00060752" w:rsidRPr="00D23518" w:rsidRDefault="00060752" w:rsidP="00F73F4D">
            <w:pPr>
              <w:rPr>
                <w:rFonts w:ascii="Arial Narrow" w:hAnsi="Arial Narrow"/>
                <w:sz w:val="20"/>
              </w:rPr>
            </w:pPr>
            <w:r w:rsidRPr="00D23518">
              <w:rPr>
                <w:rFonts w:ascii="Arial Narrow" w:hAnsi="Arial Narrow"/>
                <w:sz w:val="20"/>
              </w:rPr>
              <w:lastRenderedPageBreak/>
              <w:t>The SOE’s issued to the CASA Board in April 2015 and March 2017 clearly outline the Board’s governance role.</w:t>
            </w:r>
          </w:p>
          <w:p w14:paraId="708090DC" w14:textId="77777777" w:rsidR="00060752" w:rsidRPr="00D23518" w:rsidRDefault="00060752" w:rsidP="00F73F4D">
            <w:pPr>
              <w:rPr>
                <w:rFonts w:ascii="Arial Narrow" w:hAnsi="Arial Narrow"/>
                <w:sz w:val="20"/>
              </w:rPr>
            </w:pPr>
          </w:p>
        </w:tc>
      </w:tr>
      <w:tr w:rsidR="00060752" w:rsidRPr="00D23518" w14:paraId="4D785FF4" w14:textId="77777777" w:rsidTr="00060752">
        <w:tc>
          <w:tcPr>
            <w:tcW w:w="1112" w:type="pct"/>
            <w:shd w:val="clear" w:color="auto" w:fill="auto"/>
          </w:tcPr>
          <w:p w14:paraId="7CCA45E3" w14:textId="77777777" w:rsidR="00060752" w:rsidRPr="00D23518" w:rsidRDefault="00060752" w:rsidP="00F73F4D">
            <w:pPr>
              <w:rPr>
                <w:rFonts w:ascii="Arial Narrow" w:hAnsi="Arial Narrow"/>
                <w:sz w:val="20"/>
              </w:rPr>
            </w:pPr>
            <w:r w:rsidRPr="00D23518">
              <w:rPr>
                <w:rFonts w:ascii="Arial Narrow" w:hAnsi="Arial Narrow"/>
                <w:sz w:val="20"/>
              </w:rPr>
              <w:br w:type="page"/>
              <w:t>7. The next Director of Aviation Safety (DAS) has leadership and management experience and capabilities in cultural change of large organisations. Aviation or other safety industry experience is highly desirable.</w:t>
            </w:r>
          </w:p>
        </w:tc>
        <w:tc>
          <w:tcPr>
            <w:tcW w:w="2618" w:type="pct"/>
            <w:shd w:val="clear" w:color="auto" w:fill="auto"/>
          </w:tcPr>
          <w:p w14:paraId="76E8064E" w14:textId="77777777" w:rsidR="00060752" w:rsidRPr="00D23518" w:rsidRDefault="00060752" w:rsidP="00F73F4D">
            <w:pPr>
              <w:rPr>
                <w:rFonts w:ascii="Arial Narrow" w:hAnsi="Arial Narrow"/>
                <w:sz w:val="20"/>
              </w:rPr>
            </w:pPr>
            <w:r w:rsidRPr="00D23518">
              <w:rPr>
                <w:rFonts w:ascii="Arial Narrow" w:hAnsi="Arial Narrow"/>
                <w:sz w:val="20"/>
              </w:rPr>
              <w:t>Agreed in Principle.</w:t>
            </w:r>
          </w:p>
          <w:p w14:paraId="3E46CD74" w14:textId="77777777" w:rsidR="00060752" w:rsidRPr="00D23518" w:rsidRDefault="00060752" w:rsidP="00F73F4D">
            <w:pPr>
              <w:rPr>
                <w:rFonts w:ascii="Arial Narrow" w:hAnsi="Arial Narrow"/>
                <w:b/>
                <w:sz w:val="20"/>
              </w:rPr>
            </w:pPr>
            <w:r w:rsidRPr="00D23518">
              <w:rPr>
                <w:rFonts w:ascii="Arial Narrow" w:hAnsi="Arial Narrow"/>
                <w:b/>
                <w:sz w:val="20"/>
              </w:rPr>
              <w:t>The CASA Board to appoint a new DAS.</w:t>
            </w:r>
          </w:p>
        </w:tc>
        <w:tc>
          <w:tcPr>
            <w:tcW w:w="1270" w:type="pct"/>
            <w:shd w:val="clear" w:color="auto" w:fill="auto"/>
          </w:tcPr>
          <w:p w14:paraId="3D44C35E" w14:textId="77777777" w:rsidR="00060752" w:rsidRPr="00D23518" w:rsidRDefault="00060752" w:rsidP="00F73F4D">
            <w:pPr>
              <w:rPr>
                <w:rFonts w:ascii="Arial Narrow" w:hAnsi="Arial Narrow"/>
                <w:sz w:val="20"/>
              </w:rPr>
            </w:pPr>
            <w:r w:rsidRPr="00D23518">
              <w:rPr>
                <w:rFonts w:ascii="Arial Narrow" w:hAnsi="Arial Narrow"/>
                <w:sz w:val="20"/>
              </w:rPr>
              <w:t>The DAS appointments since the ASRR report have included leadership, management and aviation safety experience.</w:t>
            </w:r>
          </w:p>
          <w:p w14:paraId="1207BA07" w14:textId="77777777" w:rsidR="00060752" w:rsidRPr="00D23518" w:rsidRDefault="00060752" w:rsidP="00F73F4D">
            <w:pPr>
              <w:rPr>
                <w:rStyle w:val="A3"/>
                <w:rFonts w:ascii="Arial Narrow" w:hAnsi="Arial Narrow"/>
                <w:color w:val="auto"/>
                <w:sz w:val="20"/>
                <w:szCs w:val="20"/>
              </w:rPr>
            </w:pPr>
          </w:p>
        </w:tc>
      </w:tr>
      <w:tr w:rsidR="00060752" w:rsidRPr="00D23518" w14:paraId="548BC26A" w14:textId="77777777" w:rsidTr="00060752">
        <w:trPr>
          <w:trHeight w:val="616"/>
        </w:trPr>
        <w:tc>
          <w:tcPr>
            <w:tcW w:w="1112" w:type="pct"/>
            <w:tcBorders>
              <w:top w:val="single" w:sz="4" w:space="0" w:color="auto"/>
            </w:tcBorders>
            <w:shd w:val="clear" w:color="auto" w:fill="auto"/>
          </w:tcPr>
          <w:p w14:paraId="1E060370" w14:textId="77777777" w:rsidR="00060752" w:rsidRPr="00D23518" w:rsidRDefault="00060752" w:rsidP="00F73F4D">
            <w:pPr>
              <w:spacing w:after="106"/>
              <w:rPr>
                <w:rFonts w:ascii="Arial Narrow" w:hAnsi="Arial Narrow"/>
                <w:sz w:val="20"/>
              </w:rPr>
            </w:pPr>
            <w:r w:rsidRPr="00D23518">
              <w:rPr>
                <w:rFonts w:ascii="Arial Narrow" w:hAnsi="Arial Narrow"/>
                <w:sz w:val="20"/>
              </w:rPr>
              <w:t xml:space="preserve">8. The Civil Aviation Safety Authority: </w:t>
            </w:r>
          </w:p>
        </w:tc>
        <w:tc>
          <w:tcPr>
            <w:tcW w:w="2618" w:type="pct"/>
            <w:tcBorders>
              <w:top w:val="nil"/>
              <w:bottom w:val="nil"/>
              <w:right w:val="single" w:sz="4" w:space="0" w:color="auto"/>
            </w:tcBorders>
            <w:shd w:val="clear" w:color="auto" w:fill="auto"/>
          </w:tcPr>
          <w:p w14:paraId="67BE9376" w14:textId="77777777" w:rsidR="00060752" w:rsidRPr="00D23518" w:rsidRDefault="00060752" w:rsidP="00F73F4D">
            <w:pPr>
              <w:spacing w:after="0"/>
              <w:rPr>
                <w:rFonts w:ascii="Arial Narrow" w:hAnsi="Arial Narrow"/>
                <w:sz w:val="20"/>
              </w:rPr>
            </w:pPr>
          </w:p>
        </w:tc>
        <w:tc>
          <w:tcPr>
            <w:tcW w:w="1270" w:type="pct"/>
            <w:tcBorders>
              <w:top w:val="nil"/>
              <w:bottom w:val="nil"/>
              <w:right w:val="single" w:sz="4" w:space="0" w:color="auto"/>
            </w:tcBorders>
            <w:shd w:val="clear" w:color="auto" w:fill="auto"/>
          </w:tcPr>
          <w:p w14:paraId="152C036A" w14:textId="77777777" w:rsidR="00060752" w:rsidRPr="00D23518" w:rsidRDefault="00060752" w:rsidP="00F73F4D">
            <w:pPr>
              <w:spacing w:after="0"/>
              <w:rPr>
                <w:rFonts w:ascii="Arial Narrow" w:hAnsi="Arial Narrow"/>
                <w:sz w:val="20"/>
              </w:rPr>
            </w:pPr>
          </w:p>
        </w:tc>
      </w:tr>
      <w:tr w:rsidR="00060752" w:rsidRPr="00D23518" w14:paraId="441DE1F4" w14:textId="77777777" w:rsidTr="00060752">
        <w:trPr>
          <w:trHeight w:val="1710"/>
        </w:trPr>
        <w:tc>
          <w:tcPr>
            <w:tcW w:w="1112" w:type="pct"/>
            <w:shd w:val="clear" w:color="auto" w:fill="auto"/>
          </w:tcPr>
          <w:p w14:paraId="10AE2C3C" w14:textId="77777777" w:rsidR="00060752" w:rsidRPr="00D23518" w:rsidRDefault="00060752" w:rsidP="00F73F4D">
            <w:pPr>
              <w:spacing w:after="106"/>
              <w:ind w:left="284"/>
              <w:rPr>
                <w:rFonts w:ascii="Arial Narrow" w:hAnsi="Arial Narrow"/>
                <w:sz w:val="20"/>
              </w:rPr>
            </w:pPr>
            <w:r w:rsidRPr="00D23518">
              <w:rPr>
                <w:rFonts w:ascii="Arial Narrow" w:hAnsi="Arial Narrow"/>
                <w:sz w:val="20"/>
              </w:rPr>
              <w:t xml:space="preserve">a. reinstates publication of Key Performance Indicators for service delivery functions </w:t>
            </w:r>
          </w:p>
          <w:p w14:paraId="04E3B777" w14:textId="77777777" w:rsidR="00060752" w:rsidRPr="00D23518" w:rsidRDefault="00060752" w:rsidP="00F73F4D">
            <w:pPr>
              <w:spacing w:after="106"/>
              <w:rPr>
                <w:rFonts w:ascii="Arial Narrow" w:hAnsi="Arial Narrow"/>
                <w:sz w:val="20"/>
              </w:rPr>
            </w:pPr>
          </w:p>
        </w:tc>
        <w:tc>
          <w:tcPr>
            <w:tcW w:w="2618" w:type="pct"/>
            <w:shd w:val="clear" w:color="auto" w:fill="auto"/>
          </w:tcPr>
          <w:p w14:paraId="2F021684" w14:textId="77777777" w:rsidR="00060752" w:rsidRPr="00D23518" w:rsidRDefault="00060752" w:rsidP="00F73F4D">
            <w:pPr>
              <w:rPr>
                <w:rFonts w:ascii="Arial Narrow" w:hAnsi="Arial Narrow"/>
                <w:sz w:val="20"/>
              </w:rPr>
            </w:pPr>
            <w:r w:rsidRPr="00D23518">
              <w:rPr>
                <w:rFonts w:ascii="Arial Narrow" w:hAnsi="Arial Narrow"/>
                <w:sz w:val="20"/>
              </w:rPr>
              <w:t>Agreed.</w:t>
            </w:r>
          </w:p>
          <w:p w14:paraId="7E2687F6" w14:textId="77777777" w:rsidR="00060752" w:rsidRPr="00D23518" w:rsidRDefault="00060752" w:rsidP="00F73F4D">
            <w:pPr>
              <w:rPr>
                <w:rFonts w:ascii="Arial Narrow" w:hAnsi="Arial Narrow"/>
                <w:b/>
                <w:sz w:val="20"/>
              </w:rPr>
            </w:pPr>
            <w:r w:rsidRPr="00D23518">
              <w:rPr>
                <w:rFonts w:ascii="Arial Narrow" w:hAnsi="Arial Narrow"/>
                <w:b/>
                <w:sz w:val="20"/>
              </w:rPr>
              <w:t xml:space="preserve">Key performance indicators for service delivery published on CASA’s website. </w:t>
            </w:r>
          </w:p>
          <w:p w14:paraId="273AE98C" w14:textId="77777777" w:rsidR="00060752" w:rsidRPr="00D23518" w:rsidRDefault="00060752" w:rsidP="00F73F4D">
            <w:pPr>
              <w:rPr>
                <w:rFonts w:ascii="Arial Narrow" w:hAnsi="Arial Narrow"/>
                <w:b/>
                <w:sz w:val="20"/>
              </w:rPr>
            </w:pPr>
            <w:r w:rsidRPr="00D23518">
              <w:rPr>
                <w:rFonts w:ascii="Arial Narrow" w:hAnsi="Arial Narrow"/>
                <w:b/>
                <w:sz w:val="20"/>
              </w:rPr>
              <w:t>Continue to publish monthly Service Delivery Statistics on its website.</w:t>
            </w:r>
          </w:p>
          <w:p w14:paraId="1A1E5908" w14:textId="77777777" w:rsidR="00060752" w:rsidRPr="00D23518" w:rsidRDefault="00060752" w:rsidP="00F73F4D">
            <w:pPr>
              <w:rPr>
                <w:rFonts w:ascii="Arial Narrow" w:hAnsi="Arial Narrow"/>
                <w:sz w:val="20"/>
              </w:rPr>
            </w:pPr>
            <w:r w:rsidRPr="00D23518">
              <w:rPr>
                <w:rFonts w:ascii="Arial Narrow" w:hAnsi="Arial Narrow"/>
                <w:b/>
                <w:sz w:val="20"/>
              </w:rPr>
              <w:t xml:space="preserve">In accordance with </w:t>
            </w:r>
            <w:r w:rsidRPr="00D23518">
              <w:rPr>
                <w:rFonts w:ascii="Arial Narrow" w:hAnsi="Arial Narrow"/>
                <w:b/>
                <w:i/>
                <w:sz w:val="20"/>
              </w:rPr>
              <w:t>Public Governance, Performance and Accountability Act 2013</w:t>
            </w:r>
            <w:r w:rsidRPr="00D23518">
              <w:rPr>
                <w:rFonts w:ascii="Arial Narrow" w:hAnsi="Arial Narrow"/>
                <w:b/>
                <w:sz w:val="20"/>
              </w:rPr>
              <w:t xml:space="preserve"> (PGPA Act 2013), CASA to publish an annual performance statement in its annual report.</w:t>
            </w:r>
          </w:p>
        </w:tc>
        <w:tc>
          <w:tcPr>
            <w:tcW w:w="1270" w:type="pct"/>
            <w:shd w:val="clear" w:color="auto" w:fill="auto"/>
          </w:tcPr>
          <w:p w14:paraId="194A5217" w14:textId="77777777" w:rsidR="00060752" w:rsidRPr="00D23518" w:rsidRDefault="00060752" w:rsidP="00F73F4D">
            <w:pPr>
              <w:rPr>
                <w:rFonts w:ascii="Arial Narrow" w:hAnsi="Arial Narrow"/>
                <w:sz w:val="20"/>
              </w:rPr>
            </w:pPr>
            <w:r w:rsidRPr="00D23518">
              <w:rPr>
                <w:rFonts w:ascii="Arial Narrow" w:hAnsi="Arial Narrow"/>
                <w:sz w:val="20"/>
              </w:rPr>
              <w:t>CASA’s Key Performance Indicators (KPIs) for service delivery functions are published on CASA’s website. CASA continues to refine its KPIs and publish monthly service delivery statistics on its website.</w:t>
            </w:r>
          </w:p>
          <w:p w14:paraId="533BE916" w14:textId="77777777" w:rsidR="00060752" w:rsidRPr="00D23518" w:rsidRDefault="00060752" w:rsidP="00F73F4D">
            <w:pPr>
              <w:rPr>
                <w:rFonts w:ascii="Arial Narrow" w:hAnsi="Arial Narrow"/>
                <w:sz w:val="20"/>
              </w:rPr>
            </w:pPr>
            <w:r w:rsidRPr="00D23518">
              <w:rPr>
                <w:rFonts w:ascii="Arial Narrow" w:hAnsi="Arial Narrow"/>
                <w:sz w:val="20"/>
              </w:rPr>
              <w:t>CASA will continue to publish an annual performance statement in its Annual Report.</w:t>
            </w:r>
          </w:p>
          <w:p w14:paraId="3C69DBB1" w14:textId="77777777" w:rsidR="00060752" w:rsidRPr="00D23518" w:rsidRDefault="00060752" w:rsidP="00F73F4D">
            <w:pPr>
              <w:pStyle w:val="CommentText"/>
              <w:rPr>
                <w:rFonts w:ascii="Arial Narrow" w:hAnsi="Arial Narrow"/>
                <w:sz w:val="20"/>
              </w:rPr>
            </w:pPr>
          </w:p>
        </w:tc>
      </w:tr>
      <w:tr w:rsidR="00060752" w:rsidRPr="00D23518" w14:paraId="686A04E4" w14:textId="77777777" w:rsidTr="00060752">
        <w:trPr>
          <w:trHeight w:val="70"/>
        </w:trPr>
        <w:tc>
          <w:tcPr>
            <w:tcW w:w="1112" w:type="pct"/>
            <w:shd w:val="clear" w:color="auto" w:fill="auto"/>
          </w:tcPr>
          <w:p w14:paraId="49722083" w14:textId="77777777" w:rsidR="00060752" w:rsidRPr="00D23518" w:rsidRDefault="00060752" w:rsidP="00F73F4D">
            <w:pPr>
              <w:ind w:left="284"/>
              <w:rPr>
                <w:rFonts w:ascii="Arial Narrow" w:hAnsi="Arial Narrow"/>
                <w:sz w:val="20"/>
              </w:rPr>
            </w:pPr>
            <w:r w:rsidRPr="00D23518">
              <w:rPr>
                <w:rFonts w:ascii="Arial Narrow" w:hAnsi="Arial Narrow"/>
                <w:sz w:val="20"/>
              </w:rPr>
              <w:t>b. conducts a stakeholder survey every two years to measure the health of its relationship with industry</w:t>
            </w:r>
          </w:p>
          <w:p w14:paraId="3A561762" w14:textId="77777777" w:rsidR="00060752" w:rsidRPr="00D23518" w:rsidRDefault="00060752" w:rsidP="00F73F4D">
            <w:pPr>
              <w:spacing w:after="106"/>
              <w:rPr>
                <w:rFonts w:ascii="Arial Narrow" w:hAnsi="Arial Narrow"/>
                <w:b/>
                <w:sz w:val="20"/>
              </w:rPr>
            </w:pPr>
          </w:p>
        </w:tc>
        <w:tc>
          <w:tcPr>
            <w:tcW w:w="2618" w:type="pct"/>
            <w:shd w:val="clear" w:color="auto" w:fill="auto"/>
          </w:tcPr>
          <w:p w14:paraId="13CBE39F" w14:textId="77777777" w:rsidR="00060752" w:rsidRPr="00D23518" w:rsidRDefault="00060752" w:rsidP="00F73F4D">
            <w:pPr>
              <w:rPr>
                <w:rFonts w:ascii="Arial Narrow" w:hAnsi="Arial Narrow"/>
                <w:sz w:val="20"/>
              </w:rPr>
            </w:pPr>
            <w:r w:rsidRPr="00D23518">
              <w:rPr>
                <w:rFonts w:ascii="Arial Narrow" w:hAnsi="Arial Narrow"/>
                <w:sz w:val="20"/>
              </w:rPr>
              <w:t>Agreed.</w:t>
            </w:r>
          </w:p>
          <w:p w14:paraId="0FE7F626" w14:textId="77777777" w:rsidR="00060752" w:rsidRPr="00D23518" w:rsidRDefault="00060752" w:rsidP="00F73F4D">
            <w:pPr>
              <w:rPr>
                <w:rFonts w:ascii="Arial Narrow" w:hAnsi="Arial Narrow"/>
                <w:sz w:val="20"/>
              </w:rPr>
            </w:pPr>
            <w:r w:rsidRPr="00D23518">
              <w:rPr>
                <w:rFonts w:ascii="Arial Narrow" w:hAnsi="Arial Narrow"/>
                <w:b/>
                <w:sz w:val="20"/>
              </w:rPr>
              <w:t>Stakeholder surveys to be conducted every two years and results to be provided to the Board and Director of Aviation Safety to assist in monitoring and making improvements in CASA’s performance and relationship with industry.</w:t>
            </w:r>
          </w:p>
        </w:tc>
        <w:tc>
          <w:tcPr>
            <w:tcW w:w="1270" w:type="pct"/>
            <w:shd w:val="clear" w:color="auto" w:fill="auto"/>
          </w:tcPr>
          <w:p w14:paraId="50DAC9CC" w14:textId="77777777" w:rsidR="00060752" w:rsidRPr="00D23518" w:rsidRDefault="00060752" w:rsidP="00F73F4D">
            <w:pPr>
              <w:rPr>
                <w:rFonts w:ascii="Arial Narrow" w:hAnsi="Arial Narrow"/>
                <w:sz w:val="20"/>
              </w:rPr>
            </w:pPr>
            <w:r w:rsidRPr="00D23518">
              <w:rPr>
                <w:rFonts w:ascii="Arial Narrow" w:hAnsi="Arial Narrow"/>
                <w:sz w:val="20"/>
              </w:rPr>
              <w:t>The first survey was conducted from 23 November to 18 December 2015 and CASA received over 1,200 responses. The results were provided to the Board and DAS. Results were also publicly released on CASA’s website in August 2016.</w:t>
            </w:r>
          </w:p>
          <w:p w14:paraId="747C8793" w14:textId="77777777" w:rsidR="00060752" w:rsidRPr="00D23518" w:rsidRDefault="00060752" w:rsidP="00F73F4D">
            <w:pPr>
              <w:pStyle w:val="CommentText"/>
              <w:rPr>
                <w:rFonts w:ascii="Arial Narrow" w:hAnsi="Arial Narrow"/>
                <w:sz w:val="20"/>
              </w:rPr>
            </w:pPr>
            <w:r w:rsidRPr="00D23518">
              <w:rPr>
                <w:rFonts w:ascii="Arial Narrow" w:hAnsi="Arial Narrow"/>
                <w:sz w:val="20"/>
              </w:rPr>
              <w:t>The second survey was conducted from April</w:t>
            </w:r>
            <w:r w:rsidRPr="00D23518">
              <w:rPr>
                <w:rFonts w:ascii="Arial Narrow" w:hAnsi="Arial Narrow"/>
                <w:sz w:val="20"/>
                <w:lang w:val="en-AU"/>
              </w:rPr>
              <w:t xml:space="preserve"> to </w:t>
            </w:r>
            <w:r w:rsidRPr="00D23518">
              <w:rPr>
                <w:rFonts w:ascii="Arial Narrow" w:hAnsi="Arial Narrow"/>
                <w:sz w:val="20"/>
              </w:rPr>
              <w:t>June 2018 with 1,168 responses received. A</w:t>
            </w:r>
            <w:r w:rsidRPr="00D23518">
              <w:rPr>
                <w:rFonts w:ascii="Arial Narrow" w:hAnsi="Arial Narrow"/>
                <w:sz w:val="20"/>
                <w:lang w:val="en-AU"/>
              </w:rPr>
              <w:t xml:space="preserve"> </w:t>
            </w:r>
            <w:r w:rsidRPr="00D23518">
              <w:rPr>
                <w:rFonts w:ascii="Arial Narrow" w:hAnsi="Arial Narrow"/>
                <w:sz w:val="20"/>
              </w:rPr>
              <w:t>final analysis of these responses is underway.</w:t>
            </w:r>
          </w:p>
        </w:tc>
      </w:tr>
      <w:tr w:rsidR="00060752" w:rsidRPr="00D23518" w14:paraId="593464CB" w14:textId="77777777" w:rsidTr="00060752">
        <w:trPr>
          <w:trHeight w:val="793"/>
        </w:trPr>
        <w:tc>
          <w:tcPr>
            <w:tcW w:w="1112" w:type="pct"/>
            <w:shd w:val="clear" w:color="auto" w:fill="auto"/>
          </w:tcPr>
          <w:p w14:paraId="464A8DA6" w14:textId="77777777" w:rsidR="00060752" w:rsidRPr="00D23518" w:rsidRDefault="00060752" w:rsidP="00F73F4D">
            <w:pPr>
              <w:spacing w:after="106"/>
              <w:ind w:left="284"/>
              <w:rPr>
                <w:rFonts w:ascii="Arial Narrow" w:hAnsi="Arial Narrow"/>
                <w:sz w:val="20"/>
              </w:rPr>
            </w:pPr>
            <w:r w:rsidRPr="00D23518">
              <w:rPr>
                <w:rFonts w:ascii="Arial Narrow" w:hAnsi="Arial Narrow"/>
                <w:sz w:val="20"/>
              </w:rPr>
              <w:lastRenderedPageBreak/>
              <w:t xml:space="preserve">c. accepts regulatory authority applications online unless there is a valid technical reason against it </w:t>
            </w:r>
          </w:p>
          <w:p w14:paraId="3528E595" w14:textId="77777777" w:rsidR="00060752" w:rsidRPr="00D23518" w:rsidRDefault="00060752" w:rsidP="00F73F4D">
            <w:pPr>
              <w:spacing w:after="106"/>
              <w:rPr>
                <w:rFonts w:ascii="Arial Narrow" w:hAnsi="Arial Narrow"/>
                <w:b/>
                <w:sz w:val="20"/>
              </w:rPr>
            </w:pPr>
          </w:p>
        </w:tc>
        <w:tc>
          <w:tcPr>
            <w:tcW w:w="2618" w:type="pct"/>
            <w:shd w:val="clear" w:color="auto" w:fill="auto"/>
          </w:tcPr>
          <w:p w14:paraId="7CFC5B85" w14:textId="77777777" w:rsidR="00060752" w:rsidRPr="00D23518" w:rsidRDefault="00060752" w:rsidP="00F73F4D">
            <w:pPr>
              <w:rPr>
                <w:rFonts w:ascii="Arial Narrow" w:hAnsi="Arial Narrow"/>
                <w:sz w:val="20"/>
              </w:rPr>
            </w:pPr>
            <w:r w:rsidRPr="00D23518">
              <w:rPr>
                <w:rFonts w:ascii="Arial Narrow" w:hAnsi="Arial Narrow"/>
                <w:sz w:val="20"/>
              </w:rPr>
              <w:t>Agreed.</w:t>
            </w:r>
          </w:p>
          <w:p w14:paraId="784FE7B6" w14:textId="77777777" w:rsidR="00060752" w:rsidRPr="00D23518" w:rsidRDefault="00060752" w:rsidP="00F73F4D">
            <w:pPr>
              <w:rPr>
                <w:rFonts w:ascii="Arial Narrow" w:hAnsi="Arial Narrow"/>
                <w:b/>
                <w:sz w:val="20"/>
              </w:rPr>
            </w:pPr>
            <w:r w:rsidRPr="00D23518">
              <w:rPr>
                <w:rFonts w:ascii="Arial Narrow" w:hAnsi="Arial Narrow"/>
                <w:b/>
                <w:sz w:val="20"/>
              </w:rPr>
              <w:t>In accordance with the Government’s digital business policy, CASA has commenced transitioning more of its business to be conducted online but this will require industry to ensure it has the appropriate infrastructure in place to use online systems.</w:t>
            </w:r>
          </w:p>
        </w:tc>
        <w:tc>
          <w:tcPr>
            <w:tcW w:w="1270" w:type="pct"/>
            <w:shd w:val="clear" w:color="auto" w:fill="auto"/>
          </w:tcPr>
          <w:p w14:paraId="2C792EA0" w14:textId="77777777" w:rsidR="00060752" w:rsidRDefault="00060752" w:rsidP="00F73F4D">
            <w:pPr>
              <w:spacing w:after="60"/>
              <w:rPr>
                <w:rFonts w:ascii="Arial Narrow" w:hAnsi="Arial Narrow"/>
                <w:sz w:val="20"/>
              </w:rPr>
            </w:pPr>
            <w:r w:rsidRPr="00D23518">
              <w:rPr>
                <w:rFonts w:ascii="Arial Narrow" w:hAnsi="Arial Narrow"/>
                <w:sz w:val="20"/>
              </w:rPr>
              <w:t>CASA is transitioning more of its business to the online environment through its Digital Services Strategy. However, it is acknowledged that full transition is expected to take up to five years.</w:t>
            </w:r>
          </w:p>
          <w:p w14:paraId="3FFE6D31" w14:textId="77777777" w:rsidR="00060752" w:rsidRDefault="00060752" w:rsidP="00F73F4D">
            <w:pPr>
              <w:spacing w:after="60"/>
              <w:rPr>
                <w:rFonts w:ascii="Arial Narrow" w:hAnsi="Arial Narrow"/>
                <w:sz w:val="20"/>
              </w:rPr>
            </w:pPr>
          </w:p>
          <w:p w14:paraId="1EAFCC11" w14:textId="77777777" w:rsidR="00060752" w:rsidRPr="00D23518" w:rsidRDefault="00060752" w:rsidP="00F73F4D">
            <w:pPr>
              <w:spacing w:after="60"/>
              <w:rPr>
                <w:rFonts w:ascii="Arial Narrow" w:hAnsi="Arial Narrow"/>
                <w:sz w:val="20"/>
              </w:rPr>
            </w:pPr>
          </w:p>
        </w:tc>
      </w:tr>
      <w:tr w:rsidR="00060752" w:rsidRPr="00D23518" w14:paraId="6AEE23FD" w14:textId="77777777" w:rsidTr="00060752">
        <w:trPr>
          <w:trHeight w:val="56"/>
        </w:trPr>
        <w:tc>
          <w:tcPr>
            <w:tcW w:w="1112" w:type="pct"/>
            <w:shd w:val="clear" w:color="auto" w:fill="auto"/>
          </w:tcPr>
          <w:p w14:paraId="4A0B9790" w14:textId="77777777" w:rsidR="00060752" w:rsidRPr="00D23518" w:rsidRDefault="00060752" w:rsidP="00F73F4D">
            <w:pPr>
              <w:ind w:left="284"/>
              <w:rPr>
                <w:rFonts w:ascii="Arial Narrow" w:hAnsi="Arial Narrow"/>
                <w:i/>
                <w:iCs/>
                <w:sz w:val="20"/>
              </w:rPr>
            </w:pPr>
            <w:r w:rsidRPr="00D23518">
              <w:rPr>
                <w:rFonts w:ascii="Arial Narrow" w:hAnsi="Arial Narrow"/>
                <w:sz w:val="20"/>
              </w:rPr>
              <w:t xml:space="preserve">d. adopts the same Code of Conduct and Values that apply to the Australian Public Service under the </w:t>
            </w:r>
            <w:r w:rsidRPr="00D23518">
              <w:rPr>
                <w:rFonts w:ascii="Arial Narrow" w:hAnsi="Arial Narrow"/>
                <w:i/>
                <w:iCs/>
                <w:sz w:val="20"/>
              </w:rPr>
              <w:t>Public Service Act 1999.</w:t>
            </w:r>
          </w:p>
          <w:p w14:paraId="39C244A8" w14:textId="77777777" w:rsidR="00060752" w:rsidRPr="00D23518" w:rsidRDefault="00060752" w:rsidP="00F73F4D">
            <w:pPr>
              <w:spacing w:after="106"/>
              <w:rPr>
                <w:rFonts w:ascii="Arial Narrow" w:hAnsi="Arial Narrow"/>
                <w:b/>
                <w:sz w:val="20"/>
              </w:rPr>
            </w:pPr>
          </w:p>
        </w:tc>
        <w:tc>
          <w:tcPr>
            <w:tcW w:w="2618" w:type="pct"/>
            <w:shd w:val="clear" w:color="auto" w:fill="auto"/>
          </w:tcPr>
          <w:p w14:paraId="6CD0B699" w14:textId="77777777" w:rsidR="00060752" w:rsidRPr="00D23518" w:rsidRDefault="00060752" w:rsidP="00F73F4D">
            <w:pPr>
              <w:tabs>
                <w:tab w:val="left" w:pos="295"/>
              </w:tabs>
              <w:rPr>
                <w:rFonts w:ascii="Arial Narrow" w:hAnsi="Arial Narrow"/>
                <w:sz w:val="20"/>
              </w:rPr>
            </w:pPr>
            <w:r w:rsidRPr="00D23518">
              <w:rPr>
                <w:rFonts w:ascii="Arial Narrow" w:hAnsi="Arial Narrow"/>
                <w:sz w:val="20"/>
              </w:rPr>
              <w:t>Agreed in Principle.</w:t>
            </w:r>
          </w:p>
          <w:p w14:paraId="1DF9F60F" w14:textId="77777777" w:rsidR="00060752" w:rsidRPr="00D23518" w:rsidRDefault="00060752" w:rsidP="00F73F4D">
            <w:pPr>
              <w:rPr>
                <w:rFonts w:ascii="Arial Narrow" w:hAnsi="Arial Narrow"/>
                <w:b/>
                <w:sz w:val="20"/>
              </w:rPr>
            </w:pPr>
            <w:r w:rsidRPr="00D23518">
              <w:rPr>
                <w:rFonts w:ascii="Arial Narrow" w:hAnsi="Arial Narrow"/>
                <w:b/>
                <w:sz w:val="20"/>
              </w:rPr>
              <w:t>The Government’s new Statement of Expectations to the CASA Board will reaffirm the requirement that CASA staff adhere to a Code of Conduct and set of values consistent with those that apply to the APS.</w:t>
            </w:r>
          </w:p>
        </w:tc>
        <w:tc>
          <w:tcPr>
            <w:tcW w:w="1270" w:type="pct"/>
            <w:shd w:val="clear" w:color="auto" w:fill="auto"/>
          </w:tcPr>
          <w:p w14:paraId="19615546" w14:textId="77777777" w:rsidR="00060752" w:rsidRPr="00D23518" w:rsidRDefault="00060752" w:rsidP="00F73F4D">
            <w:pPr>
              <w:rPr>
                <w:rFonts w:ascii="Arial Narrow" w:hAnsi="Arial Narrow"/>
                <w:sz w:val="20"/>
              </w:rPr>
            </w:pPr>
            <w:r w:rsidRPr="00D23518">
              <w:rPr>
                <w:rFonts w:ascii="Arial Narrow" w:hAnsi="Arial Narrow"/>
                <w:sz w:val="20"/>
              </w:rPr>
              <w:t>The latest update to the SOE issued to the CASA Board in March 2017 continues to require CASA to have a code of conduct and values consistent with those used by the Australian Public Service.</w:t>
            </w:r>
          </w:p>
          <w:p w14:paraId="46111E45" w14:textId="77777777" w:rsidR="00060752" w:rsidRPr="00D23518" w:rsidRDefault="00060752" w:rsidP="00F73F4D">
            <w:pPr>
              <w:rPr>
                <w:rFonts w:ascii="Arial Narrow" w:hAnsi="Arial Narrow"/>
                <w:sz w:val="20"/>
              </w:rPr>
            </w:pPr>
            <w:r w:rsidRPr="00D23518">
              <w:rPr>
                <w:rFonts w:ascii="Arial Narrow" w:hAnsi="Arial Narrow"/>
                <w:sz w:val="20"/>
              </w:rPr>
              <w:t xml:space="preserve">CASA’s Code of Conduct was amended in late 2014 and aligns with the APS Code of Conduct and Values, and with the requirements of the </w:t>
            </w:r>
            <w:r w:rsidRPr="00D23518">
              <w:rPr>
                <w:rFonts w:ascii="Arial Narrow" w:hAnsi="Arial Narrow"/>
                <w:i/>
                <w:sz w:val="20"/>
              </w:rPr>
              <w:t>Public Governance and Performance Accountability Act 2013</w:t>
            </w:r>
            <w:r w:rsidRPr="00D23518">
              <w:rPr>
                <w:rFonts w:ascii="Arial Narrow" w:hAnsi="Arial Narrow"/>
                <w:sz w:val="20"/>
              </w:rPr>
              <w:t>.</w:t>
            </w:r>
          </w:p>
          <w:p w14:paraId="19C30D9E" w14:textId="77777777" w:rsidR="00060752" w:rsidRPr="00D23518" w:rsidRDefault="00060752" w:rsidP="00F73F4D">
            <w:pPr>
              <w:rPr>
                <w:rFonts w:ascii="Arial Narrow" w:hAnsi="Arial Narrow"/>
                <w:sz w:val="20"/>
              </w:rPr>
            </w:pPr>
          </w:p>
        </w:tc>
      </w:tr>
      <w:tr w:rsidR="00060752" w:rsidRPr="00D23518" w14:paraId="143DB454" w14:textId="77777777" w:rsidTr="00060752">
        <w:tc>
          <w:tcPr>
            <w:tcW w:w="1112" w:type="pct"/>
            <w:shd w:val="clear" w:color="auto" w:fill="auto"/>
          </w:tcPr>
          <w:p w14:paraId="4CE78696" w14:textId="77777777" w:rsidR="00060752" w:rsidRPr="00D23518" w:rsidRDefault="00060752" w:rsidP="00F73F4D">
            <w:pPr>
              <w:rPr>
                <w:rFonts w:ascii="Arial Narrow" w:hAnsi="Arial Narrow"/>
                <w:sz w:val="20"/>
              </w:rPr>
            </w:pPr>
            <w:r w:rsidRPr="00D23518">
              <w:rPr>
                <w:rFonts w:ascii="Arial Narrow" w:hAnsi="Arial Narrow"/>
                <w:sz w:val="20"/>
              </w:rPr>
              <w:t>9. The Civil Aviation Safety Authority develops a staff exchange program with industry.</w:t>
            </w:r>
          </w:p>
          <w:p w14:paraId="69231510" w14:textId="77777777" w:rsidR="00060752" w:rsidRPr="00D23518" w:rsidRDefault="00060752" w:rsidP="00F73F4D">
            <w:pPr>
              <w:spacing w:after="106"/>
              <w:rPr>
                <w:rFonts w:ascii="Arial Narrow" w:hAnsi="Arial Narrow"/>
                <w:b/>
                <w:sz w:val="20"/>
              </w:rPr>
            </w:pPr>
          </w:p>
        </w:tc>
        <w:tc>
          <w:tcPr>
            <w:tcW w:w="2618" w:type="pct"/>
            <w:shd w:val="clear" w:color="auto" w:fill="auto"/>
          </w:tcPr>
          <w:p w14:paraId="01EBE839" w14:textId="77777777" w:rsidR="00060752" w:rsidRPr="00D23518" w:rsidRDefault="00060752" w:rsidP="00F73F4D">
            <w:pPr>
              <w:tabs>
                <w:tab w:val="left" w:pos="295"/>
              </w:tabs>
              <w:rPr>
                <w:rFonts w:ascii="Arial Narrow" w:hAnsi="Arial Narrow"/>
                <w:sz w:val="20"/>
              </w:rPr>
            </w:pPr>
            <w:r w:rsidRPr="00D23518">
              <w:rPr>
                <w:rFonts w:ascii="Arial Narrow" w:hAnsi="Arial Narrow"/>
                <w:sz w:val="20"/>
              </w:rPr>
              <w:t>Agreed in Principle</w:t>
            </w:r>
          </w:p>
          <w:p w14:paraId="52388B47" w14:textId="77777777" w:rsidR="00060752" w:rsidRPr="00D23518" w:rsidRDefault="00060752" w:rsidP="00F73F4D">
            <w:pPr>
              <w:rPr>
                <w:rFonts w:ascii="Arial Narrow" w:hAnsi="Arial Narrow"/>
                <w:b/>
                <w:sz w:val="20"/>
              </w:rPr>
            </w:pPr>
            <w:r w:rsidRPr="00D23518">
              <w:rPr>
                <w:rFonts w:ascii="Arial Narrow" w:hAnsi="Arial Narrow"/>
                <w:b/>
                <w:sz w:val="20"/>
              </w:rPr>
              <w:t>CASA to complete an updated Workforce Plan which will outline CASA’s strategies to manage and develop its workforce over the next four years. This Plan will be reviewed and updated on an annual basis.</w:t>
            </w:r>
          </w:p>
          <w:p w14:paraId="5E4401F4" w14:textId="77777777" w:rsidR="00060752" w:rsidRPr="00D23518" w:rsidRDefault="00060752" w:rsidP="00F73F4D">
            <w:pPr>
              <w:rPr>
                <w:rFonts w:ascii="Arial Narrow" w:hAnsi="Arial Narrow"/>
                <w:b/>
                <w:sz w:val="20"/>
              </w:rPr>
            </w:pPr>
            <w:r w:rsidRPr="00D23518">
              <w:rPr>
                <w:rFonts w:ascii="Arial Narrow" w:hAnsi="Arial Narrow"/>
                <w:b/>
                <w:sz w:val="20"/>
              </w:rPr>
              <w:t>Notwithstanding challenges with staff exchanges, CASA and industry should continue to work closely, for example, in the development of future regulatory proposals.</w:t>
            </w:r>
          </w:p>
        </w:tc>
        <w:tc>
          <w:tcPr>
            <w:tcW w:w="1270" w:type="pct"/>
            <w:tcBorders>
              <w:bottom w:val="single" w:sz="4" w:space="0" w:color="auto"/>
            </w:tcBorders>
            <w:shd w:val="clear" w:color="auto" w:fill="auto"/>
          </w:tcPr>
          <w:p w14:paraId="720BD257" w14:textId="77777777" w:rsidR="00060752" w:rsidRPr="00D23518" w:rsidRDefault="00060752" w:rsidP="00F73F4D">
            <w:pPr>
              <w:rPr>
                <w:rFonts w:ascii="Arial Narrow" w:hAnsi="Arial Narrow"/>
                <w:sz w:val="20"/>
              </w:rPr>
            </w:pPr>
            <w:r w:rsidRPr="00D23518">
              <w:rPr>
                <w:rFonts w:ascii="Arial Narrow" w:hAnsi="Arial Narrow"/>
                <w:sz w:val="20"/>
              </w:rPr>
              <w:t>CASA’s Workforce Plan was most recently updated in April 2017.</w:t>
            </w:r>
          </w:p>
          <w:p w14:paraId="4A91589A" w14:textId="77777777" w:rsidR="00060752" w:rsidRPr="00D23518" w:rsidRDefault="00060752" w:rsidP="00F73F4D">
            <w:pPr>
              <w:rPr>
                <w:rFonts w:ascii="Arial Narrow" w:hAnsi="Arial Narrow"/>
                <w:sz w:val="20"/>
              </w:rPr>
            </w:pPr>
            <w:r w:rsidRPr="00D23518">
              <w:rPr>
                <w:rFonts w:ascii="Arial Narrow" w:hAnsi="Arial Narrow"/>
                <w:sz w:val="20"/>
              </w:rPr>
              <w:t>CASA is working with industry on a number of staff exchange or secondment initiatives including:</w:t>
            </w:r>
          </w:p>
          <w:p w14:paraId="4500F5AB" w14:textId="77777777" w:rsidR="00060752" w:rsidRPr="00D23518" w:rsidRDefault="00060752" w:rsidP="00F73F4D">
            <w:pPr>
              <w:pStyle w:val="ListParagraph"/>
              <w:numPr>
                <w:ilvl w:val="0"/>
                <w:numId w:val="25"/>
              </w:numPr>
              <w:tabs>
                <w:tab w:val="left" w:pos="460"/>
              </w:tabs>
              <w:spacing w:after="0"/>
              <w:ind w:left="460" w:hanging="425"/>
              <w:rPr>
                <w:rFonts w:ascii="Arial Narrow" w:hAnsi="Arial Narrow"/>
                <w:sz w:val="20"/>
                <w:szCs w:val="20"/>
              </w:rPr>
            </w:pPr>
            <w:r w:rsidRPr="00D23518">
              <w:rPr>
                <w:rFonts w:ascii="Arial Narrow" w:hAnsi="Arial Narrow"/>
                <w:sz w:val="20"/>
                <w:szCs w:val="20"/>
              </w:rPr>
              <w:t xml:space="preserve">an agreement with a major industry operator for secondment of a staff member;  </w:t>
            </w:r>
          </w:p>
          <w:p w14:paraId="50DD8646" w14:textId="77777777" w:rsidR="00060752" w:rsidRPr="00D23518" w:rsidRDefault="00060752" w:rsidP="00F73F4D">
            <w:pPr>
              <w:pStyle w:val="ListParagraph"/>
              <w:numPr>
                <w:ilvl w:val="0"/>
                <w:numId w:val="25"/>
              </w:numPr>
              <w:tabs>
                <w:tab w:val="left" w:pos="460"/>
              </w:tabs>
              <w:spacing w:after="0"/>
              <w:ind w:left="460" w:hanging="425"/>
              <w:rPr>
                <w:rFonts w:ascii="Arial Narrow" w:hAnsi="Arial Narrow"/>
                <w:sz w:val="20"/>
                <w:szCs w:val="20"/>
              </w:rPr>
            </w:pPr>
            <w:r w:rsidRPr="00D23518">
              <w:rPr>
                <w:rFonts w:ascii="Arial Narrow" w:hAnsi="Arial Narrow"/>
                <w:sz w:val="20"/>
                <w:szCs w:val="20"/>
              </w:rPr>
              <w:t>a rotational exchange of Doctors between CASA and several major Australian airlines; and</w:t>
            </w:r>
          </w:p>
          <w:p w14:paraId="5D750D82" w14:textId="77777777" w:rsidR="00060752" w:rsidRPr="00D23518" w:rsidRDefault="00060752" w:rsidP="00F73F4D">
            <w:pPr>
              <w:pStyle w:val="ListParagraph"/>
              <w:numPr>
                <w:ilvl w:val="0"/>
                <w:numId w:val="25"/>
              </w:numPr>
              <w:tabs>
                <w:tab w:val="left" w:pos="460"/>
              </w:tabs>
              <w:spacing w:after="0"/>
              <w:ind w:left="460" w:hanging="425"/>
              <w:rPr>
                <w:rFonts w:ascii="Arial Narrow" w:hAnsi="Arial Narrow"/>
                <w:sz w:val="20"/>
                <w:szCs w:val="20"/>
              </w:rPr>
            </w:pPr>
            <w:r w:rsidRPr="00D23518">
              <w:rPr>
                <w:rFonts w:ascii="Arial Narrow" w:hAnsi="Arial Narrow"/>
                <w:sz w:val="20"/>
                <w:szCs w:val="20"/>
              </w:rPr>
              <w:t>advice on an offer of a regular staff placement in a self-administering organisation.</w:t>
            </w:r>
          </w:p>
          <w:p w14:paraId="6E942B83" w14:textId="77777777" w:rsidR="00060752" w:rsidRPr="00D23518" w:rsidRDefault="00060752" w:rsidP="00F73F4D">
            <w:pPr>
              <w:tabs>
                <w:tab w:val="left" w:pos="460"/>
              </w:tabs>
              <w:ind w:left="35"/>
              <w:rPr>
                <w:rFonts w:ascii="Arial Narrow" w:hAnsi="Arial Narrow"/>
                <w:sz w:val="20"/>
              </w:rPr>
            </w:pPr>
            <w:r w:rsidRPr="00D23518">
              <w:rPr>
                <w:rFonts w:ascii="Arial Narrow" w:hAnsi="Arial Narrow"/>
                <w:sz w:val="20"/>
              </w:rPr>
              <w:lastRenderedPageBreak/>
              <w:t>CASA continues to work towards reaching a suitable exchange/secondment program.</w:t>
            </w:r>
          </w:p>
          <w:p w14:paraId="45562106" w14:textId="77777777" w:rsidR="00060752" w:rsidRPr="00D23518" w:rsidRDefault="00060752" w:rsidP="00F73F4D">
            <w:pPr>
              <w:tabs>
                <w:tab w:val="left" w:pos="460"/>
              </w:tabs>
              <w:ind w:left="35"/>
              <w:rPr>
                <w:rFonts w:ascii="Arial Narrow" w:hAnsi="Arial Narrow"/>
                <w:sz w:val="20"/>
              </w:rPr>
            </w:pPr>
            <w:r w:rsidRPr="00D23518">
              <w:rPr>
                <w:rFonts w:ascii="Arial Narrow" w:hAnsi="Arial Narrow"/>
                <w:sz w:val="20"/>
              </w:rPr>
              <w:t>CASA has committed, and will continue, to work closely with industry on regulatory proposals.</w:t>
            </w:r>
          </w:p>
        </w:tc>
      </w:tr>
      <w:tr w:rsidR="00060752" w:rsidRPr="00D23518" w14:paraId="4B0148A0" w14:textId="77777777" w:rsidTr="00060752">
        <w:tc>
          <w:tcPr>
            <w:tcW w:w="1112" w:type="pct"/>
            <w:shd w:val="clear" w:color="auto" w:fill="auto"/>
          </w:tcPr>
          <w:p w14:paraId="1E3BC97E" w14:textId="77777777" w:rsidR="00060752" w:rsidRPr="00D23518" w:rsidRDefault="00060752" w:rsidP="00F73F4D">
            <w:pPr>
              <w:tabs>
                <w:tab w:val="left" w:pos="34"/>
              </w:tabs>
              <w:spacing w:before="40" w:after="40"/>
              <w:rPr>
                <w:rFonts w:ascii="Arial Narrow" w:eastAsia="Times New Roman" w:hAnsi="Arial Narrow"/>
                <w:sz w:val="20"/>
                <w:lang w:eastAsia="en-AU"/>
              </w:rPr>
            </w:pPr>
            <w:r w:rsidRPr="00D23518">
              <w:rPr>
                <w:rFonts w:ascii="Arial Narrow" w:hAnsi="Arial Narrow"/>
                <w:sz w:val="20"/>
              </w:rPr>
              <w:lastRenderedPageBreak/>
              <w:br w:type="page"/>
            </w:r>
            <w:r w:rsidRPr="00D23518">
              <w:rPr>
                <w:rFonts w:ascii="Arial Narrow" w:eastAsia="Times New Roman" w:hAnsi="Arial Narrow"/>
                <w:sz w:val="20"/>
                <w:lang w:eastAsia="en-AU"/>
              </w:rPr>
              <w:t>11. The Australian Transport Safety Bureau and the Civil Aviation Safety Authority amend the wording of their existing Memorandum of Understanding to make it more definitive about interaction, coordination, and cooperation.</w:t>
            </w:r>
          </w:p>
        </w:tc>
        <w:tc>
          <w:tcPr>
            <w:tcW w:w="2618" w:type="pct"/>
            <w:shd w:val="clear" w:color="auto" w:fill="auto"/>
          </w:tcPr>
          <w:p w14:paraId="76ADAB7B" w14:textId="77777777" w:rsidR="00060752" w:rsidRPr="00D23518" w:rsidRDefault="00060752" w:rsidP="00F73F4D">
            <w:pPr>
              <w:tabs>
                <w:tab w:val="left" w:pos="295"/>
              </w:tabs>
              <w:spacing w:after="80"/>
              <w:rPr>
                <w:rFonts w:ascii="Arial Narrow" w:hAnsi="Arial Narrow"/>
                <w:sz w:val="20"/>
              </w:rPr>
            </w:pPr>
            <w:r w:rsidRPr="00D23518">
              <w:rPr>
                <w:rFonts w:ascii="Arial Narrow" w:hAnsi="Arial Narrow"/>
                <w:sz w:val="20"/>
              </w:rPr>
              <w:t xml:space="preserve">Agreed </w:t>
            </w:r>
          </w:p>
          <w:p w14:paraId="7F987D2C" w14:textId="77777777" w:rsidR="00060752" w:rsidRPr="00D23518" w:rsidRDefault="00060752" w:rsidP="00F73F4D">
            <w:pPr>
              <w:rPr>
                <w:rFonts w:ascii="Arial Narrow" w:hAnsi="Arial Narrow"/>
                <w:b/>
                <w:sz w:val="20"/>
              </w:rPr>
            </w:pPr>
            <w:r w:rsidRPr="00D23518">
              <w:rPr>
                <w:rFonts w:ascii="Arial Narrow" w:hAnsi="Arial Narrow"/>
                <w:b/>
                <w:sz w:val="20"/>
              </w:rPr>
              <w:t>CASA and the ATSB are currently completing a review of the Memorandum of Understanding which would give effect to this recommendation.</w:t>
            </w:r>
          </w:p>
        </w:tc>
        <w:tc>
          <w:tcPr>
            <w:tcW w:w="1270" w:type="pct"/>
            <w:shd w:val="clear" w:color="auto" w:fill="auto"/>
          </w:tcPr>
          <w:p w14:paraId="18070BFB" w14:textId="77777777" w:rsidR="00060752" w:rsidRPr="00D23518" w:rsidRDefault="00060752" w:rsidP="00F73F4D">
            <w:pPr>
              <w:rPr>
                <w:rFonts w:ascii="Arial Narrow" w:hAnsi="Arial Narrow"/>
                <w:sz w:val="20"/>
              </w:rPr>
            </w:pPr>
            <w:r w:rsidRPr="00D23518">
              <w:rPr>
                <w:rFonts w:ascii="Arial Narrow" w:hAnsi="Arial Narrow"/>
                <w:sz w:val="20"/>
              </w:rPr>
              <w:t>A revised Memorandum of Understanding was signed on 30 March 2015 and is available on the ATSB and CASA websites.</w:t>
            </w:r>
          </w:p>
          <w:p w14:paraId="61634D8F" w14:textId="77777777" w:rsidR="00060752" w:rsidRDefault="00060752" w:rsidP="00F73F4D">
            <w:pPr>
              <w:spacing w:after="60"/>
              <w:rPr>
                <w:rFonts w:ascii="Arial Narrow" w:hAnsi="Arial Narrow"/>
                <w:sz w:val="20"/>
              </w:rPr>
            </w:pPr>
          </w:p>
          <w:p w14:paraId="39A35BB0" w14:textId="77777777" w:rsidR="00060752" w:rsidRPr="00D23518" w:rsidRDefault="00060752" w:rsidP="00F73F4D">
            <w:pPr>
              <w:pStyle w:val="ListParagraph"/>
              <w:autoSpaceDE w:val="0"/>
              <w:autoSpaceDN w:val="0"/>
              <w:ind w:left="0"/>
              <w:rPr>
                <w:rFonts w:ascii="Arial Narrow" w:hAnsi="Arial Narrow"/>
                <w:bCs/>
                <w:sz w:val="20"/>
                <w:szCs w:val="20"/>
              </w:rPr>
            </w:pPr>
          </w:p>
        </w:tc>
      </w:tr>
      <w:tr w:rsidR="00060752" w:rsidRPr="00D23518" w14:paraId="7FDB9CCC" w14:textId="77777777" w:rsidTr="00060752">
        <w:tc>
          <w:tcPr>
            <w:tcW w:w="1112" w:type="pct"/>
            <w:shd w:val="clear" w:color="auto" w:fill="auto"/>
          </w:tcPr>
          <w:p w14:paraId="0B4C0C3A" w14:textId="77777777" w:rsidR="00060752" w:rsidRPr="00D23518" w:rsidRDefault="00060752" w:rsidP="00F73F4D">
            <w:pPr>
              <w:autoSpaceDE w:val="0"/>
              <w:autoSpaceDN w:val="0"/>
              <w:adjustRightInd w:val="0"/>
              <w:rPr>
                <w:rFonts w:ascii="Arial Narrow" w:hAnsi="Arial Narrow"/>
                <w:sz w:val="20"/>
              </w:rPr>
            </w:pPr>
            <w:r w:rsidRPr="00D23518">
              <w:rPr>
                <w:rFonts w:ascii="Arial Narrow" w:hAnsi="Arial Narrow"/>
                <w:sz w:val="20"/>
              </w:rPr>
              <w:t xml:space="preserve">14. The Civil Aviation Safety Authority changes its regulatory philosophy and, together with industry, builds an effective collaborative relationship on a foundation of mutual understanding and respect. </w:t>
            </w:r>
          </w:p>
          <w:p w14:paraId="7F7DC856" w14:textId="77777777" w:rsidR="00060752" w:rsidRPr="00D23518" w:rsidRDefault="00060752" w:rsidP="00F73F4D">
            <w:pPr>
              <w:rPr>
                <w:rFonts w:ascii="Arial Narrow" w:hAnsi="Arial Narrow"/>
                <w:b/>
                <w:sz w:val="20"/>
              </w:rPr>
            </w:pPr>
          </w:p>
        </w:tc>
        <w:tc>
          <w:tcPr>
            <w:tcW w:w="2618" w:type="pct"/>
            <w:shd w:val="clear" w:color="auto" w:fill="auto"/>
          </w:tcPr>
          <w:p w14:paraId="177B7F16" w14:textId="77777777" w:rsidR="00060752" w:rsidRPr="00D23518" w:rsidRDefault="00060752" w:rsidP="00F73F4D">
            <w:pPr>
              <w:rPr>
                <w:rFonts w:ascii="Arial Narrow" w:hAnsi="Arial Narrow"/>
                <w:sz w:val="20"/>
              </w:rPr>
            </w:pPr>
            <w:r w:rsidRPr="00D23518">
              <w:rPr>
                <w:rFonts w:ascii="Arial Narrow" w:hAnsi="Arial Narrow"/>
                <w:sz w:val="20"/>
              </w:rPr>
              <w:t>Agreed</w:t>
            </w:r>
          </w:p>
          <w:p w14:paraId="77C71B92" w14:textId="77777777" w:rsidR="00060752" w:rsidRPr="00D23518" w:rsidRDefault="00060752" w:rsidP="00F73F4D">
            <w:pPr>
              <w:rPr>
                <w:rFonts w:ascii="Arial Narrow" w:hAnsi="Arial Narrow"/>
                <w:b/>
                <w:sz w:val="20"/>
              </w:rPr>
            </w:pPr>
            <w:r w:rsidRPr="00D23518">
              <w:rPr>
                <w:rFonts w:ascii="Arial Narrow" w:hAnsi="Arial Narrow"/>
                <w:b/>
                <w:sz w:val="20"/>
              </w:rPr>
              <w:t>The Government’s new Statement of Expectations (SOE) for the CASA Board will require CASA to develop a clear statement of regulatory philosophy.</w:t>
            </w:r>
          </w:p>
          <w:p w14:paraId="2C79B32A" w14:textId="77777777" w:rsidR="00060752" w:rsidRPr="00D23518" w:rsidRDefault="00060752" w:rsidP="00F73F4D">
            <w:pPr>
              <w:rPr>
                <w:rFonts w:ascii="Arial Narrow" w:hAnsi="Arial Narrow"/>
                <w:b/>
                <w:sz w:val="20"/>
              </w:rPr>
            </w:pPr>
            <w:r w:rsidRPr="00D23518">
              <w:rPr>
                <w:rFonts w:ascii="Arial Narrow" w:hAnsi="Arial Narrow"/>
                <w:b/>
                <w:sz w:val="20"/>
              </w:rPr>
              <w:t xml:space="preserve">As part of its quarterly reporting to the Minister on its performance against its Corporate Plan, CASA will report on its performance against the new SOE and the recommendations agreed to by the Government arising out of this Report, including implementation of its regulatory philosophy, and associated compliance and enforcement policies. </w:t>
            </w:r>
          </w:p>
          <w:p w14:paraId="53DB274D" w14:textId="77777777" w:rsidR="00060752" w:rsidRPr="00D23518" w:rsidRDefault="00060752" w:rsidP="00F73F4D">
            <w:pPr>
              <w:rPr>
                <w:rFonts w:ascii="Arial Narrow" w:hAnsi="Arial Narrow"/>
                <w:b/>
                <w:sz w:val="20"/>
              </w:rPr>
            </w:pPr>
            <w:r w:rsidRPr="00D23518">
              <w:rPr>
                <w:rFonts w:ascii="Arial Narrow" w:hAnsi="Arial Narrow"/>
                <w:b/>
                <w:sz w:val="20"/>
              </w:rPr>
              <w:t xml:space="preserve">The CASA Director of Aviation Safety will be expected to report regularly to the Board on compliance with the new regulatory policy.  </w:t>
            </w:r>
          </w:p>
        </w:tc>
        <w:tc>
          <w:tcPr>
            <w:tcW w:w="1270" w:type="pct"/>
            <w:shd w:val="clear" w:color="auto" w:fill="auto"/>
          </w:tcPr>
          <w:p w14:paraId="197F9509" w14:textId="77777777" w:rsidR="00060752" w:rsidRPr="00D23518" w:rsidRDefault="00060752" w:rsidP="00F73F4D">
            <w:pPr>
              <w:spacing w:after="60"/>
              <w:rPr>
                <w:rFonts w:ascii="Arial Narrow" w:hAnsi="Arial Narrow"/>
                <w:sz w:val="20"/>
              </w:rPr>
            </w:pPr>
            <w:r w:rsidRPr="00D23518">
              <w:rPr>
                <w:rFonts w:ascii="Arial Narrow" w:hAnsi="Arial Narrow"/>
                <w:sz w:val="20"/>
              </w:rPr>
              <w:t xml:space="preserve">The tasks required by the Government response, such as issuing of a new SOE, have been completed.  </w:t>
            </w:r>
          </w:p>
          <w:p w14:paraId="4E852880" w14:textId="77777777" w:rsidR="00060752" w:rsidRPr="00D23518" w:rsidRDefault="00060752" w:rsidP="00F73F4D">
            <w:pPr>
              <w:rPr>
                <w:rStyle w:val="A3"/>
                <w:rFonts w:ascii="Arial Narrow" w:hAnsi="Arial Narrow"/>
                <w:color w:val="auto"/>
                <w:sz w:val="20"/>
                <w:szCs w:val="20"/>
              </w:rPr>
            </w:pPr>
            <w:r w:rsidRPr="00D23518">
              <w:rPr>
                <w:rFonts w:ascii="Arial Narrow" w:hAnsi="Arial Narrow"/>
                <w:sz w:val="20"/>
              </w:rPr>
              <w:t xml:space="preserve">CASA’s Regulatory Philosophy was published on 15 September 2015. </w:t>
            </w:r>
          </w:p>
          <w:p w14:paraId="656F931C" w14:textId="77777777" w:rsidR="00060752" w:rsidRPr="00D23518" w:rsidRDefault="00060752" w:rsidP="00F73F4D">
            <w:pPr>
              <w:rPr>
                <w:rFonts w:ascii="Arial Narrow" w:hAnsi="Arial Narrow"/>
                <w:sz w:val="20"/>
              </w:rPr>
            </w:pPr>
            <w:r w:rsidRPr="00D23518">
              <w:rPr>
                <w:rFonts w:ascii="Arial Narrow" w:hAnsi="Arial Narrow"/>
                <w:sz w:val="20"/>
              </w:rPr>
              <w:t>The SOE issued to the CASA Board in March 2017 requires that CASA implement its regulatory philosophy with the philosophy being reflected in relevant policies, procedures, manuals and where CASA personnel are carrying out their day-to-day operations.</w:t>
            </w:r>
          </w:p>
          <w:p w14:paraId="046B867F" w14:textId="77777777" w:rsidR="00060752" w:rsidRPr="00D23518" w:rsidRDefault="00060752" w:rsidP="00F73F4D">
            <w:pPr>
              <w:rPr>
                <w:rStyle w:val="A3"/>
                <w:rFonts w:ascii="Arial Narrow" w:hAnsi="Arial Narrow"/>
                <w:color w:val="auto"/>
                <w:sz w:val="20"/>
                <w:szCs w:val="20"/>
              </w:rPr>
            </w:pPr>
            <w:r w:rsidRPr="00D23518">
              <w:rPr>
                <w:rStyle w:val="A3"/>
                <w:rFonts w:ascii="Arial Narrow" w:hAnsi="Arial Narrow"/>
                <w:color w:val="auto"/>
                <w:sz w:val="20"/>
                <w:szCs w:val="20"/>
              </w:rPr>
              <w:t>It is acknowledged that implementation of this response is ongoing across CASA.</w:t>
            </w:r>
          </w:p>
          <w:p w14:paraId="2C136A23" w14:textId="77777777" w:rsidR="00060752" w:rsidRPr="00D23518" w:rsidRDefault="00060752" w:rsidP="00F73F4D">
            <w:pPr>
              <w:rPr>
                <w:rStyle w:val="A3"/>
                <w:rFonts w:ascii="Arial Narrow" w:hAnsi="Arial Narrow"/>
                <w:color w:val="auto"/>
                <w:sz w:val="20"/>
                <w:szCs w:val="20"/>
              </w:rPr>
            </w:pPr>
          </w:p>
        </w:tc>
      </w:tr>
      <w:tr w:rsidR="00060752" w:rsidRPr="00D23518" w14:paraId="6C7BF0BF" w14:textId="77777777" w:rsidTr="00060752">
        <w:tc>
          <w:tcPr>
            <w:tcW w:w="1112" w:type="pct"/>
            <w:shd w:val="clear" w:color="auto" w:fill="auto"/>
          </w:tcPr>
          <w:p w14:paraId="271B4761" w14:textId="77777777" w:rsidR="00060752" w:rsidRPr="00D23518" w:rsidRDefault="00060752" w:rsidP="00F73F4D">
            <w:pPr>
              <w:rPr>
                <w:rFonts w:ascii="Arial Narrow" w:hAnsi="Arial Narrow"/>
                <w:sz w:val="20"/>
              </w:rPr>
            </w:pPr>
            <w:r w:rsidRPr="00D23518">
              <w:rPr>
                <w:rFonts w:ascii="Arial Narrow" w:hAnsi="Arial Narrow"/>
                <w:sz w:val="20"/>
              </w:rPr>
              <w:br w:type="page"/>
              <w:t xml:space="preserve">15. The Civil Aviation Safety Authority continues to provide appropriate indemnity to all industry personnel with </w:t>
            </w:r>
            <w:r w:rsidRPr="00D23518">
              <w:rPr>
                <w:rFonts w:ascii="Arial Narrow" w:hAnsi="Arial Narrow"/>
                <w:sz w:val="20"/>
              </w:rPr>
              <w:lastRenderedPageBreak/>
              <w:t>delegations of authority.</w:t>
            </w:r>
          </w:p>
          <w:p w14:paraId="5C8E2516" w14:textId="77777777" w:rsidR="00060752" w:rsidRPr="00D23518" w:rsidRDefault="00060752" w:rsidP="00F73F4D">
            <w:pPr>
              <w:rPr>
                <w:rFonts w:ascii="Arial Narrow" w:hAnsi="Arial Narrow"/>
                <w:b/>
                <w:sz w:val="20"/>
              </w:rPr>
            </w:pPr>
          </w:p>
          <w:p w14:paraId="54319675" w14:textId="77777777" w:rsidR="00060752" w:rsidRPr="00D23518" w:rsidRDefault="00060752" w:rsidP="00F73F4D">
            <w:pPr>
              <w:spacing w:after="106"/>
              <w:rPr>
                <w:rFonts w:ascii="Arial Narrow" w:hAnsi="Arial Narrow"/>
                <w:b/>
                <w:sz w:val="20"/>
              </w:rPr>
            </w:pPr>
          </w:p>
        </w:tc>
        <w:tc>
          <w:tcPr>
            <w:tcW w:w="2618" w:type="pct"/>
            <w:shd w:val="clear" w:color="auto" w:fill="auto"/>
          </w:tcPr>
          <w:p w14:paraId="0D65DBB3" w14:textId="77777777" w:rsidR="00060752" w:rsidRPr="00D23518" w:rsidRDefault="00060752" w:rsidP="00F73F4D">
            <w:pPr>
              <w:rPr>
                <w:rFonts w:ascii="Arial Narrow" w:hAnsi="Arial Narrow"/>
                <w:sz w:val="20"/>
              </w:rPr>
            </w:pPr>
            <w:r w:rsidRPr="00D23518">
              <w:rPr>
                <w:rFonts w:ascii="Arial Narrow" w:hAnsi="Arial Narrow"/>
                <w:sz w:val="20"/>
              </w:rPr>
              <w:lastRenderedPageBreak/>
              <w:t>Agreed in Principle</w:t>
            </w:r>
          </w:p>
          <w:p w14:paraId="17AA29A9" w14:textId="77777777" w:rsidR="00060752" w:rsidRPr="00D23518" w:rsidRDefault="00060752" w:rsidP="00F73F4D">
            <w:pPr>
              <w:rPr>
                <w:rFonts w:ascii="Arial Narrow" w:hAnsi="Arial Narrow"/>
                <w:b/>
                <w:sz w:val="20"/>
              </w:rPr>
            </w:pPr>
            <w:r w:rsidRPr="00D23518">
              <w:rPr>
                <w:rFonts w:ascii="Arial Narrow" w:hAnsi="Arial Narrow"/>
                <w:b/>
                <w:sz w:val="20"/>
              </w:rPr>
              <w:t>CASA expects to release a policy paper on future proposals for indemnity of delegates for public and industry comment, having regard to the Department of Finance’s rules on the indemnity provisions under the PGPA Act 2013.</w:t>
            </w:r>
          </w:p>
        </w:tc>
        <w:tc>
          <w:tcPr>
            <w:tcW w:w="1270" w:type="pct"/>
            <w:shd w:val="clear" w:color="auto" w:fill="auto"/>
          </w:tcPr>
          <w:p w14:paraId="760D04BE" w14:textId="77777777" w:rsidR="00060752" w:rsidRPr="00D23518" w:rsidRDefault="00060752" w:rsidP="00F73F4D">
            <w:pPr>
              <w:rPr>
                <w:rFonts w:ascii="Arial Narrow" w:hAnsi="Arial Narrow"/>
                <w:sz w:val="20"/>
              </w:rPr>
            </w:pPr>
            <w:r w:rsidRPr="003700D3">
              <w:rPr>
                <w:rFonts w:ascii="Arial Narrow" w:hAnsi="Arial Narrow"/>
                <w:sz w:val="20"/>
              </w:rPr>
              <w:t xml:space="preserve">A </w:t>
            </w:r>
            <w:r>
              <w:rPr>
                <w:rFonts w:ascii="Arial Narrow" w:hAnsi="Arial Narrow"/>
                <w:sz w:val="20"/>
              </w:rPr>
              <w:t xml:space="preserve">Department of Infrastructure and Regional Development </w:t>
            </w:r>
            <w:r w:rsidRPr="003700D3">
              <w:rPr>
                <w:rFonts w:ascii="Arial Narrow" w:hAnsi="Arial Narrow"/>
                <w:sz w:val="20"/>
              </w:rPr>
              <w:t xml:space="preserve">policy paper was released for public and industry comment in November 2017 and </w:t>
            </w:r>
            <w:r>
              <w:rPr>
                <w:rFonts w:ascii="Arial Narrow" w:hAnsi="Arial Narrow"/>
                <w:sz w:val="20"/>
              </w:rPr>
              <w:t xml:space="preserve">after consideration of submissions received, the </w:t>
            </w:r>
            <w:r>
              <w:rPr>
                <w:rFonts w:ascii="Arial Narrow" w:hAnsi="Arial Narrow"/>
                <w:sz w:val="20"/>
              </w:rPr>
              <w:lastRenderedPageBreak/>
              <w:t>Government agreed to new indemnity arrangements effective from 1 September 2018.</w:t>
            </w:r>
          </w:p>
        </w:tc>
      </w:tr>
      <w:tr w:rsidR="00060752" w:rsidRPr="00D23518" w14:paraId="5D8AC46E" w14:textId="77777777" w:rsidTr="00060752">
        <w:tc>
          <w:tcPr>
            <w:tcW w:w="1112" w:type="pct"/>
            <w:shd w:val="clear" w:color="auto" w:fill="auto"/>
          </w:tcPr>
          <w:p w14:paraId="69CFB5D0" w14:textId="77777777" w:rsidR="00060752" w:rsidRPr="00D23518" w:rsidRDefault="00060752" w:rsidP="00F73F4D">
            <w:pPr>
              <w:pStyle w:val="Default"/>
              <w:rPr>
                <w:rFonts w:ascii="Arial Narrow" w:hAnsi="Arial Narrow" w:cs="Times New Roman"/>
                <w:color w:val="auto"/>
                <w:sz w:val="20"/>
                <w:szCs w:val="20"/>
              </w:rPr>
            </w:pPr>
            <w:r w:rsidRPr="00D23518">
              <w:rPr>
                <w:rFonts w:ascii="Arial Narrow" w:hAnsi="Arial Narrow" w:cs="Times New Roman"/>
                <w:color w:val="auto"/>
                <w:sz w:val="20"/>
                <w:szCs w:val="20"/>
              </w:rPr>
              <w:lastRenderedPageBreak/>
              <w:t xml:space="preserve">16. CASA finalises its Capability Framework and overhauls its training program to ensure identified areas of need are addressed, including:  </w:t>
            </w:r>
          </w:p>
          <w:p w14:paraId="607ED217" w14:textId="77777777" w:rsidR="00060752" w:rsidRPr="00D23518" w:rsidRDefault="00060752" w:rsidP="00F73F4D">
            <w:pPr>
              <w:pStyle w:val="Default"/>
              <w:numPr>
                <w:ilvl w:val="0"/>
                <w:numId w:val="21"/>
              </w:numPr>
              <w:rPr>
                <w:rFonts w:ascii="Arial Narrow" w:hAnsi="Arial Narrow" w:cs="Times New Roman"/>
                <w:color w:val="auto"/>
                <w:sz w:val="20"/>
                <w:szCs w:val="20"/>
              </w:rPr>
            </w:pPr>
            <w:r w:rsidRPr="00D23518">
              <w:rPr>
                <w:rFonts w:ascii="Arial Narrow" w:hAnsi="Arial Narrow" w:cs="Times New Roman"/>
                <w:color w:val="auto"/>
                <w:sz w:val="20"/>
                <w:szCs w:val="20"/>
              </w:rPr>
              <w:t>communication in a regulatory context:</w:t>
            </w:r>
          </w:p>
          <w:p w14:paraId="7C4E9AE9" w14:textId="77777777" w:rsidR="00060752" w:rsidRPr="00D23518" w:rsidRDefault="00060752" w:rsidP="00F73F4D">
            <w:pPr>
              <w:pStyle w:val="Default"/>
              <w:numPr>
                <w:ilvl w:val="0"/>
                <w:numId w:val="21"/>
              </w:numPr>
              <w:rPr>
                <w:rFonts w:ascii="Arial Narrow" w:hAnsi="Arial Narrow" w:cs="Times New Roman"/>
                <w:color w:val="auto"/>
                <w:sz w:val="20"/>
                <w:szCs w:val="20"/>
              </w:rPr>
            </w:pPr>
            <w:r w:rsidRPr="00D23518">
              <w:rPr>
                <w:rFonts w:ascii="Arial Narrow" w:hAnsi="Arial Narrow" w:cs="Times New Roman"/>
                <w:color w:val="auto"/>
                <w:sz w:val="20"/>
                <w:szCs w:val="20"/>
              </w:rPr>
              <w:t>decision making and good regulatory practice; and</w:t>
            </w:r>
          </w:p>
          <w:p w14:paraId="6E99E5B0" w14:textId="77777777" w:rsidR="00060752" w:rsidRPr="00D23518" w:rsidRDefault="00060752" w:rsidP="00F73F4D">
            <w:pPr>
              <w:pStyle w:val="Default"/>
              <w:numPr>
                <w:ilvl w:val="0"/>
                <w:numId w:val="21"/>
              </w:numPr>
              <w:rPr>
                <w:rFonts w:ascii="Arial Narrow" w:hAnsi="Arial Narrow" w:cs="Times New Roman"/>
                <w:b/>
                <w:color w:val="auto"/>
                <w:sz w:val="20"/>
                <w:szCs w:val="20"/>
              </w:rPr>
            </w:pPr>
            <w:r w:rsidRPr="00D23518">
              <w:rPr>
                <w:rFonts w:ascii="Arial Narrow" w:hAnsi="Arial Narrow" w:cs="Times New Roman"/>
                <w:color w:val="auto"/>
                <w:sz w:val="20"/>
                <w:szCs w:val="20"/>
              </w:rPr>
              <w:t>auditing.</w:t>
            </w:r>
          </w:p>
        </w:tc>
        <w:tc>
          <w:tcPr>
            <w:tcW w:w="2618" w:type="pct"/>
            <w:shd w:val="clear" w:color="auto" w:fill="auto"/>
          </w:tcPr>
          <w:p w14:paraId="210D7352" w14:textId="77777777" w:rsidR="00060752" w:rsidRPr="00D23518" w:rsidRDefault="00060752" w:rsidP="00F73F4D">
            <w:pPr>
              <w:rPr>
                <w:rFonts w:ascii="Arial Narrow" w:hAnsi="Arial Narrow"/>
                <w:sz w:val="20"/>
              </w:rPr>
            </w:pPr>
            <w:r w:rsidRPr="00D23518">
              <w:rPr>
                <w:rFonts w:ascii="Arial Narrow" w:hAnsi="Arial Narrow"/>
                <w:sz w:val="20"/>
              </w:rPr>
              <w:t>Agreed</w:t>
            </w:r>
          </w:p>
          <w:p w14:paraId="1C0DD74D" w14:textId="77777777" w:rsidR="00060752" w:rsidRPr="00D23518" w:rsidRDefault="00060752" w:rsidP="00F73F4D">
            <w:pPr>
              <w:rPr>
                <w:rFonts w:ascii="Arial Narrow" w:hAnsi="Arial Narrow"/>
                <w:b/>
                <w:sz w:val="20"/>
              </w:rPr>
            </w:pPr>
            <w:r w:rsidRPr="00D23518">
              <w:rPr>
                <w:rFonts w:ascii="Arial Narrow" w:hAnsi="Arial Narrow"/>
                <w:b/>
                <w:sz w:val="20"/>
              </w:rPr>
              <w:t>CASA is developing and reviewing its Capability Framework with a view to finalising a new framework which will address all elements raised by this recommendation.</w:t>
            </w:r>
          </w:p>
        </w:tc>
        <w:tc>
          <w:tcPr>
            <w:tcW w:w="1270" w:type="pct"/>
            <w:shd w:val="clear" w:color="auto" w:fill="auto"/>
          </w:tcPr>
          <w:p w14:paraId="5A095586" w14:textId="77777777" w:rsidR="00060752" w:rsidRPr="00D23518" w:rsidRDefault="00060752" w:rsidP="00F73F4D">
            <w:pPr>
              <w:rPr>
                <w:rFonts w:ascii="Arial Narrow" w:hAnsi="Arial Narrow"/>
                <w:sz w:val="20"/>
              </w:rPr>
            </w:pPr>
            <w:r w:rsidRPr="00D23518">
              <w:rPr>
                <w:rFonts w:ascii="Arial Narrow" w:hAnsi="Arial Narrow"/>
                <w:sz w:val="20"/>
              </w:rPr>
              <w:t>CASA’s Capability Framework was made available to staff on 7 December 2016 and will be used in recruitment, selection and performance discussions. It will also be used to inform CASA’s training program requirements.</w:t>
            </w:r>
          </w:p>
          <w:p w14:paraId="3322EA7E" w14:textId="77777777" w:rsidR="00060752" w:rsidRPr="00D23518" w:rsidRDefault="00060752" w:rsidP="00F73F4D">
            <w:pPr>
              <w:rPr>
                <w:rFonts w:ascii="Arial Narrow" w:hAnsi="Arial Narrow"/>
                <w:sz w:val="20"/>
              </w:rPr>
            </w:pPr>
          </w:p>
        </w:tc>
      </w:tr>
      <w:tr w:rsidR="00060752" w:rsidRPr="00D23518" w14:paraId="70840322" w14:textId="77777777" w:rsidTr="00060752">
        <w:tc>
          <w:tcPr>
            <w:tcW w:w="1112" w:type="pct"/>
            <w:shd w:val="clear" w:color="auto" w:fill="auto"/>
          </w:tcPr>
          <w:p w14:paraId="2F9E95F1" w14:textId="77777777" w:rsidR="00060752" w:rsidRPr="00D23518" w:rsidRDefault="00060752" w:rsidP="00F73F4D">
            <w:pPr>
              <w:pStyle w:val="Default"/>
              <w:rPr>
                <w:rFonts w:ascii="Arial Narrow" w:hAnsi="Arial Narrow" w:cs="Times New Roman"/>
                <w:color w:val="auto"/>
                <w:sz w:val="20"/>
                <w:szCs w:val="20"/>
              </w:rPr>
            </w:pPr>
            <w:r w:rsidRPr="00D23518">
              <w:rPr>
                <w:rFonts w:ascii="Arial Narrow" w:hAnsi="Arial Narrow" w:cs="Times New Roman"/>
                <w:color w:val="auto"/>
                <w:sz w:val="20"/>
                <w:szCs w:val="20"/>
              </w:rPr>
              <w:t>17. The Civil Aviation Safety Authority publishes and demonstrates the philosophy of ‘just culture’ whereby individuals involved in a reportable event are not punished for actions, omissions or decisions taken by them that are commensurate with their experience and training. However, actions of gross negligence, wilful violations and destructive acts should not be tolerated.</w:t>
            </w:r>
          </w:p>
        </w:tc>
        <w:tc>
          <w:tcPr>
            <w:tcW w:w="2618" w:type="pct"/>
            <w:shd w:val="clear" w:color="auto" w:fill="auto"/>
          </w:tcPr>
          <w:p w14:paraId="71EAFA31" w14:textId="77777777" w:rsidR="00060752" w:rsidRPr="00D23518" w:rsidRDefault="00060752" w:rsidP="00F73F4D">
            <w:pPr>
              <w:rPr>
                <w:rFonts w:ascii="Arial Narrow" w:hAnsi="Arial Narrow"/>
                <w:sz w:val="20"/>
              </w:rPr>
            </w:pPr>
            <w:r w:rsidRPr="00D23518">
              <w:rPr>
                <w:rFonts w:ascii="Arial Narrow" w:hAnsi="Arial Narrow"/>
                <w:sz w:val="20"/>
              </w:rPr>
              <w:t>Agreed</w:t>
            </w:r>
          </w:p>
          <w:p w14:paraId="5E8D1A1E" w14:textId="77777777" w:rsidR="00060752" w:rsidRPr="00D23518" w:rsidRDefault="00060752" w:rsidP="00F73F4D">
            <w:pPr>
              <w:rPr>
                <w:rFonts w:ascii="Arial Narrow" w:hAnsi="Arial Narrow"/>
                <w:b/>
                <w:sz w:val="20"/>
              </w:rPr>
            </w:pPr>
            <w:r w:rsidRPr="00D23518">
              <w:rPr>
                <w:rFonts w:ascii="Arial Narrow" w:hAnsi="Arial Narrow"/>
                <w:b/>
                <w:sz w:val="20"/>
              </w:rPr>
              <w:t>The Government expects that CASA’s new regulatory philosophy policy, referred to in response to Recommendation 14, will specifically address this recommendation.</w:t>
            </w:r>
          </w:p>
          <w:p w14:paraId="662FD586" w14:textId="77777777" w:rsidR="00060752" w:rsidRPr="00D23518" w:rsidRDefault="00060752" w:rsidP="00F73F4D">
            <w:pPr>
              <w:rPr>
                <w:rFonts w:ascii="Arial Narrow" w:hAnsi="Arial Narrow"/>
                <w:b/>
                <w:sz w:val="20"/>
              </w:rPr>
            </w:pPr>
            <w:r w:rsidRPr="00D23518">
              <w:rPr>
                <w:rFonts w:ascii="Arial Narrow" w:hAnsi="Arial Narrow"/>
                <w:b/>
                <w:sz w:val="20"/>
              </w:rPr>
              <w:t>Accordingly, the Government expects the CASA Board and Director of Aviation Safety will actively monitor staff compliance with this policy and take appropriate action where non-compliance is evident.</w:t>
            </w:r>
          </w:p>
        </w:tc>
        <w:tc>
          <w:tcPr>
            <w:tcW w:w="1270" w:type="pct"/>
            <w:shd w:val="clear" w:color="auto" w:fill="auto"/>
          </w:tcPr>
          <w:p w14:paraId="541F73B5" w14:textId="77777777" w:rsidR="00060752" w:rsidRPr="00D23518" w:rsidRDefault="00060752" w:rsidP="00F73F4D">
            <w:pPr>
              <w:rPr>
                <w:rFonts w:ascii="Arial Narrow" w:hAnsi="Arial Narrow"/>
                <w:sz w:val="20"/>
              </w:rPr>
            </w:pPr>
            <w:r w:rsidRPr="00D23518">
              <w:rPr>
                <w:rFonts w:ascii="Arial Narrow" w:hAnsi="Arial Narrow"/>
                <w:sz w:val="20"/>
              </w:rPr>
              <w:t xml:space="preserve">CASA’s </w:t>
            </w:r>
            <w:r>
              <w:rPr>
                <w:rFonts w:ascii="Arial Narrow" w:hAnsi="Arial Narrow"/>
                <w:sz w:val="20"/>
              </w:rPr>
              <w:t>r</w:t>
            </w:r>
            <w:r w:rsidRPr="00D23518">
              <w:rPr>
                <w:rFonts w:ascii="Arial Narrow" w:hAnsi="Arial Narrow"/>
                <w:sz w:val="20"/>
              </w:rPr>
              <w:t xml:space="preserve">egulatory </w:t>
            </w:r>
            <w:r>
              <w:rPr>
                <w:rFonts w:ascii="Arial Narrow" w:hAnsi="Arial Narrow"/>
                <w:sz w:val="20"/>
              </w:rPr>
              <w:t>p</w:t>
            </w:r>
            <w:r w:rsidRPr="00D23518">
              <w:rPr>
                <w:rFonts w:ascii="Arial Narrow" w:hAnsi="Arial Narrow"/>
                <w:sz w:val="20"/>
              </w:rPr>
              <w:t>hilosophy was published on 15 September 2015.</w:t>
            </w:r>
          </w:p>
          <w:p w14:paraId="55A6D486" w14:textId="77777777" w:rsidR="00060752" w:rsidRPr="00D23518" w:rsidRDefault="00060752" w:rsidP="00F73F4D">
            <w:pPr>
              <w:rPr>
                <w:rStyle w:val="A3"/>
                <w:rFonts w:ascii="Arial Narrow" w:hAnsi="Arial Narrow"/>
                <w:color w:val="auto"/>
                <w:sz w:val="20"/>
                <w:szCs w:val="20"/>
              </w:rPr>
            </w:pPr>
            <w:r w:rsidRPr="00D23518">
              <w:rPr>
                <w:rStyle w:val="A3"/>
                <w:rFonts w:ascii="Arial Narrow" w:hAnsi="Arial Narrow"/>
                <w:color w:val="auto"/>
                <w:sz w:val="20"/>
                <w:szCs w:val="20"/>
              </w:rPr>
              <w:t xml:space="preserve">It is acknowledged that implementation of the </w:t>
            </w:r>
            <w:r>
              <w:rPr>
                <w:rStyle w:val="A3"/>
                <w:rFonts w:ascii="Arial Narrow" w:hAnsi="Arial Narrow"/>
                <w:color w:val="auto"/>
                <w:sz w:val="20"/>
                <w:szCs w:val="20"/>
              </w:rPr>
              <w:t>r</w:t>
            </w:r>
            <w:r w:rsidRPr="00D23518">
              <w:rPr>
                <w:rStyle w:val="A3"/>
                <w:rFonts w:ascii="Arial Narrow" w:hAnsi="Arial Narrow"/>
                <w:color w:val="auto"/>
                <w:sz w:val="20"/>
                <w:szCs w:val="20"/>
              </w:rPr>
              <w:t xml:space="preserve">egulatory </w:t>
            </w:r>
            <w:r>
              <w:rPr>
                <w:rStyle w:val="A3"/>
                <w:rFonts w:ascii="Arial Narrow" w:hAnsi="Arial Narrow"/>
                <w:color w:val="auto"/>
                <w:sz w:val="20"/>
                <w:szCs w:val="20"/>
              </w:rPr>
              <w:t>p</w:t>
            </w:r>
            <w:r w:rsidRPr="00D23518">
              <w:rPr>
                <w:rStyle w:val="A3"/>
                <w:rFonts w:ascii="Arial Narrow" w:hAnsi="Arial Narrow"/>
                <w:color w:val="auto"/>
                <w:sz w:val="20"/>
                <w:szCs w:val="20"/>
              </w:rPr>
              <w:t>hilosophy throughout CASA is ongoing.</w:t>
            </w:r>
          </w:p>
          <w:p w14:paraId="7C33F67D" w14:textId="77777777" w:rsidR="00060752" w:rsidRPr="00D23518" w:rsidRDefault="00060752" w:rsidP="00F73F4D">
            <w:pPr>
              <w:rPr>
                <w:rStyle w:val="A3"/>
                <w:rFonts w:ascii="Arial Narrow" w:hAnsi="Arial Narrow"/>
                <w:color w:val="auto"/>
                <w:sz w:val="20"/>
                <w:szCs w:val="20"/>
              </w:rPr>
            </w:pPr>
          </w:p>
        </w:tc>
      </w:tr>
      <w:tr w:rsidR="00060752" w:rsidRPr="00D23518" w14:paraId="194A186B" w14:textId="77777777" w:rsidTr="00060752">
        <w:tc>
          <w:tcPr>
            <w:tcW w:w="1112" w:type="pct"/>
            <w:shd w:val="clear" w:color="auto" w:fill="auto"/>
          </w:tcPr>
          <w:p w14:paraId="13791495" w14:textId="77777777" w:rsidR="00060752" w:rsidRPr="00D23518" w:rsidRDefault="00060752" w:rsidP="00F73F4D">
            <w:pPr>
              <w:pStyle w:val="Default"/>
              <w:rPr>
                <w:rFonts w:ascii="Arial Narrow" w:hAnsi="Arial Narrow" w:cs="Times New Roman"/>
                <w:color w:val="auto"/>
                <w:sz w:val="20"/>
                <w:szCs w:val="20"/>
              </w:rPr>
            </w:pPr>
            <w:r w:rsidRPr="00D23518">
              <w:rPr>
                <w:rFonts w:ascii="Arial Narrow" w:hAnsi="Arial Narrow"/>
                <w:color w:val="auto"/>
                <w:sz w:val="20"/>
                <w:szCs w:val="20"/>
              </w:rPr>
              <w:br w:type="page"/>
            </w:r>
            <w:r w:rsidRPr="00D23518">
              <w:rPr>
                <w:rFonts w:ascii="Arial Narrow" w:hAnsi="Arial Narrow" w:cs="Times New Roman"/>
                <w:color w:val="auto"/>
                <w:sz w:val="20"/>
                <w:szCs w:val="20"/>
              </w:rPr>
              <w:t xml:space="preserve">18. The Civil Aviation Safety Authority reintroduces a ‘use of discretion’ procedure that gives operators or individuals the opportunity to discuss and, if necessary, remedy a perceived breach prior to CASA taking any formal action. This procedure is to be followed in all cases, except where CASA identifies a </w:t>
            </w:r>
            <w:r w:rsidRPr="00D23518">
              <w:rPr>
                <w:rFonts w:ascii="Arial Narrow" w:hAnsi="Arial Narrow" w:cs="Times New Roman"/>
                <w:color w:val="auto"/>
                <w:sz w:val="20"/>
                <w:szCs w:val="20"/>
              </w:rPr>
              <w:lastRenderedPageBreak/>
              <w:t>Serious and Imminent Risk to Air Safety.</w:t>
            </w:r>
          </w:p>
        </w:tc>
        <w:tc>
          <w:tcPr>
            <w:tcW w:w="2618" w:type="pct"/>
            <w:shd w:val="clear" w:color="auto" w:fill="auto"/>
          </w:tcPr>
          <w:p w14:paraId="27175AE4" w14:textId="77777777" w:rsidR="00060752" w:rsidRPr="00D23518" w:rsidRDefault="00060752" w:rsidP="00F73F4D">
            <w:pPr>
              <w:rPr>
                <w:rFonts w:ascii="Arial Narrow" w:hAnsi="Arial Narrow"/>
                <w:sz w:val="20"/>
              </w:rPr>
            </w:pPr>
            <w:r w:rsidRPr="00D23518">
              <w:rPr>
                <w:rFonts w:ascii="Arial Narrow" w:hAnsi="Arial Narrow"/>
                <w:sz w:val="20"/>
              </w:rPr>
              <w:lastRenderedPageBreak/>
              <w:t>Agreed in Principle</w:t>
            </w:r>
          </w:p>
          <w:p w14:paraId="4606B099" w14:textId="77777777" w:rsidR="00060752" w:rsidRPr="00D23518" w:rsidRDefault="00060752" w:rsidP="00F73F4D">
            <w:pPr>
              <w:rPr>
                <w:rFonts w:ascii="Arial Narrow" w:hAnsi="Arial Narrow"/>
                <w:b/>
                <w:sz w:val="20"/>
              </w:rPr>
            </w:pPr>
            <w:r w:rsidRPr="00D23518">
              <w:rPr>
                <w:rFonts w:ascii="Arial Narrow" w:hAnsi="Arial Narrow"/>
                <w:b/>
                <w:sz w:val="20"/>
              </w:rPr>
              <w:t xml:space="preserve">The Government expects the new Director of Aviation Safety to publish and adopt a ‘use of discretion’ procedure consistent with its new regulatory philosophy policy.  </w:t>
            </w:r>
          </w:p>
          <w:p w14:paraId="09B1BA46" w14:textId="77777777" w:rsidR="00060752" w:rsidRPr="00D23518" w:rsidRDefault="00060752" w:rsidP="00F73F4D">
            <w:pPr>
              <w:rPr>
                <w:rFonts w:ascii="Arial Narrow" w:hAnsi="Arial Narrow"/>
                <w:sz w:val="20"/>
              </w:rPr>
            </w:pPr>
            <w:r w:rsidRPr="00D23518">
              <w:rPr>
                <w:rFonts w:ascii="Arial Narrow" w:hAnsi="Arial Narrow"/>
                <w:b/>
                <w:sz w:val="20"/>
              </w:rPr>
              <w:t>CASA’s enforcement manual will also be updated.</w:t>
            </w:r>
          </w:p>
        </w:tc>
        <w:tc>
          <w:tcPr>
            <w:tcW w:w="1270" w:type="pct"/>
            <w:shd w:val="clear" w:color="auto" w:fill="auto"/>
          </w:tcPr>
          <w:p w14:paraId="0243B6FF" w14:textId="77777777" w:rsidR="00060752" w:rsidRPr="00D23518" w:rsidRDefault="00060752" w:rsidP="00F73F4D">
            <w:pPr>
              <w:rPr>
                <w:rFonts w:ascii="Arial Narrow" w:hAnsi="Arial Narrow"/>
                <w:sz w:val="20"/>
              </w:rPr>
            </w:pPr>
            <w:r w:rsidRPr="00D23518">
              <w:rPr>
                <w:rFonts w:ascii="Arial Narrow" w:hAnsi="Arial Narrow"/>
                <w:sz w:val="20"/>
              </w:rPr>
              <w:t xml:space="preserve">The use of discretion principles have been incorporated into the CASA </w:t>
            </w:r>
            <w:r>
              <w:rPr>
                <w:rFonts w:ascii="Arial Narrow" w:hAnsi="Arial Narrow"/>
                <w:sz w:val="20"/>
              </w:rPr>
              <w:t>r</w:t>
            </w:r>
            <w:r w:rsidRPr="00D23518">
              <w:rPr>
                <w:rFonts w:ascii="Arial Narrow" w:hAnsi="Arial Narrow"/>
                <w:sz w:val="20"/>
              </w:rPr>
              <w:t xml:space="preserve">egulatory </w:t>
            </w:r>
            <w:r>
              <w:rPr>
                <w:rFonts w:ascii="Arial Narrow" w:hAnsi="Arial Narrow"/>
                <w:sz w:val="20"/>
              </w:rPr>
              <w:t>p</w:t>
            </w:r>
            <w:r w:rsidRPr="00D23518">
              <w:rPr>
                <w:rFonts w:ascii="Arial Narrow" w:hAnsi="Arial Narrow"/>
                <w:sz w:val="20"/>
              </w:rPr>
              <w:t xml:space="preserve">hilosophy released on 15 September 2015 and appropriate amendments made to the Enforcement Manual published in February 2016.  </w:t>
            </w:r>
          </w:p>
          <w:p w14:paraId="7AD00483" w14:textId="77777777" w:rsidR="00060752" w:rsidRPr="00D23518" w:rsidRDefault="00060752" w:rsidP="00F73F4D">
            <w:pPr>
              <w:rPr>
                <w:rStyle w:val="A3"/>
                <w:rFonts w:ascii="Arial Narrow" w:hAnsi="Arial Narrow"/>
                <w:color w:val="auto"/>
                <w:sz w:val="20"/>
                <w:szCs w:val="20"/>
              </w:rPr>
            </w:pPr>
          </w:p>
        </w:tc>
      </w:tr>
      <w:tr w:rsidR="00060752" w:rsidRPr="00D23518" w14:paraId="7C3C8668" w14:textId="77777777" w:rsidTr="00060752">
        <w:tc>
          <w:tcPr>
            <w:tcW w:w="1112" w:type="pct"/>
            <w:shd w:val="clear" w:color="auto" w:fill="auto"/>
          </w:tcPr>
          <w:p w14:paraId="4A9790F8" w14:textId="77777777" w:rsidR="00060752" w:rsidRPr="00D23518" w:rsidRDefault="00060752" w:rsidP="00F73F4D">
            <w:pPr>
              <w:tabs>
                <w:tab w:val="left" w:pos="34"/>
              </w:tabs>
              <w:spacing w:before="40" w:after="40"/>
              <w:rPr>
                <w:rFonts w:ascii="Arial Narrow" w:hAnsi="Arial Narrow"/>
                <w:sz w:val="20"/>
              </w:rPr>
            </w:pPr>
            <w:r w:rsidRPr="00D23518">
              <w:rPr>
                <w:rFonts w:ascii="Arial Narrow" w:hAnsi="Arial Narrow"/>
                <w:sz w:val="20"/>
              </w:rPr>
              <w:t>19. The Australian Transport Safety Bureau transfers information from Mandatory Occurrence Reports to the Civil Aviation Safety Authority, without redaction or de-identification.</w:t>
            </w:r>
          </w:p>
          <w:p w14:paraId="1B42B6CC" w14:textId="77777777" w:rsidR="00060752" w:rsidRPr="00AA6995" w:rsidRDefault="00060752" w:rsidP="00AA6995">
            <w:pPr>
              <w:tabs>
                <w:tab w:val="left" w:pos="34"/>
              </w:tabs>
              <w:spacing w:before="40" w:after="40"/>
              <w:rPr>
                <w:rFonts w:ascii="Arial Narrow" w:hAnsi="Arial Narrow"/>
                <w:b/>
                <w:sz w:val="20"/>
              </w:rPr>
            </w:pPr>
          </w:p>
        </w:tc>
        <w:tc>
          <w:tcPr>
            <w:tcW w:w="2618" w:type="pct"/>
            <w:shd w:val="clear" w:color="auto" w:fill="auto"/>
          </w:tcPr>
          <w:p w14:paraId="696B7950" w14:textId="77777777" w:rsidR="00060752" w:rsidRPr="00D23518" w:rsidRDefault="00060752" w:rsidP="00F73F4D">
            <w:pPr>
              <w:rPr>
                <w:rFonts w:ascii="Arial Narrow" w:hAnsi="Arial Narrow"/>
                <w:sz w:val="20"/>
              </w:rPr>
            </w:pPr>
            <w:r w:rsidRPr="00D23518">
              <w:rPr>
                <w:rFonts w:ascii="Arial Narrow" w:hAnsi="Arial Narrow"/>
                <w:sz w:val="20"/>
              </w:rPr>
              <w:t>Agreed in Principle</w:t>
            </w:r>
          </w:p>
          <w:p w14:paraId="5B19DDA8" w14:textId="77777777" w:rsidR="00060752" w:rsidRPr="00D23518" w:rsidRDefault="00060752" w:rsidP="00F73F4D">
            <w:pPr>
              <w:rPr>
                <w:rFonts w:ascii="Arial Narrow" w:hAnsi="Arial Narrow"/>
                <w:b/>
                <w:sz w:val="20"/>
              </w:rPr>
            </w:pPr>
            <w:r w:rsidRPr="00D23518">
              <w:rPr>
                <w:rFonts w:ascii="Arial Narrow" w:hAnsi="Arial Narrow"/>
                <w:b/>
                <w:sz w:val="20"/>
              </w:rPr>
              <w:t xml:space="preserve">Include in the CASA Board and ATSB Commission Statement of Expectations (SOE) a clear requirement that both agencies comply fully with the current Safety Information Policy Statement based on an approach informed by ‘just culture’ principles.  </w:t>
            </w:r>
          </w:p>
          <w:p w14:paraId="0A596FF1" w14:textId="77777777" w:rsidR="00060752" w:rsidRPr="00D23518" w:rsidRDefault="00060752" w:rsidP="00F73F4D">
            <w:pPr>
              <w:rPr>
                <w:rFonts w:ascii="Arial Narrow" w:hAnsi="Arial Narrow"/>
                <w:b/>
                <w:sz w:val="20"/>
              </w:rPr>
            </w:pPr>
            <w:r w:rsidRPr="00D23518">
              <w:rPr>
                <w:rFonts w:ascii="Arial Narrow" w:hAnsi="Arial Narrow"/>
                <w:b/>
                <w:sz w:val="20"/>
              </w:rPr>
              <w:t xml:space="preserve">Industry concerns must be properly addressed before any implementation of this recommendation. CASA has confirmed it will be publishing a Question and Answer (Q and A) document to accompany the Policy Statement.  </w:t>
            </w:r>
          </w:p>
        </w:tc>
        <w:tc>
          <w:tcPr>
            <w:tcW w:w="1270" w:type="pct"/>
            <w:shd w:val="clear" w:color="auto" w:fill="auto"/>
          </w:tcPr>
          <w:p w14:paraId="24283856" w14:textId="77777777" w:rsidR="00060752" w:rsidRPr="00D23518" w:rsidRDefault="00060752" w:rsidP="00F73F4D">
            <w:pPr>
              <w:rPr>
                <w:rFonts w:ascii="Arial Narrow" w:hAnsi="Arial Narrow"/>
                <w:sz w:val="20"/>
              </w:rPr>
            </w:pPr>
            <w:r w:rsidRPr="00D23518">
              <w:rPr>
                <w:rFonts w:ascii="Arial Narrow" w:hAnsi="Arial Narrow"/>
                <w:sz w:val="20"/>
              </w:rPr>
              <w:t>The CASA Board agreed in December 2015 that the current approach of transferring Mandatory Occurrence Reports with de-identified information was satisfactory.</w:t>
            </w:r>
          </w:p>
          <w:p w14:paraId="3605EF2B" w14:textId="77777777" w:rsidR="00060752" w:rsidRPr="00D23518" w:rsidRDefault="00060752" w:rsidP="00F73F4D">
            <w:pPr>
              <w:pStyle w:val="ListParagraph"/>
              <w:autoSpaceDE w:val="0"/>
              <w:autoSpaceDN w:val="0"/>
              <w:ind w:left="0"/>
              <w:rPr>
                <w:rFonts w:ascii="Arial Narrow" w:hAnsi="Arial Narrow"/>
                <w:sz w:val="20"/>
                <w:szCs w:val="20"/>
              </w:rPr>
            </w:pPr>
            <w:r w:rsidRPr="00D23518">
              <w:rPr>
                <w:rFonts w:ascii="Arial Narrow" w:hAnsi="Arial Narrow"/>
                <w:sz w:val="20"/>
                <w:szCs w:val="20"/>
              </w:rPr>
              <w:t xml:space="preserve">The DAS and the ATSB Chief Commissioner are committed to compliance with the Safety Information Policy Statement.  </w:t>
            </w:r>
          </w:p>
          <w:p w14:paraId="1CB519BE" w14:textId="77777777" w:rsidR="00060752" w:rsidRPr="00D23518" w:rsidRDefault="00060752" w:rsidP="00F73F4D">
            <w:pPr>
              <w:pStyle w:val="ListParagraph"/>
              <w:autoSpaceDE w:val="0"/>
              <w:autoSpaceDN w:val="0"/>
              <w:ind w:left="0"/>
              <w:rPr>
                <w:rFonts w:ascii="Arial Narrow" w:hAnsi="Arial Narrow"/>
                <w:sz w:val="20"/>
                <w:szCs w:val="20"/>
              </w:rPr>
            </w:pPr>
            <w:r w:rsidRPr="00D23518">
              <w:rPr>
                <w:rFonts w:ascii="Arial Narrow" w:hAnsi="Arial Narrow"/>
                <w:sz w:val="20"/>
                <w:szCs w:val="20"/>
              </w:rPr>
              <w:t xml:space="preserve">A Q and A document to accompany the Safety Information Policy Statement was published on the CASA website in December 2016. </w:t>
            </w:r>
          </w:p>
          <w:p w14:paraId="6AA94EAF" w14:textId="77777777" w:rsidR="00060752" w:rsidRPr="00D23518" w:rsidRDefault="00060752" w:rsidP="00F73F4D">
            <w:pPr>
              <w:pStyle w:val="ListParagraph"/>
              <w:autoSpaceDE w:val="0"/>
              <w:autoSpaceDN w:val="0"/>
              <w:ind w:left="0"/>
              <w:rPr>
                <w:rFonts w:ascii="Arial Narrow" w:hAnsi="Arial Narrow"/>
                <w:sz w:val="20"/>
                <w:szCs w:val="20"/>
              </w:rPr>
            </w:pPr>
            <w:r w:rsidRPr="00D23518">
              <w:rPr>
                <w:rFonts w:ascii="Arial Narrow" w:hAnsi="Arial Narrow"/>
                <w:sz w:val="20"/>
                <w:szCs w:val="20"/>
              </w:rPr>
              <w:t xml:space="preserve">The SOE’s issued to the CASA Board in March 2017 and the ATSB in May 2017 includes the appropriate sharing and use of safety information as a key aviation initiative informed by </w:t>
            </w:r>
            <w:r>
              <w:rPr>
                <w:rFonts w:ascii="Arial Narrow" w:hAnsi="Arial Narrow"/>
                <w:sz w:val="20"/>
                <w:szCs w:val="20"/>
              </w:rPr>
              <w:t>‘</w:t>
            </w:r>
            <w:r w:rsidRPr="00D23518">
              <w:rPr>
                <w:rFonts w:ascii="Arial Narrow" w:hAnsi="Arial Narrow"/>
                <w:sz w:val="20"/>
                <w:szCs w:val="20"/>
              </w:rPr>
              <w:t>just culture</w:t>
            </w:r>
            <w:r>
              <w:rPr>
                <w:rFonts w:ascii="Arial Narrow" w:hAnsi="Arial Narrow"/>
                <w:sz w:val="20"/>
                <w:szCs w:val="20"/>
              </w:rPr>
              <w:t>’</w:t>
            </w:r>
            <w:r w:rsidRPr="00D23518">
              <w:rPr>
                <w:rFonts w:ascii="Arial Narrow" w:hAnsi="Arial Narrow"/>
                <w:sz w:val="20"/>
                <w:szCs w:val="20"/>
              </w:rPr>
              <w:t xml:space="preserve"> principles.</w:t>
            </w:r>
          </w:p>
        </w:tc>
      </w:tr>
      <w:tr w:rsidR="00060752" w:rsidRPr="00D23518" w14:paraId="67988657" w14:textId="77777777" w:rsidTr="00060752">
        <w:tc>
          <w:tcPr>
            <w:tcW w:w="1112" w:type="pct"/>
            <w:shd w:val="clear" w:color="auto" w:fill="auto"/>
          </w:tcPr>
          <w:p w14:paraId="38FD4722" w14:textId="77777777" w:rsidR="00060752" w:rsidRPr="00D23518" w:rsidRDefault="00060752" w:rsidP="00F73F4D">
            <w:pPr>
              <w:pStyle w:val="Default"/>
              <w:rPr>
                <w:rFonts w:ascii="Arial Narrow" w:hAnsi="Arial Narrow" w:cs="Times New Roman"/>
                <w:color w:val="auto"/>
                <w:sz w:val="20"/>
                <w:szCs w:val="20"/>
              </w:rPr>
            </w:pPr>
            <w:r w:rsidRPr="00D23518">
              <w:rPr>
                <w:rFonts w:ascii="Arial Narrow" w:hAnsi="Arial Narrow" w:cs="Times New Roman"/>
                <w:color w:val="auto"/>
                <w:sz w:val="20"/>
                <w:szCs w:val="20"/>
              </w:rPr>
              <w:t>21. The Civil Aviation Safety Authority changes its organisational structure to a client-oriented output model.</w:t>
            </w:r>
          </w:p>
          <w:p w14:paraId="21BC01EE" w14:textId="77777777" w:rsidR="00060752" w:rsidRPr="00D23518" w:rsidRDefault="00060752" w:rsidP="00F73F4D">
            <w:pPr>
              <w:spacing w:after="106"/>
              <w:rPr>
                <w:rFonts w:ascii="Arial Narrow" w:hAnsi="Arial Narrow"/>
                <w:b/>
                <w:sz w:val="20"/>
              </w:rPr>
            </w:pPr>
          </w:p>
        </w:tc>
        <w:tc>
          <w:tcPr>
            <w:tcW w:w="2618" w:type="pct"/>
            <w:shd w:val="clear" w:color="auto" w:fill="auto"/>
          </w:tcPr>
          <w:p w14:paraId="44A2D922" w14:textId="77777777" w:rsidR="00060752" w:rsidRPr="00D23518" w:rsidRDefault="00060752" w:rsidP="00F73F4D">
            <w:pPr>
              <w:rPr>
                <w:rFonts w:ascii="Arial Narrow" w:hAnsi="Arial Narrow"/>
                <w:sz w:val="20"/>
              </w:rPr>
            </w:pPr>
            <w:r w:rsidRPr="00D23518">
              <w:rPr>
                <w:rFonts w:ascii="Arial Narrow" w:hAnsi="Arial Narrow"/>
                <w:sz w:val="20"/>
              </w:rPr>
              <w:t>Noted</w:t>
            </w:r>
          </w:p>
          <w:p w14:paraId="3670C6BE" w14:textId="77777777" w:rsidR="00060752" w:rsidRPr="00D23518" w:rsidRDefault="00060752" w:rsidP="00F73F4D">
            <w:pPr>
              <w:rPr>
                <w:rFonts w:ascii="Arial Narrow" w:hAnsi="Arial Narrow"/>
                <w:b/>
                <w:sz w:val="20"/>
              </w:rPr>
            </w:pPr>
            <w:r w:rsidRPr="00D23518">
              <w:rPr>
                <w:rFonts w:ascii="Arial Narrow" w:hAnsi="Arial Narrow"/>
                <w:b/>
                <w:sz w:val="20"/>
              </w:rPr>
              <w:t>The Government has requested the Board examine the Report’s proposal for creating a specific unit in CASA dedicated to general aviation (GA) and aerial work operations as part of further advice on its future organisational structure in its next corporate plan.</w:t>
            </w:r>
          </w:p>
          <w:p w14:paraId="1F853540" w14:textId="77777777" w:rsidR="00060752" w:rsidRPr="00D23518" w:rsidRDefault="00060752" w:rsidP="00F73F4D">
            <w:pPr>
              <w:rPr>
                <w:rFonts w:ascii="Arial Narrow" w:hAnsi="Arial Narrow"/>
                <w:sz w:val="20"/>
              </w:rPr>
            </w:pPr>
          </w:p>
        </w:tc>
        <w:tc>
          <w:tcPr>
            <w:tcW w:w="1270" w:type="pct"/>
            <w:shd w:val="clear" w:color="auto" w:fill="auto"/>
          </w:tcPr>
          <w:p w14:paraId="5458A400" w14:textId="77777777" w:rsidR="00060752" w:rsidRPr="00D23518" w:rsidRDefault="00060752" w:rsidP="00F73F4D">
            <w:pPr>
              <w:rPr>
                <w:rStyle w:val="A3"/>
                <w:rFonts w:ascii="Arial Narrow" w:hAnsi="Arial Narrow"/>
                <w:color w:val="auto"/>
                <w:sz w:val="20"/>
                <w:szCs w:val="20"/>
              </w:rPr>
            </w:pPr>
            <w:r w:rsidRPr="00D23518">
              <w:rPr>
                <w:rFonts w:ascii="Arial Narrow" w:hAnsi="Arial Narrow"/>
                <w:sz w:val="20"/>
              </w:rPr>
              <w:t>In January 2018 CASA was restructured and included a GA work unit within the Aviation Group.</w:t>
            </w:r>
          </w:p>
        </w:tc>
      </w:tr>
      <w:tr w:rsidR="00060752" w:rsidRPr="00D23518" w14:paraId="0B02CE1E" w14:textId="77777777" w:rsidTr="00060752">
        <w:tc>
          <w:tcPr>
            <w:tcW w:w="1112" w:type="pct"/>
            <w:shd w:val="clear" w:color="auto" w:fill="auto"/>
          </w:tcPr>
          <w:p w14:paraId="6166987C" w14:textId="77777777" w:rsidR="00060752" w:rsidRPr="00D23518" w:rsidRDefault="00060752" w:rsidP="00F73F4D">
            <w:pPr>
              <w:pStyle w:val="Default"/>
              <w:rPr>
                <w:rFonts w:ascii="Arial Narrow" w:hAnsi="Arial Narrow" w:cs="Times New Roman"/>
                <w:color w:val="auto"/>
                <w:sz w:val="20"/>
                <w:szCs w:val="20"/>
              </w:rPr>
            </w:pPr>
            <w:r w:rsidRPr="00D23518">
              <w:rPr>
                <w:rFonts w:ascii="Arial Narrow" w:hAnsi="Arial Narrow" w:cs="Times New Roman"/>
                <w:color w:val="auto"/>
                <w:sz w:val="20"/>
                <w:szCs w:val="20"/>
              </w:rPr>
              <w:t>22. The Civil Aviation Safety Authority establishes small offices at specific industry centres to improve monitoring, service quality, communications and collaborative relationships.</w:t>
            </w:r>
          </w:p>
        </w:tc>
        <w:tc>
          <w:tcPr>
            <w:tcW w:w="2618" w:type="pct"/>
            <w:shd w:val="clear" w:color="auto" w:fill="auto"/>
          </w:tcPr>
          <w:p w14:paraId="37F4C7EE" w14:textId="77777777" w:rsidR="00060752" w:rsidRPr="00D23518" w:rsidRDefault="00060752" w:rsidP="00F73F4D">
            <w:pPr>
              <w:rPr>
                <w:rFonts w:ascii="Arial Narrow" w:hAnsi="Arial Narrow"/>
                <w:sz w:val="20"/>
              </w:rPr>
            </w:pPr>
            <w:r w:rsidRPr="00D23518">
              <w:rPr>
                <w:rFonts w:ascii="Arial Narrow" w:hAnsi="Arial Narrow"/>
                <w:sz w:val="20"/>
              </w:rPr>
              <w:t>Noted</w:t>
            </w:r>
          </w:p>
          <w:p w14:paraId="44A6CB1B" w14:textId="77777777" w:rsidR="00060752" w:rsidRPr="00D23518" w:rsidRDefault="00060752" w:rsidP="00F73F4D">
            <w:pPr>
              <w:rPr>
                <w:rFonts w:ascii="Arial Narrow" w:hAnsi="Arial Narrow"/>
                <w:b/>
                <w:sz w:val="20"/>
              </w:rPr>
            </w:pPr>
            <w:r w:rsidRPr="00D23518">
              <w:rPr>
                <w:rFonts w:ascii="Arial Narrow" w:hAnsi="Arial Narrow"/>
                <w:b/>
                <w:sz w:val="20"/>
              </w:rPr>
              <w:t xml:space="preserve">Primary responsibility for considering this recommendation rests with the new CASA Director of Aviation Safety and the CASA Board.  </w:t>
            </w:r>
          </w:p>
          <w:p w14:paraId="4DCA95E3" w14:textId="77777777" w:rsidR="00060752" w:rsidRPr="00D23518" w:rsidRDefault="00060752" w:rsidP="00F73F4D">
            <w:pPr>
              <w:rPr>
                <w:rFonts w:ascii="Arial Narrow" w:hAnsi="Arial Narrow"/>
                <w:b/>
                <w:sz w:val="20"/>
              </w:rPr>
            </w:pPr>
            <w:r w:rsidRPr="00D23518">
              <w:rPr>
                <w:rFonts w:ascii="Arial Narrow" w:hAnsi="Arial Narrow"/>
                <w:b/>
                <w:sz w:val="20"/>
              </w:rPr>
              <w:t>Some industry members have expressed concerns that the establishment of more offices by CASA may increase the risk of CASA delivering less consistent national regulatory outcomes and increased costs.</w:t>
            </w:r>
          </w:p>
        </w:tc>
        <w:tc>
          <w:tcPr>
            <w:tcW w:w="1270" w:type="pct"/>
            <w:shd w:val="clear" w:color="auto" w:fill="auto"/>
          </w:tcPr>
          <w:p w14:paraId="6FE4FF73" w14:textId="77777777" w:rsidR="00060752" w:rsidRPr="00D23518" w:rsidRDefault="00060752" w:rsidP="00F73F4D">
            <w:pPr>
              <w:rPr>
                <w:rFonts w:ascii="Arial Narrow" w:hAnsi="Arial Narrow"/>
                <w:sz w:val="20"/>
              </w:rPr>
            </w:pPr>
            <w:r w:rsidRPr="00D23518">
              <w:rPr>
                <w:rFonts w:ascii="Arial Narrow" w:hAnsi="Arial Narrow"/>
                <w:sz w:val="20"/>
              </w:rPr>
              <w:t>This proposal was considered as part of the review of CASA’s structure (see Recommendation 21).</w:t>
            </w:r>
          </w:p>
          <w:p w14:paraId="3F28E4C0" w14:textId="77777777" w:rsidR="00060752" w:rsidRPr="00D23518" w:rsidRDefault="00060752" w:rsidP="00F73F4D">
            <w:pPr>
              <w:rPr>
                <w:rFonts w:ascii="Arial Narrow" w:hAnsi="Arial Narrow"/>
                <w:sz w:val="20"/>
              </w:rPr>
            </w:pPr>
            <w:r w:rsidRPr="00D23518">
              <w:rPr>
                <w:rFonts w:ascii="Arial Narrow" w:hAnsi="Arial Narrow"/>
                <w:sz w:val="20"/>
              </w:rPr>
              <w:t>CASA reviewed its small/satellite offices during 2016–17 to find a more effective model.</w:t>
            </w:r>
          </w:p>
          <w:p w14:paraId="1EDC6AE6" w14:textId="77777777" w:rsidR="00060752" w:rsidRPr="00D23518" w:rsidRDefault="00060752" w:rsidP="00F73F4D">
            <w:pPr>
              <w:rPr>
                <w:rFonts w:ascii="Arial Narrow" w:hAnsi="Arial Narrow"/>
                <w:sz w:val="20"/>
              </w:rPr>
            </w:pPr>
            <w:r w:rsidRPr="00D23518">
              <w:rPr>
                <w:rFonts w:ascii="Arial Narrow" w:hAnsi="Arial Narrow"/>
                <w:sz w:val="20"/>
              </w:rPr>
              <w:t>CASA has decided to implement a ‘fly-in-fly-out’ model to ensure effective communication with aviation industry operators while managing a cost-effective approach.</w:t>
            </w:r>
          </w:p>
          <w:p w14:paraId="08FDC888" w14:textId="77777777" w:rsidR="00060752" w:rsidRPr="00D23518" w:rsidRDefault="00060752" w:rsidP="00F73F4D">
            <w:pPr>
              <w:rPr>
                <w:rStyle w:val="A3"/>
                <w:rFonts w:ascii="Arial Narrow" w:hAnsi="Arial Narrow"/>
                <w:color w:val="auto"/>
                <w:sz w:val="20"/>
                <w:szCs w:val="20"/>
              </w:rPr>
            </w:pPr>
          </w:p>
        </w:tc>
      </w:tr>
      <w:tr w:rsidR="00060752" w:rsidRPr="00D23518" w14:paraId="6116E6C9" w14:textId="77777777" w:rsidTr="00060752">
        <w:tc>
          <w:tcPr>
            <w:tcW w:w="1112" w:type="pct"/>
            <w:shd w:val="clear" w:color="auto" w:fill="auto"/>
          </w:tcPr>
          <w:p w14:paraId="05AA1E08" w14:textId="77777777" w:rsidR="00060752" w:rsidRPr="00D23518" w:rsidRDefault="00060752" w:rsidP="00F73F4D">
            <w:pPr>
              <w:pStyle w:val="Default"/>
              <w:rPr>
                <w:rFonts w:ascii="Arial Narrow" w:hAnsi="Arial Narrow" w:cs="Times New Roman"/>
                <w:b/>
                <w:color w:val="auto"/>
                <w:sz w:val="20"/>
                <w:szCs w:val="20"/>
              </w:rPr>
            </w:pPr>
            <w:r w:rsidRPr="00D23518">
              <w:rPr>
                <w:rFonts w:ascii="Arial Narrow" w:hAnsi="Arial Narrow" w:cs="Times New Roman"/>
                <w:color w:val="auto"/>
                <w:sz w:val="20"/>
                <w:szCs w:val="20"/>
              </w:rPr>
              <w:lastRenderedPageBreak/>
              <w:t>23. The Civil Aviation Safety Authority shares the risk assessment outputs of Sky Sentinel, its computerised risk assessment system, with the applicable authorisation holder.</w:t>
            </w:r>
          </w:p>
        </w:tc>
        <w:tc>
          <w:tcPr>
            <w:tcW w:w="2618" w:type="pct"/>
            <w:shd w:val="clear" w:color="auto" w:fill="auto"/>
          </w:tcPr>
          <w:p w14:paraId="6A4ED72B" w14:textId="77777777" w:rsidR="00060752" w:rsidRPr="00D23518" w:rsidRDefault="00060752" w:rsidP="00F73F4D">
            <w:pPr>
              <w:rPr>
                <w:rFonts w:ascii="Arial Narrow" w:hAnsi="Arial Narrow"/>
                <w:sz w:val="20"/>
              </w:rPr>
            </w:pPr>
            <w:r w:rsidRPr="00D23518">
              <w:rPr>
                <w:rFonts w:ascii="Arial Narrow" w:hAnsi="Arial Narrow"/>
                <w:sz w:val="20"/>
              </w:rPr>
              <w:t>Agreed in Principle</w:t>
            </w:r>
          </w:p>
          <w:p w14:paraId="6DA18AA6" w14:textId="77777777" w:rsidR="00060752" w:rsidRPr="00D23518" w:rsidRDefault="00060752" w:rsidP="00F73F4D">
            <w:pPr>
              <w:spacing w:before="120"/>
              <w:rPr>
                <w:rFonts w:ascii="Arial Narrow" w:hAnsi="Arial Narrow"/>
                <w:sz w:val="20"/>
              </w:rPr>
            </w:pPr>
            <w:r w:rsidRPr="00D23518">
              <w:rPr>
                <w:rFonts w:ascii="Arial Narrow" w:hAnsi="Arial Narrow"/>
                <w:b/>
                <w:sz w:val="20"/>
              </w:rPr>
              <w:t xml:space="preserve">In relation to Sky Sentinel outputs, the Government expects that the next CASA corporate plan will set out how the authority can most effectively implement this recommendation. </w:t>
            </w:r>
          </w:p>
        </w:tc>
        <w:tc>
          <w:tcPr>
            <w:tcW w:w="1270" w:type="pct"/>
            <w:shd w:val="clear" w:color="auto" w:fill="auto"/>
          </w:tcPr>
          <w:p w14:paraId="6950F013" w14:textId="77777777" w:rsidR="00060752" w:rsidRPr="00D23518" w:rsidRDefault="00060752" w:rsidP="00F73F4D">
            <w:pPr>
              <w:rPr>
                <w:rStyle w:val="A3"/>
                <w:rFonts w:ascii="Arial Narrow" w:hAnsi="Arial Narrow"/>
                <w:color w:val="auto"/>
                <w:sz w:val="20"/>
                <w:szCs w:val="20"/>
                <w:u w:val="single"/>
              </w:rPr>
            </w:pPr>
            <w:r w:rsidRPr="00D23518">
              <w:rPr>
                <w:rFonts w:ascii="Arial Narrow" w:hAnsi="Arial Narrow"/>
                <w:sz w:val="20"/>
              </w:rPr>
              <w:t>CASA implemented procedures to share Authorisation Holder Performance Indicator information and safety risk profile information prior to audits from November 2017.</w:t>
            </w:r>
          </w:p>
        </w:tc>
      </w:tr>
      <w:tr w:rsidR="00060752" w:rsidRPr="00D23518" w14:paraId="0317E2D8" w14:textId="77777777" w:rsidTr="00060752">
        <w:trPr>
          <w:trHeight w:val="651"/>
        </w:trPr>
        <w:tc>
          <w:tcPr>
            <w:tcW w:w="1112" w:type="pct"/>
            <w:shd w:val="clear" w:color="auto" w:fill="auto"/>
          </w:tcPr>
          <w:p w14:paraId="46A09DB6" w14:textId="77777777" w:rsidR="00060752" w:rsidRPr="00D23518" w:rsidRDefault="00060752" w:rsidP="00F73F4D">
            <w:pPr>
              <w:pStyle w:val="Default"/>
              <w:rPr>
                <w:rFonts w:ascii="Arial Narrow" w:hAnsi="Arial Narrow" w:cs="Times New Roman"/>
                <w:color w:val="auto"/>
                <w:sz w:val="20"/>
                <w:szCs w:val="20"/>
              </w:rPr>
            </w:pPr>
            <w:r w:rsidRPr="00D23518">
              <w:rPr>
                <w:rFonts w:ascii="Arial Narrow" w:hAnsi="Arial Narrow" w:cs="Times New Roman"/>
                <w:color w:val="auto"/>
                <w:sz w:val="20"/>
                <w:szCs w:val="20"/>
              </w:rPr>
              <w:t>24. The Civil Aviation Safety Authority provides full disclosure of audit findings at audit exit briefings in accordance with international best practice.</w:t>
            </w:r>
          </w:p>
        </w:tc>
        <w:tc>
          <w:tcPr>
            <w:tcW w:w="2618" w:type="pct"/>
            <w:shd w:val="clear" w:color="auto" w:fill="auto"/>
          </w:tcPr>
          <w:p w14:paraId="1ACF3027" w14:textId="77777777" w:rsidR="00060752" w:rsidRPr="00D23518" w:rsidRDefault="00060752" w:rsidP="00F73F4D">
            <w:pPr>
              <w:rPr>
                <w:rFonts w:ascii="Arial Narrow" w:hAnsi="Arial Narrow"/>
                <w:sz w:val="20"/>
              </w:rPr>
            </w:pPr>
            <w:r w:rsidRPr="00D23518">
              <w:rPr>
                <w:rFonts w:ascii="Arial Narrow" w:hAnsi="Arial Narrow"/>
                <w:sz w:val="20"/>
              </w:rPr>
              <w:t>Agreed</w:t>
            </w:r>
          </w:p>
          <w:p w14:paraId="19770443" w14:textId="77777777" w:rsidR="00060752" w:rsidRPr="00D23518" w:rsidRDefault="00060752" w:rsidP="00F73F4D">
            <w:pPr>
              <w:rPr>
                <w:rFonts w:ascii="Arial Narrow" w:hAnsi="Arial Narrow"/>
                <w:b/>
                <w:sz w:val="20"/>
              </w:rPr>
            </w:pPr>
            <w:r w:rsidRPr="00D23518">
              <w:rPr>
                <w:rFonts w:ascii="Arial Narrow" w:hAnsi="Arial Narrow"/>
                <w:b/>
                <w:sz w:val="20"/>
              </w:rPr>
              <w:t>The Government has asked CASA to review its audit policies and modify its procedures as appropriate to provide a brief, preliminary indication of findings in written form at all exit briefings with industry.</w:t>
            </w:r>
          </w:p>
        </w:tc>
        <w:tc>
          <w:tcPr>
            <w:tcW w:w="1270" w:type="pct"/>
            <w:shd w:val="clear" w:color="auto" w:fill="auto"/>
          </w:tcPr>
          <w:p w14:paraId="05EB4BBF" w14:textId="77777777" w:rsidR="00060752" w:rsidRPr="00D23518" w:rsidRDefault="00060752" w:rsidP="00F73F4D">
            <w:pPr>
              <w:rPr>
                <w:rFonts w:ascii="Arial Narrow" w:hAnsi="Arial Narrow"/>
                <w:sz w:val="20"/>
              </w:rPr>
            </w:pPr>
            <w:r w:rsidRPr="00D23518">
              <w:rPr>
                <w:rFonts w:ascii="Arial Narrow" w:hAnsi="Arial Narrow"/>
                <w:sz w:val="20"/>
              </w:rPr>
              <w:t>CASA has reviewed and modified its procedures to mandate an exit brief with an indication of findings with industry at every audit.</w:t>
            </w:r>
          </w:p>
          <w:p w14:paraId="2EC583DA" w14:textId="77777777" w:rsidR="00060752" w:rsidRPr="00D23518" w:rsidRDefault="00060752" w:rsidP="00F73F4D">
            <w:pPr>
              <w:rPr>
                <w:rFonts w:ascii="Arial Narrow" w:hAnsi="Arial Narrow"/>
                <w:sz w:val="20"/>
              </w:rPr>
            </w:pPr>
            <w:r w:rsidRPr="00D23518">
              <w:rPr>
                <w:rFonts w:ascii="Arial Narrow" w:hAnsi="Arial Narrow"/>
                <w:sz w:val="20"/>
              </w:rPr>
              <w:t>This is in addition to CASA’s current peer review process, which will ensure procedural fairness and consistency and transparent authorisation holder engagement.</w:t>
            </w:r>
          </w:p>
          <w:p w14:paraId="6A601523" w14:textId="77777777" w:rsidR="00060752" w:rsidRPr="00D23518" w:rsidRDefault="00060752" w:rsidP="00F73F4D">
            <w:pPr>
              <w:rPr>
                <w:rStyle w:val="A3"/>
                <w:rFonts w:ascii="Arial Narrow" w:hAnsi="Arial Narrow"/>
                <w:color w:val="auto"/>
                <w:sz w:val="20"/>
                <w:szCs w:val="20"/>
              </w:rPr>
            </w:pPr>
          </w:p>
        </w:tc>
      </w:tr>
      <w:tr w:rsidR="00060752" w:rsidRPr="00D23518" w14:paraId="73C4AEF7" w14:textId="77777777" w:rsidTr="00060752">
        <w:tc>
          <w:tcPr>
            <w:tcW w:w="1112" w:type="pct"/>
            <w:shd w:val="clear" w:color="auto" w:fill="auto"/>
          </w:tcPr>
          <w:p w14:paraId="46662700" w14:textId="77777777" w:rsidR="00060752" w:rsidRPr="00D23518" w:rsidRDefault="00060752" w:rsidP="00F73F4D">
            <w:pPr>
              <w:pStyle w:val="Default"/>
              <w:rPr>
                <w:rFonts w:ascii="Arial Narrow" w:hAnsi="Arial Narrow" w:cs="Times New Roman"/>
                <w:color w:val="auto"/>
                <w:sz w:val="20"/>
                <w:szCs w:val="20"/>
              </w:rPr>
            </w:pPr>
            <w:r w:rsidRPr="00D23518">
              <w:rPr>
                <w:rFonts w:ascii="Arial Narrow" w:hAnsi="Arial Narrow" w:cs="Times New Roman"/>
                <w:color w:val="auto"/>
                <w:sz w:val="20"/>
                <w:szCs w:val="20"/>
              </w:rPr>
              <w:t>25. The Civil Aviation Safety Authority introduces grading of Non-Compliance Notices on a scale of seriousness.</w:t>
            </w:r>
          </w:p>
          <w:p w14:paraId="57F2FD1F" w14:textId="77777777" w:rsidR="00060752" w:rsidRPr="00D23518" w:rsidRDefault="00060752" w:rsidP="00F73F4D">
            <w:pPr>
              <w:spacing w:after="106"/>
              <w:rPr>
                <w:rFonts w:ascii="Arial Narrow" w:hAnsi="Arial Narrow"/>
                <w:b/>
                <w:sz w:val="20"/>
              </w:rPr>
            </w:pPr>
          </w:p>
        </w:tc>
        <w:tc>
          <w:tcPr>
            <w:tcW w:w="2618" w:type="pct"/>
            <w:shd w:val="clear" w:color="auto" w:fill="auto"/>
          </w:tcPr>
          <w:p w14:paraId="1FE5821A" w14:textId="77777777" w:rsidR="00060752" w:rsidRPr="00D23518" w:rsidRDefault="00060752" w:rsidP="00F73F4D">
            <w:pPr>
              <w:rPr>
                <w:rFonts w:ascii="Arial Narrow" w:hAnsi="Arial Narrow"/>
                <w:sz w:val="20"/>
              </w:rPr>
            </w:pPr>
            <w:r w:rsidRPr="00D23518">
              <w:rPr>
                <w:rFonts w:ascii="Arial Narrow" w:hAnsi="Arial Narrow"/>
                <w:sz w:val="20"/>
              </w:rPr>
              <w:t>Agreed</w:t>
            </w:r>
          </w:p>
          <w:p w14:paraId="42BCF23E" w14:textId="77777777" w:rsidR="00060752" w:rsidRPr="00D23518" w:rsidRDefault="00060752" w:rsidP="00F73F4D">
            <w:pPr>
              <w:rPr>
                <w:rFonts w:ascii="Arial Narrow" w:hAnsi="Arial Narrow"/>
                <w:b/>
                <w:sz w:val="20"/>
              </w:rPr>
            </w:pPr>
            <w:r w:rsidRPr="00D23518">
              <w:rPr>
                <w:rFonts w:ascii="Arial Narrow" w:hAnsi="Arial Narrow"/>
                <w:b/>
                <w:sz w:val="20"/>
              </w:rPr>
              <w:t>The Government has requested CASA, in consultation with industry, examine the development of appropriate gradings for Non-Compliance Notices that accurately reflect aviation safety risks, without reducing operators’ remedial decision making responsibilities.</w:t>
            </w:r>
          </w:p>
        </w:tc>
        <w:tc>
          <w:tcPr>
            <w:tcW w:w="1270" w:type="pct"/>
            <w:shd w:val="clear" w:color="auto" w:fill="auto"/>
          </w:tcPr>
          <w:p w14:paraId="65A60359" w14:textId="77777777" w:rsidR="00060752" w:rsidRPr="00D23518" w:rsidRDefault="00060752" w:rsidP="00F73F4D">
            <w:pPr>
              <w:spacing w:before="120"/>
              <w:rPr>
                <w:rFonts w:ascii="Arial Narrow" w:hAnsi="Arial Narrow"/>
                <w:sz w:val="20"/>
              </w:rPr>
            </w:pPr>
            <w:r w:rsidRPr="00D23518">
              <w:rPr>
                <w:rFonts w:ascii="Arial Narrow" w:hAnsi="Arial Narrow"/>
                <w:sz w:val="20"/>
              </w:rPr>
              <w:t>CASA implemented a modified three-tier approach, graded by severity, from November 2017. CASA now uses Safety Alert, Safety Finding or Safety Observation.</w:t>
            </w:r>
          </w:p>
          <w:p w14:paraId="2CDB4A78" w14:textId="77777777" w:rsidR="00060752" w:rsidRPr="00D23518" w:rsidRDefault="00060752" w:rsidP="00F73F4D">
            <w:pPr>
              <w:spacing w:before="120"/>
              <w:rPr>
                <w:rStyle w:val="A3"/>
                <w:rFonts w:ascii="Arial Narrow" w:hAnsi="Arial Narrow"/>
                <w:color w:val="auto"/>
                <w:sz w:val="20"/>
                <w:szCs w:val="20"/>
              </w:rPr>
            </w:pPr>
          </w:p>
        </w:tc>
      </w:tr>
      <w:tr w:rsidR="00060752" w:rsidRPr="00D23518" w14:paraId="32A9692F" w14:textId="77777777" w:rsidTr="00060752">
        <w:tc>
          <w:tcPr>
            <w:tcW w:w="1112" w:type="pct"/>
            <w:shd w:val="clear" w:color="auto" w:fill="auto"/>
          </w:tcPr>
          <w:p w14:paraId="5B791D9C" w14:textId="77777777" w:rsidR="00060752" w:rsidRPr="00D23518" w:rsidRDefault="00060752" w:rsidP="00F73F4D">
            <w:pPr>
              <w:pStyle w:val="Default"/>
              <w:rPr>
                <w:rFonts w:ascii="Arial Narrow" w:hAnsi="Arial Narrow" w:cs="Times New Roman"/>
                <w:color w:val="auto"/>
                <w:sz w:val="20"/>
                <w:szCs w:val="20"/>
              </w:rPr>
            </w:pPr>
            <w:r w:rsidRPr="00D23518">
              <w:rPr>
                <w:rFonts w:ascii="Arial Narrow" w:hAnsi="Arial Narrow" w:cs="Times New Roman"/>
                <w:color w:val="auto"/>
                <w:sz w:val="20"/>
                <w:szCs w:val="20"/>
              </w:rPr>
              <w:t>26. The Civil Aviation Safety Authority assures consistency of audits across all regions, and delivers audit reports within an agreed timeframe.</w:t>
            </w:r>
          </w:p>
        </w:tc>
        <w:tc>
          <w:tcPr>
            <w:tcW w:w="2618" w:type="pct"/>
            <w:shd w:val="clear" w:color="auto" w:fill="auto"/>
          </w:tcPr>
          <w:p w14:paraId="5071C875" w14:textId="77777777" w:rsidR="00060752" w:rsidRPr="00D23518" w:rsidRDefault="00060752" w:rsidP="00F73F4D">
            <w:pPr>
              <w:rPr>
                <w:rFonts w:ascii="Arial Narrow" w:hAnsi="Arial Narrow"/>
                <w:sz w:val="20"/>
              </w:rPr>
            </w:pPr>
            <w:r w:rsidRPr="00D23518">
              <w:rPr>
                <w:rFonts w:ascii="Arial Narrow" w:hAnsi="Arial Narrow"/>
                <w:sz w:val="20"/>
              </w:rPr>
              <w:t>Agreed</w:t>
            </w:r>
          </w:p>
          <w:p w14:paraId="382401BA" w14:textId="77777777" w:rsidR="00060752" w:rsidRPr="00D23518" w:rsidRDefault="00060752" w:rsidP="00F73F4D">
            <w:pPr>
              <w:rPr>
                <w:rFonts w:ascii="Arial Narrow" w:hAnsi="Arial Narrow"/>
                <w:b/>
                <w:sz w:val="20"/>
              </w:rPr>
            </w:pPr>
            <w:r w:rsidRPr="00D23518">
              <w:rPr>
                <w:rFonts w:ascii="Arial Narrow" w:hAnsi="Arial Narrow"/>
                <w:b/>
                <w:sz w:val="20"/>
              </w:rPr>
              <w:t>The Government has asked the CASA Board, through the Director of Aviation Safety, to closely monitor exit and final audit performance by the organisation.</w:t>
            </w:r>
          </w:p>
          <w:p w14:paraId="58631283" w14:textId="77777777" w:rsidR="00060752" w:rsidRPr="00D23518" w:rsidRDefault="00060752" w:rsidP="00F73F4D">
            <w:pPr>
              <w:rPr>
                <w:rFonts w:ascii="Arial Narrow" w:hAnsi="Arial Narrow"/>
                <w:sz w:val="20"/>
              </w:rPr>
            </w:pPr>
          </w:p>
        </w:tc>
        <w:tc>
          <w:tcPr>
            <w:tcW w:w="1270" w:type="pct"/>
            <w:shd w:val="clear" w:color="auto" w:fill="auto"/>
          </w:tcPr>
          <w:p w14:paraId="6BCA128A" w14:textId="77777777" w:rsidR="00060752" w:rsidRPr="00D23518" w:rsidRDefault="00060752" w:rsidP="00F73F4D">
            <w:pPr>
              <w:rPr>
                <w:rFonts w:ascii="Arial Narrow" w:hAnsi="Arial Narrow"/>
                <w:sz w:val="20"/>
              </w:rPr>
            </w:pPr>
            <w:r w:rsidRPr="00D23518">
              <w:rPr>
                <w:rFonts w:ascii="Arial Narrow" w:hAnsi="Arial Narrow"/>
                <w:sz w:val="20"/>
              </w:rPr>
              <w:t>In addition to the exit briefing and peer review process in Recommendation 24, CASA’s executive meetings will monitor exit and final audit performance as a standing agenda item. Any instances of inconsistency or non-performance will be managed through those meetings.</w:t>
            </w:r>
          </w:p>
          <w:p w14:paraId="42362800" w14:textId="77777777" w:rsidR="00060752" w:rsidRPr="00D23518" w:rsidRDefault="00060752" w:rsidP="00F73F4D">
            <w:pPr>
              <w:rPr>
                <w:rStyle w:val="A3"/>
                <w:rFonts w:ascii="Arial Narrow" w:hAnsi="Arial Narrow"/>
                <w:color w:val="auto"/>
                <w:sz w:val="20"/>
                <w:szCs w:val="20"/>
              </w:rPr>
            </w:pPr>
          </w:p>
        </w:tc>
      </w:tr>
      <w:tr w:rsidR="00060752" w:rsidRPr="00D23518" w14:paraId="5D86BF95" w14:textId="77777777" w:rsidTr="00060752">
        <w:tc>
          <w:tcPr>
            <w:tcW w:w="1112" w:type="pct"/>
            <w:shd w:val="clear" w:color="auto" w:fill="auto"/>
          </w:tcPr>
          <w:p w14:paraId="2834FA1B" w14:textId="77777777" w:rsidR="00060752" w:rsidRPr="00D23518" w:rsidRDefault="00060752" w:rsidP="00F73F4D">
            <w:pPr>
              <w:pStyle w:val="Default"/>
              <w:rPr>
                <w:rFonts w:ascii="Arial Narrow" w:hAnsi="Arial Narrow" w:cs="Times New Roman"/>
                <w:color w:val="auto"/>
                <w:sz w:val="20"/>
                <w:szCs w:val="20"/>
              </w:rPr>
            </w:pPr>
            <w:r w:rsidRPr="00D23518">
              <w:rPr>
                <w:rFonts w:ascii="Arial Narrow" w:hAnsi="Arial Narrow" w:cs="Times New Roman"/>
                <w:color w:val="auto"/>
                <w:sz w:val="20"/>
                <w:szCs w:val="20"/>
              </w:rPr>
              <w:t>27. The Civil Aviation Safety Authority implements a system of using third-party commercial audits as a supplementary tool to its surveillance system.</w:t>
            </w:r>
          </w:p>
          <w:p w14:paraId="136BA2F8" w14:textId="77777777" w:rsidR="00060752" w:rsidRPr="00D23518" w:rsidRDefault="00060752" w:rsidP="00F73F4D">
            <w:pPr>
              <w:pStyle w:val="Default"/>
              <w:rPr>
                <w:rFonts w:ascii="Arial Narrow" w:hAnsi="Arial Narrow" w:cs="Times New Roman"/>
                <w:b/>
                <w:color w:val="auto"/>
                <w:sz w:val="20"/>
                <w:szCs w:val="20"/>
              </w:rPr>
            </w:pPr>
          </w:p>
        </w:tc>
        <w:tc>
          <w:tcPr>
            <w:tcW w:w="2618" w:type="pct"/>
            <w:shd w:val="clear" w:color="auto" w:fill="auto"/>
          </w:tcPr>
          <w:p w14:paraId="2357D0AC" w14:textId="77777777" w:rsidR="00060752" w:rsidRPr="00D23518" w:rsidRDefault="00060752" w:rsidP="00F73F4D">
            <w:pPr>
              <w:rPr>
                <w:rFonts w:ascii="Arial Narrow" w:hAnsi="Arial Narrow"/>
                <w:sz w:val="20"/>
              </w:rPr>
            </w:pPr>
            <w:r w:rsidRPr="00D23518">
              <w:rPr>
                <w:rFonts w:ascii="Arial Narrow" w:hAnsi="Arial Narrow"/>
                <w:sz w:val="20"/>
              </w:rPr>
              <w:lastRenderedPageBreak/>
              <w:t>Agreed in Principle</w:t>
            </w:r>
          </w:p>
          <w:p w14:paraId="7AED2262" w14:textId="77777777" w:rsidR="00060752" w:rsidRPr="00D23518" w:rsidRDefault="00060752" w:rsidP="00F73F4D">
            <w:pPr>
              <w:rPr>
                <w:rFonts w:ascii="Arial Narrow" w:hAnsi="Arial Narrow"/>
                <w:b/>
                <w:sz w:val="20"/>
              </w:rPr>
            </w:pPr>
            <w:r w:rsidRPr="00D23518">
              <w:rPr>
                <w:rFonts w:ascii="Arial Narrow" w:hAnsi="Arial Narrow"/>
                <w:b/>
                <w:sz w:val="20"/>
              </w:rPr>
              <w:t xml:space="preserve">The Government has requested the CASA Board review this option by 30 June 2015 having particular regard to the likely availability of suitable commercial audit providers to perform this function, potential for </w:t>
            </w:r>
            <w:r w:rsidRPr="00D23518">
              <w:rPr>
                <w:rFonts w:ascii="Arial Narrow" w:hAnsi="Arial Narrow"/>
                <w:b/>
                <w:sz w:val="20"/>
              </w:rPr>
              <w:lastRenderedPageBreak/>
              <w:t>conflicts of interest, consistency of audit issues and liability of parties.</w:t>
            </w:r>
          </w:p>
          <w:p w14:paraId="764D09E0" w14:textId="77777777" w:rsidR="00060752" w:rsidRPr="00D23518" w:rsidRDefault="00060752" w:rsidP="00F73F4D">
            <w:pPr>
              <w:rPr>
                <w:rFonts w:ascii="Arial Narrow" w:hAnsi="Arial Narrow"/>
                <w:sz w:val="20"/>
              </w:rPr>
            </w:pPr>
          </w:p>
        </w:tc>
        <w:tc>
          <w:tcPr>
            <w:tcW w:w="1270" w:type="pct"/>
            <w:shd w:val="clear" w:color="auto" w:fill="auto"/>
          </w:tcPr>
          <w:p w14:paraId="0480D562" w14:textId="77777777" w:rsidR="00060752" w:rsidRPr="00D23518" w:rsidRDefault="00060752" w:rsidP="00F73F4D">
            <w:pPr>
              <w:rPr>
                <w:rStyle w:val="A3"/>
                <w:rFonts w:ascii="Arial Narrow" w:hAnsi="Arial Narrow"/>
                <w:color w:val="auto"/>
                <w:sz w:val="20"/>
                <w:szCs w:val="20"/>
              </w:rPr>
            </w:pPr>
            <w:r w:rsidRPr="00D23518">
              <w:rPr>
                <w:rFonts w:ascii="Arial Narrow" w:hAnsi="Arial Narrow"/>
                <w:sz w:val="20"/>
              </w:rPr>
              <w:lastRenderedPageBreak/>
              <w:t xml:space="preserve">The Board reviewed the option of third-party commercial audits and confirmed that the capability already exists in current legislation. The use of this option will be at the </w:t>
            </w:r>
            <w:r w:rsidRPr="00D23518">
              <w:rPr>
                <w:rFonts w:ascii="Arial Narrow" w:hAnsi="Arial Narrow"/>
                <w:sz w:val="20"/>
              </w:rPr>
              <w:lastRenderedPageBreak/>
              <w:t>discretion of the DAS. CASA signed a MOU with the International Air Transport Association (IATA) on 24 July 2017 for accessibility to IATA Operational Safety Audit reports. On 5 June 2018, CASA signed a working arrangement to include access to audit reports of Australian carriers. Letter sent to all AOC holders on 28 June inviting them to supply third party audit information where possible.</w:t>
            </w:r>
          </w:p>
        </w:tc>
      </w:tr>
      <w:tr w:rsidR="00060752" w:rsidRPr="00D23518" w14:paraId="566B1922" w14:textId="77777777" w:rsidTr="00060752">
        <w:tc>
          <w:tcPr>
            <w:tcW w:w="1112" w:type="pct"/>
            <w:shd w:val="clear" w:color="auto" w:fill="auto"/>
          </w:tcPr>
          <w:p w14:paraId="15708CB3" w14:textId="77777777" w:rsidR="00060752" w:rsidRPr="00D23518" w:rsidRDefault="00060752" w:rsidP="00F73F4D">
            <w:pPr>
              <w:pStyle w:val="Default"/>
              <w:rPr>
                <w:rFonts w:ascii="Arial Narrow" w:hAnsi="Arial Narrow" w:cs="Times New Roman"/>
                <w:color w:val="auto"/>
                <w:sz w:val="20"/>
                <w:szCs w:val="20"/>
              </w:rPr>
            </w:pPr>
            <w:r w:rsidRPr="00D23518">
              <w:rPr>
                <w:rFonts w:ascii="Arial Narrow" w:hAnsi="Arial Narrow"/>
                <w:color w:val="auto"/>
                <w:sz w:val="20"/>
                <w:szCs w:val="20"/>
              </w:rPr>
              <w:lastRenderedPageBreak/>
              <w:br w:type="page"/>
            </w:r>
            <w:r w:rsidRPr="00D23518">
              <w:rPr>
                <w:rFonts w:ascii="Arial Narrow" w:hAnsi="Arial Narrow" w:cs="Times New Roman"/>
                <w:color w:val="auto"/>
                <w:sz w:val="20"/>
                <w:szCs w:val="20"/>
              </w:rPr>
              <w:t>28. The Civil Aviation Safety Authority establishes a safety oversight risk management hierarchy based on a categorisation of operations. Rule making and surveillance priorities should be proportionate to the safety risk.</w:t>
            </w:r>
          </w:p>
        </w:tc>
        <w:tc>
          <w:tcPr>
            <w:tcW w:w="2618" w:type="pct"/>
            <w:shd w:val="clear" w:color="auto" w:fill="auto"/>
          </w:tcPr>
          <w:p w14:paraId="19D27324" w14:textId="77777777" w:rsidR="00060752" w:rsidRPr="00D23518" w:rsidRDefault="00060752" w:rsidP="00F73F4D">
            <w:pPr>
              <w:rPr>
                <w:rFonts w:ascii="Arial Narrow" w:hAnsi="Arial Narrow"/>
                <w:sz w:val="20"/>
              </w:rPr>
            </w:pPr>
            <w:r w:rsidRPr="00D23518">
              <w:rPr>
                <w:rFonts w:ascii="Arial Narrow" w:hAnsi="Arial Narrow"/>
                <w:sz w:val="20"/>
              </w:rPr>
              <w:t xml:space="preserve">Agreed.  </w:t>
            </w:r>
          </w:p>
          <w:p w14:paraId="3997E3D3" w14:textId="77777777" w:rsidR="00060752" w:rsidRPr="00D23518" w:rsidRDefault="00060752" w:rsidP="00F73F4D">
            <w:pPr>
              <w:rPr>
                <w:rFonts w:ascii="Arial Narrow" w:hAnsi="Arial Narrow"/>
                <w:b/>
                <w:sz w:val="20"/>
              </w:rPr>
            </w:pPr>
            <w:r w:rsidRPr="00D23518">
              <w:rPr>
                <w:rFonts w:ascii="Arial Narrow" w:hAnsi="Arial Narrow"/>
                <w:b/>
                <w:sz w:val="20"/>
              </w:rPr>
              <w:t xml:space="preserve">The Government will set out in its new Statement of Expectation (SOE) to the CASA Board the importance of using appropriately developed safety cases to support the implementation of new regulations and standards that should be developed in consultation with industry.  </w:t>
            </w:r>
          </w:p>
          <w:p w14:paraId="130BF4E4" w14:textId="77777777" w:rsidR="00060752" w:rsidRPr="00D23518" w:rsidRDefault="00060752" w:rsidP="00F73F4D">
            <w:pPr>
              <w:rPr>
                <w:rFonts w:ascii="Arial Narrow" w:hAnsi="Arial Narrow"/>
                <w:sz w:val="20"/>
              </w:rPr>
            </w:pPr>
          </w:p>
        </w:tc>
        <w:tc>
          <w:tcPr>
            <w:tcW w:w="1270" w:type="pct"/>
            <w:shd w:val="clear" w:color="auto" w:fill="auto"/>
          </w:tcPr>
          <w:p w14:paraId="4CBE7D22" w14:textId="77777777" w:rsidR="00060752" w:rsidRPr="00D23518" w:rsidRDefault="00060752" w:rsidP="00F73F4D">
            <w:pPr>
              <w:rPr>
                <w:rFonts w:ascii="Arial Narrow" w:hAnsi="Arial Narrow"/>
                <w:sz w:val="20"/>
              </w:rPr>
            </w:pPr>
            <w:r w:rsidRPr="00D23518">
              <w:rPr>
                <w:rFonts w:ascii="Arial Narrow" w:hAnsi="Arial Narrow"/>
                <w:sz w:val="20"/>
              </w:rPr>
              <w:t>An updated SOE was issued to the CASA Board in March 2017 which includes regulatory reform being supported by appropriate safety cases.</w:t>
            </w:r>
          </w:p>
          <w:p w14:paraId="42D364EE" w14:textId="77777777" w:rsidR="00060752" w:rsidRPr="00D23518" w:rsidRDefault="00060752" w:rsidP="00F73F4D">
            <w:pPr>
              <w:rPr>
                <w:rFonts w:ascii="Arial Narrow" w:hAnsi="Arial Narrow"/>
                <w:sz w:val="20"/>
              </w:rPr>
            </w:pPr>
            <w:r w:rsidRPr="00D23518">
              <w:rPr>
                <w:rFonts w:ascii="Arial Narrow" w:hAnsi="Arial Narrow"/>
                <w:sz w:val="20"/>
              </w:rPr>
              <w:t>CASA’s new Regulatory Philosophy clearly articulates the use of risk based approaches and the highest safety priority being afforded to passenger transport operations.</w:t>
            </w:r>
          </w:p>
          <w:p w14:paraId="42D3E7A9" w14:textId="77777777" w:rsidR="00060752" w:rsidRPr="00D23518" w:rsidRDefault="00060752" w:rsidP="00F73F4D">
            <w:pPr>
              <w:rPr>
                <w:rStyle w:val="A3"/>
                <w:rFonts w:ascii="Arial Narrow" w:hAnsi="Arial Narrow"/>
                <w:color w:val="auto"/>
                <w:sz w:val="20"/>
                <w:szCs w:val="20"/>
              </w:rPr>
            </w:pPr>
            <w:r w:rsidRPr="00D23518">
              <w:rPr>
                <w:rFonts w:ascii="Arial Narrow" w:hAnsi="Arial Narrow"/>
                <w:sz w:val="20"/>
              </w:rPr>
              <w:t>New regulations and amendments to existing regulations will continue to be developed in close consultation with industry.</w:t>
            </w:r>
          </w:p>
        </w:tc>
      </w:tr>
      <w:tr w:rsidR="00060752" w:rsidRPr="00D23518" w14:paraId="38AE5FAE" w14:textId="77777777" w:rsidTr="00060752">
        <w:tc>
          <w:tcPr>
            <w:tcW w:w="1112" w:type="pct"/>
            <w:shd w:val="clear" w:color="auto" w:fill="auto"/>
          </w:tcPr>
          <w:p w14:paraId="65B005EA" w14:textId="77777777" w:rsidR="00060752" w:rsidRPr="00D23518" w:rsidRDefault="00060752" w:rsidP="00F73F4D">
            <w:pPr>
              <w:pStyle w:val="Default"/>
              <w:spacing w:after="106"/>
              <w:rPr>
                <w:rFonts w:ascii="Arial Narrow" w:hAnsi="Arial Narrow" w:cs="Times New Roman"/>
                <w:color w:val="auto"/>
                <w:sz w:val="20"/>
                <w:szCs w:val="20"/>
              </w:rPr>
            </w:pPr>
            <w:r w:rsidRPr="00D23518">
              <w:rPr>
                <w:rFonts w:ascii="Arial Narrow" w:hAnsi="Arial Narrow" w:cs="Times New Roman"/>
                <w:color w:val="auto"/>
                <w:sz w:val="20"/>
                <w:szCs w:val="20"/>
              </w:rPr>
              <w:t>29. Recreational Aviation Administration Organisations, in coordination with the Civil Aviation Safety Authority, develop mechanisms to ensure all aircraft to be regulated under Civil Aviation Safety Regulation (CASR) Part 149 are registered.</w:t>
            </w:r>
          </w:p>
          <w:p w14:paraId="2CDFD6AC" w14:textId="77777777" w:rsidR="00060752" w:rsidRPr="00D23518" w:rsidRDefault="00060752" w:rsidP="00F73F4D">
            <w:pPr>
              <w:pStyle w:val="Default"/>
              <w:spacing w:after="106"/>
              <w:rPr>
                <w:rFonts w:ascii="Arial Narrow" w:hAnsi="Arial Narrow" w:cs="Times New Roman"/>
                <w:b/>
                <w:color w:val="auto"/>
                <w:sz w:val="20"/>
                <w:szCs w:val="20"/>
              </w:rPr>
            </w:pPr>
          </w:p>
        </w:tc>
        <w:tc>
          <w:tcPr>
            <w:tcW w:w="2618" w:type="pct"/>
            <w:shd w:val="clear" w:color="auto" w:fill="auto"/>
          </w:tcPr>
          <w:p w14:paraId="223B5735" w14:textId="77777777" w:rsidR="00060752" w:rsidRPr="00D23518" w:rsidRDefault="00060752" w:rsidP="00F73F4D">
            <w:pPr>
              <w:rPr>
                <w:rFonts w:ascii="Arial Narrow" w:hAnsi="Arial Narrow"/>
                <w:sz w:val="20"/>
              </w:rPr>
            </w:pPr>
            <w:r w:rsidRPr="00D23518">
              <w:rPr>
                <w:rFonts w:ascii="Arial Narrow" w:hAnsi="Arial Narrow"/>
                <w:sz w:val="20"/>
              </w:rPr>
              <w:t xml:space="preserve">Agreed </w:t>
            </w:r>
          </w:p>
          <w:p w14:paraId="598D541C" w14:textId="77777777" w:rsidR="00060752" w:rsidRPr="00D23518" w:rsidRDefault="00060752" w:rsidP="00F73F4D">
            <w:pPr>
              <w:rPr>
                <w:rFonts w:ascii="Arial Narrow" w:hAnsi="Arial Narrow"/>
                <w:b/>
                <w:sz w:val="20"/>
              </w:rPr>
            </w:pPr>
            <w:r w:rsidRPr="00D23518">
              <w:rPr>
                <w:rFonts w:ascii="Arial Narrow" w:hAnsi="Arial Narrow"/>
                <w:b/>
                <w:sz w:val="20"/>
              </w:rPr>
              <w:t>CASA proposes to release a draft of CASR Part 149 for public and industry consultation in the first half of 2015.</w:t>
            </w:r>
          </w:p>
        </w:tc>
        <w:tc>
          <w:tcPr>
            <w:tcW w:w="1270" w:type="pct"/>
            <w:shd w:val="clear" w:color="auto" w:fill="auto"/>
          </w:tcPr>
          <w:p w14:paraId="1DE0976E" w14:textId="77777777" w:rsidR="00060752" w:rsidRPr="00D23518" w:rsidRDefault="00060752" w:rsidP="00F73F4D">
            <w:pPr>
              <w:spacing w:before="120"/>
              <w:rPr>
                <w:rFonts w:ascii="Arial Narrow" w:hAnsi="Arial Narrow"/>
                <w:sz w:val="20"/>
              </w:rPr>
            </w:pPr>
            <w:r w:rsidRPr="00D23518">
              <w:rPr>
                <w:rFonts w:ascii="Arial Narrow" w:hAnsi="Arial Narrow"/>
                <w:sz w:val="20"/>
              </w:rPr>
              <w:t>CASA released a draft CASR Part 149 for public and industry consultation in August 2016.</w:t>
            </w:r>
          </w:p>
          <w:p w14:paraId="4C1E27F5" w14:textId="77777777" w:rsidR="00060752" w:rsidRPr="00D23518" w:rsidRDefault="00060752" w:rsidP="00F73F4D">
            <w:pPr>
              <w:spacing w:before="120"/>
              <w:rPr>
                <w:rFonts w:ascii="Arial Narrow" w:hAnsi="Arial Narrow"/>
                <w:sz w:val="20"/>
              </w:rPr>
            </w:pPr>
            <w:r w:rsidRPr="00D23518">
              <w:rPr>
                <w:rFonts w:ascii="Arial Narrow" w:hAnsi="Arial Narrow"/>
                <w:sz w:val="20"/>
              </w:rPr>
              <w:t>CASR Part 149</w:t>
            </w:r>
            <w:r>
              <w:rPr>
                <w:rFonts w:ascii="Arial Narrow" w:hAnsi="Arial Narrow"/>
                <w:sz w:val="20"/>
              </w:rPr>
              <w:t xml:space="preserve"> was made</w:t>
            </w:r>
            <w:r w:rsidRPr="00D23518">
              <w:rPr>
                <w:rFonts w:ascii="Arial Narrow" w:hAnsi="Arial Narrow"/>
                <w:sz w:val="20"/>
              </w:rPr>
              <w:t xml:space="preserve"> July 2018.</w:t>
            </w:r>
          </w:p>
          <w:p w14:paraId="3BEFC968" w14:textId="77777777" w:rsidR="00060752" w:rsidRPr="00D23518" w:rsidRDefault="00060752" w:rsidP="00F73F4D">
            <w:pPr>
              <w:spacing w:before="120"/>
              <w:rPr>
                <w:rFonts w:ascii="Arial Narrow" w:hAnsi="Arial Narrow"/>
                <w:sz w:val="20"/>
              </w:rPr>
            </w:pPr>
            <w:r w:rsidRPr="00D23518">
              <w:rPr>
                <w:rFonts w:ascii="Arial Narrow" w:hAnsi="Arial Narrow"/>
                <w:sz w:val="20"/>
              </w:rPr>
              <w:t>CASA continues to work closely with Recreational Aviation Australia to ensure aircraft are registered.</w:t>
            </w:r>
          </w:p>
          <w:p w14:paraId="790E67BB" w14:textId="77777777" w:rsidR="00060752" w:rsidRPr="00D23518" w:rsidRDefault="00060752" w:rsidP="00F73F4D">
            <w:pPr>
              <w:spacing w:before="120"/>
              <w:rPr>
                <w:rStyle w:val="A3"/>
                <w:rFonts w:ascii="Arial Narrow" w:hAnsi="Arial Narrow"/>
                <w:color w:val="auto"/>
                <w:sz w:val="20"/>
                <w:szCs w:val="20"/>
              </w:rPr>
            </w:pPr>
            <w:r w:rsidRPr="00D23518">
              <w:rPr>
                <w:rFonts w:ascii="Arial Narrow" w:hAnsi="Arial Narrow"/>
                <w:sz w:val="20"/>
              </w:rPr>
              <w:t xml:space="preserve">Recreational Aviation Administration Organisations that register aircraft, operate under a Civil Aviation Order and a Deed of Agreement which requires the registration/identification of </w:t>
            </w:r>
            <w:r w:rsidRPr="00D23518">
              <w:rPr>
                <w:rFonts w:ascii="Arial Narrow" w:hAnsi="Arial Narrow"/>
                <w:sz w:val="20"/>
              </w:rPr>
              <w:lastRenderedPageBreak/>
              <w:t>members’ aircraft greater than 70kg empty weight.</w:t>
            </w:r>
          </w:p>
        </w:tc>
      </w:tr>
      <w:tr w:rsidR="00060752" w:rsidRPr="00D23518" w14:paraId="7DE60B96" w14:textId="77777777" w:rsidTr="00060752">
        <w:tc>
          <w:tcPr>
            <w:tcW w:w="1112" w:type="pct"/>
            <w:shd w:val="clear" w:color="auto" w:fill="auto"/>
          </w:tcPr>
          <w:p w14:paraId="14995BAC" w14:textId="77777777" w:rsidR="00060752" w:rsidRPr="00D23518" w:rsidRDefault="00060752" w:rsidP="00F73F4D">
            <w:pPr>
              <w:spacing w:after="106"/>
              <w:rPr>
                <w:rFonts w:ascii="Arial Narrow" w:hAnsi="Arial Narrow"/>
                <w:sz w:val="20"/>
              </w:rPr>
            </w:pPr>
            <w:r w:rsidRPr="00D23518">
              <w:rPr>
                <w:rFonts w:ascii="Arial Narrow" w:hAnsi="Arial Narrow"/>
                <w:sz w:val="20"/>
              </w:rPr>
              <w:lastRenderedPageBreak/>
              <w:t xml:space="preserve">30. The Civil Aviation Safety Authority changes the current two-tier regulatory framework (act and regulations) to a three-tier structure (act, regulations and standards), with: </w:t>
            </w:r>
          </w:p>
          <w:p w14:paraId="5A5E9792" w14:textId="77777777" w:rsidR="00060752" w:rsidRPr="00D23518" w:rsidRDefault="00060752" w:rsidP="00F73F4D">
            <w:pPr>
              <w:spacing w:after="106"/>
              <w:rPr>
                <w:rFonts w:ascii="Arial Narrow" w:hAnsi="Arial Narrow"/>
                <w:sz w:val="20"/>
              </w:rPr>
            </w:pPr>
            <w:r w:rsidRPr="00D23518">
              <w:rPr>
                <w:rFonts w:ascii="Arial Narrow" w:hAnsi="Arial Narrow"/>
                <w:sz w:val="20"/>
              </w:rPr>
              <w:t xml:space="preserve">a. regulations drafted in a high-level, succinct style, containing provisions for enabling standards and necessary legislative provisions, including offences; and </w:t>
            </w:r>
          </w:p>
          <w:p w14:paraId="79E99DD1" w14:textId="77777777" w:rsidR="00060752" w:rsidRPr="00D23518" w:rsidRDefault="00060752" w:rsidP="00F73F4D">
            <w:pPr>
              <w:pStyle w:val="Default"/>
              <w:rPr>
                <w:rFonts w:ascii="Arial Narrow" w:eastAsia="Calibri" w:hAnsi="Arial Narrow" w:cs="Times New Roman"/>
                <w:color w:val="auto"/>
                <w:sz w:val="20"/>
                <w:szCs w:val="20"/>
                <w:lang w:eastAsia="en-US"/>
              </w:rPr>
            </w:pPr>
            <w:r w:rsidRPr="00D23518">
              <w:rPr>
                <w:rFonts w:ascii="Arial Narrow" w:eastAsia="Calibri" w:hAnsi="Arial Narrow" w:cs="Times New Roman"/>
                <w:color w:val="auto"/>
                <w:sz w:val="20"/>
                <w:szCs w:val="20"/>
                <w:lang w:eastAsia="en-US"/>
              </w:rPr>
              <w:t xml:space="preserve">b. the third-tier standards drafted in plain, easy to understand language. </w:t>
            </w:r>
          </w:p>
        </w:tc>
        <w:tc>
          <w:tcPr>
            <w:tcW w:w="2618" w:type="pct"/>
            <w:shd w:val="clear" w:color="auto" w:fill="auto"/>
          </w:tcPr>
          <w:p w14:paraId="12585CB4" w14:textId="77777777" w:rsidR="00060752" w:rsidRPr="00D23518" w:rsidRDefault="00060752" w:rsidP="00F73F4D">
            <w:pPr>
              <w:rPr>
                <w:rFonts w:ascii="Arial Narrow" w:hAnsi="Arial Narrow"/>
                <w:sz w:val="20"/>
              </w:rPr>
            </w:pPr>
            <w:r w:rsidRPr="00D23518">
              <w:rPr>
                <w:rFonts w:ascii="Arial Narrow" w:hAnsi="Arial Narrow"/>
                <w:sz w:val="20"/>
              </w:rPr>
              <w:t>Agreed in Principle</w:t>
            </w:r>
          </w:p>
          <w:p w14:paraId="62E92FF1" w14:textId="77777777" w:rsidR="00060752" w:rsidRPr="00D23518" w:rsidRDefault="00060752" w:rsidP="00F73F4D">
            <w:pPr>
              <w:rPr>
                <w:rFonts w:ascii="Arial Narrow" w:hAnsi="Arial Narrow"/>
                <w:b/>
                <w:sz w:val="20"/>
              </w:rPr>
            </w:pPr>
            <w:r w:rsidRPr="00D23518">
              <w:rPr>
                <w:rFonts w:ascii="Arial Narrow" w:hAnsi="Arial Narrow"/>
                <w:b/>
                <w:sz w:val="20"/>
              </w:rPr>
              <w:t>The Government supports the use of easy to understand language in aviation regulations and standards and expects CASA and the Office of Parliamentary Counsel (OPC) to commit to the principles set out in Recommendations 30 and 31. CASA and OPC will continue to ensure new regulations and instruments adhere to Commonwealth legal drafting practices and avoid any inconsistencies with other pieces of relevant legislation and regulation.</w:t>
            </w:r>
          </w:p>
        </w:tc>
        <w:tc>
          <w:tcPr>
            <w:tcW w:w="1270" w:type="pct"/>
            <w:shd w:val="clear" w:color="auto" w:fill="auto"/>
          </w:tcPr>
          <w:p w14:paraId="26E1267D" w14:textId="77777777" w:rsidR="00060752" w:rsidRPr="00D23518" w:rsidRDefault="00060752" w:rsidP="00F73F4D">
            <w:pPr>
              <w:rPr>
                <w:rFonts w:ascii="Arial Narrow" w:hAnsi="Arial Narrow"/>
                <w:sz w:val="20"/>
              </w:rPr>
            </w:pPr>
            <w:r w:rsidRPr="00D23518">
              <w:rPr>
                <w:rFonts w:ascii="Arial Narrow" w:hAnsi="Arial Narrow"/>
                <w:sz w:val="20"/>
              </w:rPr>
              <w:t>CASA will continue to focus on new regulations and instruments adhering to Commonwealth legal drafting practices and avoiding inconsistencies with other pieces of relevant legislation.</w:t>
            </w:r>
          </w:p>
          <w:p w14:paraId="268E5F81" w14:textId="77777777" w:rsidR="00060752" w:rsidRPr="00D23518" w:rsidRDefault="00060752" w:rsidP="00F73F4D">
            <w:pPr>
              <w:rPr>
                <w:rFonts w:ascii="Arial Narrow" w:hAnsi="Arial Narrow"/>
                <w:sz w:val="20"/>
              </w:rPr>
            </w:pPr>
            <w:r w:rsidRPr="00D23518">
              <w:rPr>
                <w:rFonts w:ascii="Arial Narrow" w:hAnsi="Arial Narrow"/>
                <w:sz w:val="20"/>
              </w:rPr>
              <w:t>Rules will continue to be prepared in accordance with a three-tier regulatory structure and using easy to understand language.</w:t>
            </w:r>
          </w:p>
          <w:p w14:paraId="3EF2A663" w14:textId="77777777" w:rsidR="00060752" w:rsidRPr="00D23518" w:rsidRDefault="00060752" w:rsidP="00F73F4D">
            <w:pPr>
              <w:rPr>
                <w:rStyle w:val="A3"/>
                <w:rFonts w:ascii="Arial Narrow" w:hAnsi="Arial Narrow"/>
                <w:color w:val="auto"/>
                <w:sz w:val="20"/>
                <w:szCs w:val="20"/>
              </w:rPr>
            </w:pPr>
            <w:r w:rsidRPr="00D23518">
              <w:rPr>
                <w:rFonts w:ascii="Arial Narrow" w:hAnsi="Arial Narrow"/>
                <w:sz w:val="20"/>
              </w:rPr>
              <w:t>CASA is committed to the remaining reform program regulations drafted for public and industry consultation by the end of 2018.</w:t>
            </w:r>
          </w:p>
        </w:tc>
      </w:tr>
      <w:tr w:rsidR="00060752" w:rsidRPr="00D23518" w14:paraId="16D24F58" w14:textId="77777777" w:rsidTr="00060752">
        <w:tc>
          <w:tcPr>
            <w:tcW w:w="1112" w:type="pct"/>
            <w:shd w:val="clear" w:color="auto" w:fill="auto"/>
          </w:tcPr>
          <w:p w14:paraId="7D5781B5" w14:textId="77777777" w:rsidR="00060752" w:rsidRPr="00D23518" w:rsidRDefault="00060752" w:rsidP="00F73F4D">
            <w:pPr>
              <w:spacing w:after="106"/>
              <w:rPr>
                <w:rFonts w:ascii="Arial Narrow" w:hAnsi="Arial Narrow"/>
                <w:sz w:val="20"/>
              </w:rPr>
            </w:pPr>
            <w:r w:rsidRPr="00D23518">
              <w:rPr>
                <w:rFonts w:ascii="Arial Narrow" w:hAnsi="Arial Narrow"/>
                <w:sz w:val="20"/>
              </w:rPr>
              <w:br w:type="page"/>
              <w:t>31. The Civil Aviation Safety Authority structures all regulations not yet made with the three-tier approach, and subsequently reviews all other Civil Aviation Safety Regulation Parts (in consultation with industry) to determine if they should be remade using the three-tier structure.</w:t>
            </w:r>
          </w:p>
        </w:tc>
        <w:tc>
          <w:tcPr>
            <w:tcW w:w="2618" w:type="pct"/>
            <w:shd w:val="clear" w:color="auto" w:fill="auto"/>
          </w:tcPr>
          <w:p w14:paraId="211805A6" w14:textId="77777777" w:rsidR="00060752" w:rsidRPr="00D23518" w:rsidRDefault="00060752" w:rsidP="00F73F4D">
            <w:pPr>
              <w:rPr>
                <w:rFonts w:ascii="Arial Narrow" w:hAnsi="Arial Narrow"/>
                <w:sz w:val="20"/>
              </w:rPr>
            </w:pPr>
            <w:r w:rsidRPr="00D23518">
              <w:rPr>
                <w:rFonts w:ascii="Arial Narrow" w:hAnsi="Arial Narrow"/>
                <w:sz w:val="20"/>
              </w:rPr>
              <w:t>Agreed in Principle</w:t>
            </w:r>
          </w:p>
          <w:p w14:paraId="319D85C0" w14:textId="77777777" w:rsidR="00060752" w:rsidRPr="00D23518" w:rsidRDefault="00060752" w:rsidP="00F73F4D">
            <w:pPr>
              <w:rPr>
                <w:rFonts w:ascii="Arial Narrow" w:hAnsi="Arial Narrow"/>
                <w:b/>
                <w:sz w:val="20"/>
              </w:rPr>
            </w:pPr>
            <w:r w:rsidRPr="00D23518">
              <w:rPr>
                <w:rFonts w:ascii="Arial Narrow" w:hAnsi="Arial Narrow"/>
                <w:b/>
                <w:sz w:val="20"/>
              </w:rPr>
              <w:t>The Government will support appropriate regulatory reforms in the future noting that there needs to be sufficient time for CASA and industry to transition to the changes, recognising this can often take several years.</w:t>
            </w:r>
          </w:p>
        </w:tc>
        <w:tc>
          <w:tcPr>
            <w:tcW w:w="1270" w:type="pct"/>
            <w:shd w:val="clear" w:color="auto" w:fill="auto"/>
          </w:tcPr>
          <w:p w14:paraId="0320E56E" w14:textId="77777777" w:rsidR="00060752" w:rsidRPr="00D23518" w:rsidRDefault="00060752" w:rsidP="00F73F4D">
            <w:pPr>
              <w:rPr>
                <w:rFonts w:ascii="Arial Narrow" w:hAnsi="Arial Narrow"/>
                <w:sz w:val="20"/>
              </w:rPr>
            </w:pPr>
            <w:r w:rsidRPr="00D23518">
              <w:rPr>
                <w:rFonts w:ascii="Arial Narrow" w:hAnsi="Arial Narrow"/>
                <w:sz w:val="20"/>
              </w:rPr>
              <w:t>Rules will continue to be prepared in accordance with a three-tier regulatory structure.</w:t>
            </w:r>
          </w:p>
          <w:p w14:paraId="200E55CD" w14:textId="77777777" w:rsidR="00060752" w:rsidRPr="00D23518" w:rsidRDefault="00060752" w:rsidP="00F73F4D">
            <w:pPr>
              <w:rPr>
                <w:rFonts w:ascii="Arial Narrow" w:hAnsi="Arial Narrow"/>
                <w:sz w:val="20"/>
              </w:rPr>
            </w:pPr>
            <w:r w:rsidRPr="00D23518">
              <w:rPr>
                <w:rFonts w:ascii="Arial Narrow" w:hAnsi="Arial Narrow"/>
                <w:sz w:val="20"/>
              </w:rPr>
              <w:t>Subsequent reviews of other CASR Parts will determine if they need to be remade, noting that CASA, working with industry, has set out the immediate priorities for regulatory reform.</w:t>
            </w:r>
          </w:p>
          <w:p w14:paraId="60FE4CB9" w14:textId="77777777" w:rsidR="00060752" w:rsidRPr="00D23518" w:rsidRDefault="00060752" w:rsidP="00F73F4D">
            <w:pPr>
              <w:rPr>
                <w:rStyle w:val="A3"/>
                <w:rFonts w:ascii="Arial Narrow" w:hAnsi="Arial Narrow"/>
                <w:color w:val="auto"/>
                <w:sz w:val="20"/>
                <w:szCs w:val="20"/>
              </w:rPr>
            </w:pPr>
            <w:r w:rsidRPr="00D23518">
              <w:rPr>
                <w:rFonts w:ascii="Arial Narrow" w:hAnsi="Arial Narrow"/>
                <w:sz w:val="20"/>
              </w:rPr>
              <w:t>Implementation is ongoing as drafting of the remaining parts of the regulatory reform program are progressed.</w:t>
            </w:r>
          </w:p>
        </w:tc>
      </w:tr>
      <w:tr w:rsidR="00060752" w:rsidRPr="00D23518" w14:paraId="7D92AD7F" w14:textId="77777777" w:rsidTr="00060752">
        <w:tc>
          <w:tcPr>
            <w:tcW w:w="1112" w:type="pct"/>
            <w:shd w:val="clear" w:color="auto" w:fill="auto"/>
          </w:tcPr>
          <w:p w14:paraId="1D3A994B" w14:textId="77777777" w:rsidR="00060752" w:rsidRPr="00D23518" w:rsidRDefault="00060752" w:rsidP="00F73F4D">
            <w:pPr>
              <w:spacing w:after="106"/>
              <w:rPr>
                <w:rFonts w:ascii="Arial Narrow" w:hAnsi="Arial Narrow"/>
                <w:sz w:val="20"/>
              </w:rPr>
            </w:pPr>
            <w:r w:rsidRPr="00D23518">
              <w:rPr>
                <w:rFonts w:ascii="Arial Narrow" w:hAnsi="Arial Narrow"/>
                <w:sz w:val="20"/>
              </w:rPr>
              <w:t>32. The Civil Aviation Safety Authority reassesses the penalties in the Civil Aviation Safety Regulations.</w:t>
            </w:r>
          </w:p>
        </w:tc>
        <w:tc>
          <w:tcPr>
            <w:tcW w:w="2618" w:type="pct"/>
            <w:shd w:val="clear" w:color="auto" w:fill="auto"/>
          </w:tcPr>
          <w:p w14:paraId="6C17A02B" w14:textId="77777777" w:rsidR="00060752" w:rsidRPr="00D23518" w:rsidRDefault="00060752" w:rsidP="00F73F4D">
            <w:pPr>
              <w:spacing w:after="100"/>
              <w:rPr>
                <w:rFonts w:ascii="Arial Narrow" w:hAnsi="Arial Narrow"/>
                <w:sz w:val="20"/>
              </w:rPr>
            </w:pPr>
            <w:r w:rsidRPr="00D23518">
              <w:rPr>
                <w:rFonts w:ascii="Arial Narrow" w:hAnsi="Arial Narrow"/>
                <w:sz w:val="20"/>
              </w:rPr>
              <w:t>Agreed</w:t>
            </w:r>
          </w:p>
          <w:p w14:paraId="61688E3A" w14:textId="77777777" w:rsidR="00060752" w:rsidRPr="00D23518" w:rsidRDefault="00060752" w:rsidP="00F73F4D">
            <w:pPr>
              <w:spacing w:before="80"/>
              <w:rPr>
                <w:rFonts w:ascii="Arial Narrow" w:hAnsi="Arial Narrow"/>
                <w:b/>
                <w:sz w:val="20"/>
              </w:rPr>
            </w:pPr>
            <w:r w:rsidRPr="00D23518">
              <w:rPr>
                <w:rFonts w:ascii="Arial Narrow" w:hAnsi="Arial Narrow"/>
                <w:b/>
                <w:sz w:val="20"/>
              </w:rPr>
              <w:t xml:space="preserve">CASA, in consultation with the Department and industry, will conduct a review of the penalties for offences in the </w:t>
            </w:r>
            <w:r w:rsidRPr="00D23518">
              <w:rPr>
                <w:rFonts w:ascii="Arial Narrow" w:hAnsi="Arial Narrow"/>
                <w:b/>
                <w:i/>
                <w:sz w:val="20"/>
              </w:rPr>
              <w:t>Civil Aviation Act 1988</w:t>
            </w:r>
            <w:r w:rsidRPr="00D23518">
              <w:rPr>
                <w:rFonts w:ascii="Arial Narrow" w:hAnsi="Arial Narrow"/>
                <w:b/>
                <w:sz w:val="20"/>
              </w:rPr>
              <w:t xml:space="preserve"> and CASR.</w:t>
            </w:r>
          </w:p>
          <w:p w14:paraId="0325239C" w14:textId="77777777" w:rsidR="00060752" w:rsidRPr="00D23518" w:rsidRDefault="00060752" w:rsidP="00F73F4D">
            <w:pPr>
              <w:spacing w:before="80"/>
              <w:rPr>
                <w:rFonts w:ascii="Arial Narrow" w:hAnsi="Arial Narrow"/>
                <w:b/>
                <w:sz w:val="20"/>
              </w:rPr>
            </w:pPr>
          </w:p>
          <w:p w14:paraId="42D3D7A9" w14:textId="77777777" w:rsidR="00060752" w:rsidRPr="00D23518" w:rsidRDefault="00060752" w:rsidP="00F73F4D">
            <w:pPr>
              <w:spacing w:before="60"/>
              <w:rPr>
                <w:rFonts w:ascii="Arial Narrow" w:hAnsi="Arial Narrow"/>
                <w:sz w:val="20"/>
              </w:rPr>
            </w:pPr>
          </w:p>
        </w:tc>
        <w:tc>
          <w:tcPr>
            <w:tcW w:w="1270" w:type="pct"/>
            <w:shd w:val="clear" w:color="auto" w:fill="auto"/>
          </w:tcPr>
          <w:p w14:paraId="54054CE1" w14:textId="77777777" w:rsidR="00060752" w:rsidRPr="00D23518" w:rsidRDefault="00060752" w:rsidP="00F73F4D">
            <w:pPr>
              <w:rPr>
                <w:rFonts w:ascii="Arial Narrow" w:hAnsi="Arial Narrow"/>
                <w:sz w:val="20"/>
              </w:rPr>
            </w:pPr>
            <w:r w:rsidRPr="00D23518">
              <w:rPr>
                <w:rFonts w:ascii="Arial Narrow" w:hAnsi="Arial Narrow"/>
                <w:sz w:val="20"/>
              </w:rPr>
              <w:t>The review of penalties was deferred given higher immediate regulatory drafting priorities. Penalties in future regulations will take account of the new regulatory philosophy.</w:t>
            </w:r>
          </w:p>
          <w:p w14:paraId="6A634674" w14:textId="77777777" w:rsidR="00060752" w:rsidRPr="00D23518" w:rsidRDefault="00060752" w:rsidP="00F73F4D">
            <w:pPr>
              <w:rPr>
                <w:rStyle w:val="A3"/>
                <w:rFonts w:ascii="Arial Narrow" w:hAnsi="Arial Narrow"/>
                <w:color w:val="auto"/>
                <w:sz w:val="20"/>
                <w:szCs w:val="20"/>
              </w:rPr>
            </w:pPr>
            <w:r w:rsidRPr="00D23518">
              <w:rPr>
                <w:rFonts w:ascii="Arial Narrow" w:hAnsi="Arial Narrow"/>
                <w:sz w:val="20"/>
              </w:rPr>
              <w:t xml:space="preserve">An overall review of penalties will be undertaken after the remaining elements of the regulatory reform package are drafted in 2018 and the </w:t>
            </w:r>
            <w:r w:rsidRPr="00D23518">
              <w:rPr>
                <w:rFonts w:ascii="Arial Narrow" w:hAnsi="Arial Narrow"/>
                <w:sz w:val="20"/>
              </w:rPr>
              <w:lastRenderedPageBreak/>
              <w:t>review will include public and industry consultation.</w:t>
            </w:r>
          </w:p>
        </w:tc>
      </w:tr>
      <w:tr w:rsidR="00060752" w:rsidRPr="00D23518" w14:paraId="02A308C2" w14:textId="77777777" w:rsidTr="00060752">
        <w:tc>
          <w:tcPr>
            <w:tcW w:w="1112" w:type="pct"/>
            <w:shd w:val="clear" w:color="auto" w:fill="auto"/>
          </w:tcPr>
          <w:p w14:paraId="7F16EDC6" w14:textId="77777777" w:rsidR="00060752" w:rsidRPr="00D23518" w:rsidRDefault="00060752" w:rsidP="00F73F4D">
            <w:pPr>
              <w:spacing w:after="106"/>
              <w:rPr>
                <w:rFonts w:ascii="Arial Narrow" w:hAnsi="Arial Narrow"/>
                <w:sz w:val="20"/>
              </w:rPr>
            </w:pPr>
            <w:r w:rsidRPr="00D23518">
              <w:rPr>
                <w:rFonts w:ascii="Arial Narrow" w:hAnsi="Arial Narrow"/>
                <w:sz w:val="20"/>
              </w:rPr>
              <w:lastRenderedPageBreak/>
              <w:t xml:space="preserve">33. The Civil Aviation Safety Authority applies a project management approach to the completion of all Civil Aviation Safety Regulation Parts not yet in force, with drafting to be completed within one year and consultation completed one year later, with: </w:t>
            </w:r>
          </w:p>
          <w:p w14:paraId="2DACC2E3" w14:textId="77777777" w:rsidR="00060752" w:rsidRPr="00D23518" w:rsidRDefault="00060752" w:rsidP="00F73F4D">
            <w:pPr>
              <w:spacing w:after="106"/>
              <w:rPr>
                <w:rFonts w:ascii="Arial Narrow" w:hAnsi="Arial Narrow"/>
                <w:sz w:val="20"/>
              </w:rPr>
            </w:pPr>
            <w:r w:rsidRPr="00D23518">
              <w:rPr>
                <w:rFonts w:ascii="Arial Narrow" w:hAnsi="Arial Narrow"/>
                <w:sz w:val="20"/>
              </w:rPr>
              <w:t xml:space="preserve">a. a Steering Committee and a Project Team with both CASA and industry representatives; and </w:t>
            </w:r>
          </w:p>
          <w:p w14:paraId="57BD3EFA" w14:textId="77777777" w:rsidR="00060752" w:rsidRPr="00D23518" w:rsidRDefault="00060752" w:rsidP="00F73F4D">
            <w:pPr>
              <w:pStyle w:val="Default"/>
              <w:rPr>
                <w:rFonts w:ascii="Arial Narrow" w:eastAsia="Calibri" w:hAnsi="Arial Narrow" w:cs="Times New Roman"/>
                <w:color w:val="auto"/>
                <w:sz w:val="20"/>
                <w:szCs w:val="20"/>
                <w:lang w:eastAsia="en-US"/>
              </w:rPr>
            </w:pPr>
            <w:r w:rsidRPr="00D23518">
              <w:rPr>
                <w:rFonts w:ascii="Arial Narrow" w:eastAsia="Calibri" w:hAnsi="Arial Narrow" w:cs="Times New Roman"/>
                <w:color w:val="auto"/>
                <w:sz w:val="20"/>
                <w:szCs w:val="20"/>
                <w:lang w:eastAsia="en-US"/>
              </w:rPr>
              <w:t xml:space="preserve">b. implementation dates established through formal industry consultation. </w:t>
            </w:r>
          </w:p>
          <w:p w14:paraId="1225E5B9" w14:textId="77777777" w:rsidR="00060752" w:rsidRPr="00D23518" w:rsidRDefault="00060752" w:rsidP="00F73F4D">
            <w:pPr>
              <w:spacing w:after="106"/>
              <w:rPr>
                <w:rFonts w:ascii="Arial Narrow" w:hAnsi="Arial Narrow"/>
                <w:b/>
                <w:sz w:val="20"/>
              </w:rPr>
            </w:pPr>
          </w:p>
        </w:tc>
        <w:tc>
          <w:tcPr>
            <w:tcW w:w="2618" w:type="pct"/>
            <w:shd w:val="clear" w:color="auto" w:fill="auto"/>
          </w:tcPr>
          <w:p w14:paraId="52EAA912" w14:textId="77777777" w:rsidR="00060752" w:rsidRPr="00D23518" w:rsidRDefault="00060752" w:rsidP="00F73F4D">
            <w:pPr>
              <w:spacing w:after="100"/>
              <w:rPr>
                <w:rFonts w:ascii="Arial Narrow" w:hAnsi="Arial Narrow"/>
                <w:sz w:val="20"/>
              </w:rPr>
            </w:pPr>
            <w:r w:rsidRPr="00D23518">
              <w:rPr>
                <w:rFonts w:ascii="Arial Narrow" w:hAnsi="Arial Narrow"/>
                <w:sz w:val="20"/>
              </w:rPr>
              <w:t>Agreed</w:t>
            </w:r>
          </w:p>
          <w:p w14:paraId="0F650098" w14:textId="360732A6" w:rsidR="00060752" w:rsidRPr="00D23518" w:rsidRDefault="00060752" w:rsidP="00F73F4D">
            <w:pPr>
              <w:spacing w:before="80"/>
              <w:rPr>
                <w:rFonts w:ascii="Arial Narrow" w:hAnsi="Arial Narrow"/>
                <w:b/>
                <w:sz w:val="20"/>
              </w:rPr>
            </w:pPr>
            <w:r w:rsidRPr="00D23518">
              <w:rPr>
                <w:rFonts w:ascii="Arial Narrow" w:hAnsi="Arial Narrow"/>
                <w:b/>
                <w:sz w:val="20"/>
              </w:rPr>
              <w:t>The Government expects CASA and OPC to complete the drafting of all remaining parts of the current safety regulatory reform programme during 2015.</w:t>
            </w:r>
          </w:p>
          <w:p w14:paraId="30D46DA9" w14:textId="77777777" w:rsidR="00060752" w:rsidRPr="00D23518" w:rsidRDefault="00060752" w:rsidP="00F73F4D">
            <w:pPr>
              <w:spacing w:before="80"/>
              <w:rPr>
                <w:rFonts w:ascii="Arial Narrow" w:hAnsi="Arial Narrow"/>
                <w:b/>
                <w:sz w:val="20"/>
              </w:rPr>
            </w:pPr>
            <w:r w:rsidRPr="00D23518">
              <w:rPr>
                <w:rFonts w:ascii="Arial Narrow" w:hAnsi="Arial Narrow"/>
                <w:b/>
                <w:sz w:val="20"/>
              </w:rPr>
              <w:t>The Government has also requested the Board consider the establishment of a small, joint CASA/industry regulatory steering committee to inform future regulatory reform priorities once the current reform program is completed.</w:t>
            </w:r>
          </w:p>
          <w:p w14:paraId="607FA6D6" w14:textId="77777777" w:rsidR="00060752" w:rsidRPr="00D23518" w:rsidRDefault="00060752" w:rsidP="00F73F4D">
            <w:pPr>
              <w:spacing w:before="80"/>
              <w:rPr>
                <w:rFonts w:ascii="Arial Narrow" w:hAnsi="Arial Narrow"/>
                <w:sz w:val="20"/>
              </w:rPr>
            </w:pPr>
            <w:r w:rsidRPr="00D23518">
              <w:rPr>
                <w:rFonts w:ascii="Arial Narrow" w:hAnsi="Arial Narrow"/>
                <w:b/>
                <w:sz w:val="20"/>
              </w:rPr>
              <w:t>Accordingly, the joint CASA/industry regulatory steering committee should also continue to establish specific project teams to examine individual Civil Aviation Regulations 1988 and CASR Parts and standards and orders.</w:t>
            </w:r>
            <w:r w:rsidRPr="00D23518">
              <w:rPr>
                <w:rFonts w:ascii="Arial Narrow" w:hAnsi="Arial Narrow"/>
                <w:sz w:val="20"/>
              </w:rPr>
              <w:t xml:space="preserve">  </w:t>
            </w:r>
          </w:p>
        </w:tc>
        <w:tc>
          <w:tcPr>
            <w:tcW w:w="1270" w:type="pct"/>
            <w:shd w:val="clear" w:color="auto" w:fill="auto"/>
          </w:tcPr>
          <w:p w14:paraId="1C3053A9" w14:textId="77777777" w:rsidR="00060752" w:rsidRPr="00D23518" w:rsidRDefault="00060752" w:rsidP="00F73F4D">
            <w:pPr>
              <w:rPr>
                <w:rFonts w:ascii="Arial Narrow" w:hAnsi="Arial Narrow"/>
                <w:bCs/>
                <w:sz w:val="20"/>
              </w:rPr>
            </w:pPr>
            <w:r w:rsidRPr="00D23518">
              <w:rPr>
                <w:rFonts w:ascii="Arial Narrow" w:hAnsi="Arial Narrow"/>
                <w:bCs/>
                <w:sz w:val="20"/>
              </w:rPr>
              <w:t>CASA deferred completion of some parts of the current safety regulatory program during 2016 in response to industry concerns to focus on remediation of CASR Parts 61, 64, 141 and 142.</w:t>
            </w:r>
          </w:p>
          <w:p w14:paraId="05062DCD" w14:textId="77777777" w:rsidR="00060752" w:rsidRPr="00D23518" w:rsidRDefault="00060752" w:rsidP="00F73F4D">
            <w:pPr>
              <w:rPr>
                <w:rFonts w:ascii="Arial Narrow" w:hAnsi="Arial Narrow"/>
                <w:bCs/>
                <w:sz w:val="20"/>
              </w:rPr>
            </w:pPr>
            <w:r w:rsidRPr="00D23518">
              <w:rPr>
                <w:rFonts w:ascii="Arial Narrow" w:hAnsi="Arial Narrow"/>
                <w:bCs/>
                <w:sz w:val="20"/>
              </w:rPr>
              <w:t>CASA expects all remaining parts of the regulatory reform program to be drafted by the end of 2018, noting that transition periods and final rule application may extend beyond the date of regulations being made.</w:t>
            </w:r>
          </w:p>
          <w:p w14:paraId="5917B5D0" w14:textId="77777777" w:rsidR="00060752" w:rsidRPr="00D23518" w:rsidRDefault="00060752" w:rsidP="00F73F4D">
            <w:pPr>
              <w:rPr>
                <w:rFonts w:ascii="Arial Narrow" w:hAnsi="Arial Narrow"/>
                <w:sz w:val="20"/>
              </w:rPr>
            </w:pPr>
            <w:r w:rsidRPr="00D23518">
              <w:rPr>
                <w:rFonts w:ascii="Arial Narrow" w:hAnsi="Arial Narrow"/>
                <w:sz w:val="20"/>
              </w:rPr>
              <w:t xml:space="preserve">CASA has established a new Aviation Safety Advisory Panel from 1 July 2017 to provide objective, high level advice on current, emerging and potential issues.  </w:t>
            </w:r>
          </w:p>
          <w:p w14:paraId="7DA6CA12" w14:textId="77777777" w:rsidR="00060752" w:rsidRPr="00D23518" w:rsidRDefault="00060752" w:rsidP="00F73F4D">
            <w:pPr>
              <w:rPr>
                <w:rStyle w:val="A3"/>
                <w:rFonts w:ascii="Arial Narrow" w:hAnsi="Arial Narrow"/>
                <w:color w:val="auto"/>
                <w:sz w:val="20"/>
                <w:szCs w:val="20"/>
              </w:rPr>
            </w:pPr>
            <w:r w:rsidRPr="00D23518">
              <w:rPr>
                <w:rFonts w:ascii="Arial Narrow" w:hAnsi="Arial Narrow"/>
                <w:sz w:val="20"/>
              </w:rPr>
              <w:t>CASA will continue to use joint CASA/industry committees to examine individual regulations, standards and orders.</w:t>
            </w:r>
          </w:p>
        </w:tc>
      </w:tr>
      <w:tr w:rsidR="00060752" w:rsidRPr="00D23518" w14:paraId="35E275CF" w14:textId="77777777" w:rsidTr="00060752">
        <w:tc>
          <w:tcPr>
            <w:tcW w:w="1112" w:type="pct"/>
            <w:shd w:val="clear" w:color="auto" w:fill="auto"/>
          </w:tcPr>
          <w:p w14:paraId="4393A376" w14:textId="77777777" w:rsidR="00060752" w:rsidRPr="00D23518" w:rsidRDefault="00060752" w:rsidP="00F73F4D">
            <w:pPr>
              <w:pStyle w:val="Default"/>
              <w:rPr>
                <w:rFonts w:ascii="Arial Narrow" w:eastAsia="Calibri" w:hAnsi="Arial Narrow" w:cs="Times New Roman"/>
                <w:color w:val="auto"/>
                <w:sz w:val="20"/>
                <w:szCs w:val="20"/>
                <w:lang w:eastAsia="en-US"/>
              </w:rPr>
            </w:pPr>
            <w:r w:rsidRPr="00D23518">
              <w:rPr>
                <w:rFonts w:ascii="Arial Narrow" w:eastAsia="Calibri" w:hAnsi="Arial Narrow" w:cs="Times New Roman"/>
                <w:color w:val="auto"/>
                <w:sz w:val="20"/>
                <w:szCs w:val="20"/>
                <w:lang w:eastAsia="en-US"/>
              </w:rPr>
              <w:t>34. The Civil Aviation Safety Authority’s Director of Aviation Safety meet with industry sector leaders to jointly develop a plan for renewing a collaborative and effective Standards Consultative Committee.</w:t>
            </w:r>
          </w:p>
        </w:tc>
        <w:tc>
          <w:tcPr>
            <w:tcW w:w="2618" w:type="pct"/>
            <w:shd w:val="clear" w:color="auto" w:fill="auto"/>
          </w:tcPr>
          <w:p w14:paraId="11F2CD6C" w14:textId="77777777" w:rsidR="00060752" w:rsidRPr="00D23518" w:rsidRDefault="00060752" w:rsidP="00F73F4D">
            <w:pPr>
              <w:spacing w:after="100"/>
              <w:rPr>
                <w:rFonts w:ascii="Arial Narrow" w:hAnsi="Arial Narrow"/>
                <w:sz w:val="20"/>
              </w:rPr>
            </w:pPr>
            <w:r w:rsidRPr="00D23518">
              <w:rPr>
                <w:rFonts w:ascii="Arial Narrow" w:hAnsi="Arial Narrow"/>
                <w:sz w:val="20"/>
              </w:rPr>
              <w:t>Agreed</w:t>
            </w:r>
          </w:p>
          <w:p w14:paraId="2ABF73C4" w14:textId="77777777" w:rsidR="00060752" w:rsidRPr="00D23518" w:rsidRDefault="00060752" w:rsidP="00F73F4D">
            <w:pPr>
              <w:spacing w:before="80"/>
              <w:rPr>
                <w:rFonts w:ascii="Arial Narrow" w:hAnsi="Arial Narrow"/>
                <w:b/>
                <w:sz w:val="20"/>
              </w:rPr>
            </w:pPr>
            <w:r w:rsidRPr="00D23518">
              <w:rPr>
                <w:rFonts w:ascii="Arial Narrow" w:hAnsi="Arial Narrow"/>
                <w:b/>
                <w:sz w:val="20"/>
              </w:rPr>
              <w:t>The Government supports CASA establishing a new, small overarching CASA/industry regulatory steering committee</w:t>
            </w:r>
          </w:p>
          <w:p w14:paraId="0DC8DD47" w14:textId="77777777" w:rsidR="00060752" w:rsidRPr="00D23518" w:rsidRDefault="00060752" w:rsidP="00F73F4D">
            <w:pPr>
              <w:spacing w:before="80"/>
              <w:rPr>
                <w:rFonts w:ascii="Arial Narrow" w:hAnsi="Arial Narrow"/>
                <w:b/>
                <w:sz w:val="20"/>
              </w:rPr>
            </w:pPr>
            <w:r w:rsidRPr="00D23518">
              <w:rPr>
                <w:rFonts w:ascii="Arial Narrow" w:hAnsi="Arial Narrow"/>
                <w:b/>
                <w:sz w:val="20"/>
              </w:rPr>
              <w:t>The Government has also established an Aviation Industry Consultative Council, chaired by the Minister, to discuss matters of broader concern to the aviation industry and ensure that industry has a forum for discussing their views.</w:t>
            </w:r>
          </w:p>
        </w:tc>
        <w:tc>
          <w:tcPr>
            <w:tcW w:w="1270" w:type="pct"/>
            <w:shd w:val="clear" w:color="auto" w:fill="auto"/>
          </w:tcPr>
          <w:p w14:paraId="6DDDB3AC" w14:textId="77777777" w:rsidR="00060752" w:rsidRPr="00D23518" w:rsidRDefault="00060752" w:rsidP="00F73F4D">
            <w:pPr>
              <w:rPr>
                <w:rFonts w:ascii="Arial Narrow" w:hAnsi="Arial Narrow"/>
                <w:sz w:val="20"/>
              </w:rPr>
            </w:pPr>
            <w:r w:rsidRPr="00D23518">
              <w:rPr>
                <w:rFonts w:ascii="Arial Narrow" w:hAnsi="Arial Narrow"/>
                <w:sz w:val="20"/>
              </w:rPr>
              <w:t>CASA has established a new Aviation Safety Advisory Panel from 1 July 2017 to provide objective, high level advice on current, emerging and potential issues.</w:t>
            </w:r>
          </w:p>
          <w:p w14:paraId="6D42C73E" w14:textId="77777777" w:rsidR="00060752" w:rsidRPr="00D23518" w:rsidRDefault="00060752" w:rsidP="00F73F4D">
            <w:pPr>
              <w:rPr>
                <w:rStyle w:val="A3"/>
                <w:rFonts w:ascii="Arial Narrow" w:hAnsi="Arial Narrow"/>
                <w:color w:val="auto"/>
                <w:sz w:val="20"/>
                <w:szCs w:val="20"/>
              </w:rPr>
            </w:pPr>
          </w:p>
        </w:tc>
      </w:tr>
      <w:tr w:rsidR="00060752" w:rsidRPr="00D23518" w14:paraId="1527E1A0" w14:textId="77777777" w:rsidTr="00060752">
        <w:tc>
          <w:tcPr>
            <w:tcW w:w="1112" w:type="pct"/>
            <w:shd w:val="clear" w:color="auto" w:fill="auto"/>
          </w:tcPr>
          <w:p w14:paraId="4BCE4969" w14:textId="77777777" w:rsidR="00060752" w:rsidRPr="00D23518" w:rsidRDefault="00060752" w:rsidP="00F73F4D">
            <w:pPr>
              <w:pStyle w:val="Default"/>
              <w:rPr>
                <w:rFonts w:ascii="Arial Narrow" w:hAnsi="Arial Narrow" w:cs="Times New Roman"/>
                <w:color w:val="auto"/>
                <w:sz w:val="20"/>
                <w:szCs w:val="20"/>
              </w:rPr>
            </w:pPr>
            <w:r w:rsidRPr="00D23518">
              <w:rPr>
                <w:rFonts w:ascii="Arial Narrow" w:hAnsi="Arial Narrow" w:cs="Times New Roman"/>
                <w:color w:val="auto"/>
                <w:sz w:val="20"/>
                <w:szCs w:val="20"/>
              </w:rPr>
              <w:t>35. The Civil Aviation Safety Authority devolve to Designated Aviation Medical Examiners the ability to renew aviation medical certificates (for Classes 1, 2, and 3) where the applicant meets the required standard at the time of the medical examination.</w:t>
            </w:r>
          </w:p>
          <w:p w14:paraId="43E3185C" w14:textId="77777777" w:rsidR="00060752" w:rsidRPr="00D23518" w:rsidRDefault="00060752" w:rsidP="00F73F4D">
            <w:pPr>
              <w:pStyle w:val="Default"/>
              <w:rPr>
                <w:rFonts w:ascii="Arial Narrow" w:eastAsia="Calibri" w:hAnsi="Arial Narrow" w:cs="Times New Roman"/>
                <w:b/>
                <w:color w:val="auto"/>
                <w:sz w:val="20"/>
                <w:szCs w:val="20"/>
                <w:lang w:eastAsia="en-US"/>
              </w:rPr>
            </w:pPr>
          </w:p>
        </w:tc>
        <w:tc>
          <w:tcPr>
            <w:tcW w:w="2618" w:type="pct"/>
            <w:shd w:val="clear" w:color="auto" w:fill="auto"/>
          </w:tcPr>
          <w:p w14:paraId="7A2A6BBE" w14:textId="77777777" w:rsidR="00060752" w:rsidRPr="00D23518" w:rsidRDefault="00060752" w:rsidP="00F73F4D">
            <w:pPr>
              <w:rPr>
                <w:rFonts w:ascii="Arial Narrow" w:hAnsi="Arial Narrow"/>
                <w:sz w:val="20"/>
              </w:rPr>
            </w:pPr>
            <w:r w:rsidRPr="00D23518">
              <w:rPr>
                <w:rFonts w:ascii="Arial Narrow" w:hAnsi="Arial Narrow"/>
                <w:sz w:val="20"/>
              </w:rPr>
              <w:lastRenderedPageBreak/>
              <w:t xml:space="preserve">Agreed in Principle </w:t>
            </w:r>
          </w:p>
          <w:p w14:paraId="48744E8F" w14:textId="77777777" w:rsidR="00060752" w:rsidRPr="00D23518" w:rsidRDefault="00060752" w:rsidP="00F73F4D">
            <w:pPr>
              <w:rPr>
                <w:rFonts w:ascii="Arial Narrow" w:hAnsi="Arial Narrow"/>
                <w:b/>
                <w:sz w:val="20"/>
              </w:rPr>
            </w:pPr>
            <w:r w:rsidRPr="00D23518">
              <w:rPr>
                <w:rFonts w:ascii="Arial Narrow" w:hAnsi="Arial Narrow"/>
                <w:b/>
                <w:sz w:val="20"/>
              </w:rPr>
              <w:t>CASA will conduct a post implementation review of the Class 2 process in consultation with stakeholders in the second half of 2015.</w:t>
            </w:r>
          </w:p>
          <w:p w14:paraId="30F6AB94" w14:textId="77777777" w:rsidR="00060752" w:rsidRPr="00D23518" w:rsidRDefault="00060752" w:rsidP="00F73F4D">
            <w:pPr>
              <w:rPr>
                <w:rFonts w:ascii="Arial Narrow" w:hAnsi="Arial Narrow"/>
                <w:b/>
                <w:sz w:val="20"/>
              </w:rPr>
            </w:pPr>
            <w:r w:rsidRPr="00D23518">
              <w:rPr>
                <w:rFonts w:ascii="Arial Narrow" w:hAnsi="Arial Narrow"/>
                <w:b/>
                <w:sz w:val="20"/>
              </w:rPr>
              <w:t xml:space="preserve">Moreover the Government has asked that CASA undertake a review of its aviation medical unit to establish whether a more effective and efficient system might be put in place without adversely impacting on safety.  </w:t>
            </w:r>
          </w:p>
          <w:p w14:paraId="02210843" w14:textId="77777777" w:rsidR="00060752" w:rsidRPr="00D23518" w:rsidRDefault="00060752" w:rsidP="00F73F4D">
            <w:pPr>
              <w:rPr>
                <w:rFonts w:ascii="Arial Narrow" w:hAnsi="Arial Narrow"/>
                <w:sz w:val="20"/>
              </w:rPr>
            </w:pPr>
          </w:p>
        </w:tc>
        <w:tc>
          <w:tcPr>
            <w:tcW w:w="1270" w:type="pct"/>
            <w:shd w:val="clear" w:color="auto" w:fill="auto"/>
          </w:tcPr>
          <w:p w14:paraId="4846AE5B" w14:textId="77777777" w:rsidR="00060752" w:rsidRPr="00D23518" w:rsidRDefault="00060752" w:rsidP="00F73F4D">
            <w:pPr>
              <w:pStyle w:val="TableParagraph"/>
              <w:spacing w:before="55"/>
              <w:ind w:right="79"/>
              <w:rPr>
                <w:rFonts w:ascii="Arial Narrow" w:hAnsi="Arial Narrow"/>
                <w:sz w:val="20"/>
                <w:szCs w:val="20"/>
              </w:rPr>
            </w:pPr>
            <w:r w:rsidRPr="00D23518">
              <w:rPr>
                <w:rFonts w:ascii="Arial Narrow" w:hAnsi="Arial Narrow"/>
                <w:sz w:val="20"/>
                <w:szCs w:val="20"/>
              </w:rPr>
              <w:t>CASA released a Medical Certification Standards Discussion Paper in December 2016. The public comment period closed on 30 March 2017 and CASA received 160 submissions.</w:t>
            </w:r>
          </w:p>
          <w:p w14:paraId="5A9BC5DB" w14:textId="77777777" w:rsidR="00060752" w:rsidRPr="00D23518" w:rsidRDefault="00060752" w:rsidP="00F73F4D">
            <w:pPr>
              <w:pStyle w:val="TableParagraph"/>
              <w:spacing w:before="55"/>
              <w:ind w:right="79"/>
              <w:rPr>
                <w:rFonts w:ascii="Arial Narrow" w:hAnsi="Arial Narrow"/>
                <w:sz w:val="20"/>
                <w:szCs w:val="20"/>
              </w:rPr>
            </w:pPr>
            <w:r w:rsidRPr="00D23518">
              <w:rPr>
                <w:rFonts w:ascii="Arial Narrow" w:hAnsi="Arial Narrow"/>
                <w:sz w:val="20"/>
                <w:szCs w:val="20"/>
              </w:rPr>
              <w:t xml:space="preserve">Three reforms were announced in November </w:t>
            </w:r>
            <w:r w:rsidRPr="00D23518">
              <w:rPr>
                <w:rFonts w:ascii="Arial Narrow" w:hAnsi="Arial Narrow"/>
                <w:sz w:val="20"/>
                <w:szCs w:val="20"/>
              </w:rPr>
              <w:lastRenderedPageBreak/>
              <w:t>2017:</w:t>
            </w:r>
          </w:p>
          <w:p w14:paraId="25024983" w14:textId="77777777" w:rsidR="00060752" w:rsidRPr="00D23518" w:rsidRDefault="00060752" w:rsidP="00F73F4D">
            <w:pPr>
              <w:pStyle w:val="TableParagraph"/>
              <w:numPr>
                <w:ilvl w:val="0"/>
                <w:numId w:val="27"/>
              </w:numPr>
              <w:ind w:left="487" w:right="79" w:hanging="357"/>
              <w:rPr>
                <w:rFonts w:ascii="Arial Narrow" w:hAnsi="Arial Narrow"/>
                <w:sz w:val="20"/>
                <w:szCs w:val="20"/>
              </w:rPr>
            </w:pPr>
            <w:r w:rsidRPr="00D23518">
              <w:rPr>
                <w:rFonts w:ascii="Arial Narrow" w:hAnsi="Arial Narrow"/>
                <w:sz w:val="20"/>
                <w:szCs w:val="20"/>
                <w:lang w:val="en"/>
              </w:rPr>
              <w:t>allowing non-passenger carrying commercial operations under a full Class 2 medical certificate from 1 March 2018;</w:t>
            </w:r>
          </w:p>
          <w:p w14:paraId="63CAF018" w14:textId="77777777" w:rsidR="00060752" w:rsidRPr="00D23518" w:rsidRDefault="00060752" w:rsidP="00F73F4D">
            <w:pPr>
              <w:pStyle w:val="TableParagraph"/>
              <w:numPr>
                <w:ilvl w:val="0"/>
                <w:numId w:val="27"/>
              </w:numPr>
              <w:ind w:left="487" w:right="79" w:hanging="357"/>
              <w:rPr>
                <w:rFonts w:ascii="Arial Narrow" w:hAnsi="Arial Narrow"/>
                <w:sz w:val="20"/>
                <w:szCs w:val="20"/>
              </w:rPr>
            </w:pPr>
            <w:r w:rsidRPr="00D23518">
              <w:rPr>
                <w:rFonts w:ascii="Arial Narrow" w:hAnsi="Arial Narrow"/>
                <w:sz w:val="20"/>
                <w:szCs w:val="20"/>
                <w:lang w:val="en"/>
              </w:rPr>
              <w:t>increasing the delegation of medical decision making to medical professionals from 4 April 2018; and</w:t>
            </w:r>
          </w:p>
          <w:p w14:paraId="7B69A9D3" w14:textId="77777777" w:rsidR="00060752" w:rsidRPr="00D23518" w:rsidRDefault="00060752" w:rsidP="00F73F4D">
            <w:pPr>
              <w:pStyle w:val="TableParagraph"/>
              <w:numPr>
                <w:ilvl w:val="0"/>
                <w:numId w:val="27"/>
              </w:numPr>
              <w:ind w:left="487" w:right="79" w:hanging="357"/>
              <w:rPr>
                <w:rFonts w:ascii="Arial Narrow" w:hAnsi="Arial Narrow"/>
                <w:sz w:val="20"/>
                <w:szCs w:val="20"/>
              </w:rPr>
            </w:pPr>
            <w:r w:rsidRPr="00D23518">
              <w:rPr>
                <w:rFonts w:ascii="Arial Narrow" w:hAnsi="Arial Narrow"/>
                <w:sz w:val="20"/>
                <w:szCs w:val="20"/>
                <w:lang w:val="en"/>
              </w:rPr>
              <w:t xml:space="preserve">implementing a new category of private pilot medical certificate (Basic Class 2) from </w:t>
            </w:r>
            <w:r>
              <w:rPr>
                <w:rFonts w:ascii="Arial Narrow" w:hAnsi="Arial Narrow"/>
                <w:sz w:val="20"/>
                <w:szCs w:val="20"/>
                <w:lang w:val="en"/>
              </w:rPr>
              <w:t xml:space="preserve">July </w:t>
            </w:r>
            <w:r w:rsidRPr="00D23518">
              <w:rPr>
                <w:rFonts w:ascii="Arial Narrow" w:hAnsi="Arial Narrow"/>
                <w:sz w:val="20"/>
                <w:szCs w:val="20"/>
                <w:lang w:val="en"/>
              </w:rPr>
              <w:t>2018.</w:t>
            </w:r>
          </w:p>
          <w:p w14:paraId="1FA4ED14" w14:textId="77777777" w:rsidR="00060752" w:rsidRPr="00D23518" w:rsidRDefault="00060752" w:rsidP="00F73F4D">
            <w:pPr>
              <w:pStyle w:val="TableParagraph"/>
              <w:spacing w:before="121"/>
              <w:ind w:right="592"/>
              <w:rPr>
                <w:rStyle w:val="A3"/>
                <w:rFonts w:ascii="Arial Narrow" w:hAnsi="Arial Narrow"/>
                <w:color w:val="auto"/>
                <w:sz w:val="20"/>
                <w:szCs w:val="20"/>
              </w:rPr>
            </w:pPr>
            <w:r w:rsidRPr="00D23518">
              <w:rPr>
                <w:rFonts w:ascii="Arial Narrow" w:hAnsi="Arial Narrow"/>
                <w:sz w:val="20"/>
                <w:szCs w:val="20"/>
              </w:rPr>
              <w:t>CASA completed an internal review of the Aviation Medicine Unit in late 2015 and any outstanding recommendations have been incorporated into CASA’s business plans.</w:t>
            </w:r>
          </w:p>
        </w:tc>
      </w:tr>
      <w:tr w:rsidR="00060752" w:rsidRPr="00D23518" w14:paraId="3DCE8565" w14:textId="77777777" w:rsidTr="00060752">
        <w:tc>
          <w:tcPr>
            <w:tcW w:w="1112" w:type="pct"/>
            <w:shd w:val="clear" w:color="auto" w:fill="auto"/>
          </w:tcPr>
          <w:p w14:paraId="360763EF" w14:textId="77777777" w:rsidR="00060752" w:rsidRPr="00D23518" w:rsidRDefault="00060752" w:rsidP="00F73F4D">
            <w:pPr>
              <w:pStyle w:val="Default"/>
              <w:spacing w:after="106"/>
              <w:rPr>
                <w:rFonts w:ascii="Arial Narrow" w:hAnsi="Arial Narrow" w:cs="Times New Roman"/>
                <w:color w:val="auto"/>
                <w:sz w:val="20"/>
                <w:szCs w:val="20"/>
              </w:rPr>
            </w:pPr>
            <w:r w:rsidRPr="00D23518">
              <w:rPr>
                <w:rFonts w:ascii="Arial Narrow" w:hAnsi="Arial Narrow"/>
                <w:color w:val="auto"/>
                <w:sz w:val="20"/>
                <w:szCs w:val="20"/>
              </w:rPr>
              <w:lastRenderedPageBreak/>
              <w:br w:type="page"/>
            </w:r>
            <w:r w:rsidRPr="00D23518">
              <w:rPr>
                <w:rFonts w:ascii="Arial Narrow" w:hAnsi="Arial Narrow" w:cs="Times New Roman"/>
                <w:color w:val="auto"/>
                <w:sz w:val="20"/>
                <w:szCs w:val="20"/>
              </w:rPr>
              <w:t>37. CASA amends the current Terms of reference of the Industry Complaints Commissioner (ICC) so that:</w:t>
            </w:r>
          </w:p>
          <w:p w14:paraId="54919320" w14:textId="77777777" w:rsidR="00060752" w:rsidRPr="00D23518" w:rsidRDefault="00060752" w:rsidP="00F73F4D">
            <w:pPr>
              <w:pStyle w:val="Default"/>
              <w:numPr>
                <w:ilvl w:val="0"/>
                <w:numId w:val="20"/>
              </w:numPr>
              <w:spacing w:after="106"/>
              <w:rPr>
                <w:rFonts w:ascii="Arial Narrow" w:hAnsi="Arial Narrow" w:cs="Times New Roman"/>
                <w:color w:val="auto"/>
                <w:sz w:val="20"/>
                <w:szCs w:val="20"/>
              </w:rPr>
            </w:pPr>
            <w:r w:rsidRPr="00D23518">
              <w:rPr>
                <w:rFonts w:ascii="Arial Narrow" w:hAnsi="Arial Narrow" w:cs="Times New Roman"/>
                <w:color w:val="auto"/>
                <w:sz w:val="20"/>
                <w:szCs w:val="20"/>
              </w:rPr>
              <w:t>The ICC reports directly to the CASA Board;</w:t>
            </w:r>
          </w:p>
          <w:p w14:paraId="6FC62184" w14:textId="77777777" w:rsidR="00060752" w:rsidRPr="00D23518" w:rsidRDefault="00060752" w:rsidP="00F73F4D">
            <w:pPr>
              <w:pStyle w:val="Default"/>
              <w:numPr>
                <w:ilvl w:val="0"/>
                <w:numId w:val="20"/>
              </w:numPr>
              <w:spacing w:after="106"/>
              <w:rPr>
                <w:rFonts w:ascii="Arial Narrow" w:hAnsi="Arial Narrow" w:cs="Times New Roman"/>
                <w:color w:val="auto"/>
                <w:sz w:val="20"/>
                <w:szCs w:val="20"/>
              </w:rPr>
            </w:pPr>
            <w:r w:rsidRPr="00D23518">
              <w:rPr>
                <w:rFonts w:ascii="Arial Narrow" w:hAnsi="Arial Narrow" w:cs="Times New Roman"/>
                <w:color w:val="auto"/>
                <w:sz w:val="20"/>
                <w:szCs w:val="20"/>
              </w:rPr>
              <w:t>No CASA staff are excluded from the ICC’s jurisdiction;</w:t>
            </w:r>
          </w:p>
          <w:p w14:paraId="1F00BE90" w14:textId="77777777" w:rsidR="00060752" w:rsidRPr="00D23518" w:rsidRDefault="00060752" w:rsidP="00F73F4D">
            <w:pPr>
              <w:pStyle w:val="Default"/>
              <w:numPr>
                <w:ilvl w:val="0"/>
                <w:numId w:val="20"/>
              </w:numPr>
              <w:spacing w:after="106"/>
              <w:rPr>
                <w:rFonts w:ascii="Arial Narrow" w:hAnsi="Arial Narrow" w:cs="Times New Roman"/>
                <w:color w:val="auto"/>
                <w:sz w:val="20"/>
                <w:szCs w:val="20"/>
              </w:rPr>
            </w:pPr>
            <w:r w:rsidRPr="00D23518">
              <w:rPr>
                <w:rFonts w:ascii="Arial Narrow" w:hAnsi="Arial Narrow" w:cs="Times New Roman"/>
                <w:color w:val="auto"/>
                <w:sz w:val="20"/>
                <w:szCs w:val="20"/>
              </w:rPr>
              <w:t>The ICC will receive complaints that relate to both the merits and the process of matters;</w:t>
            </w:r>
          </w:p>
          <w:p w14:paraId="7A9B6CA8" w14:textId="77777777" w:rsidR="00060752" w:rsidRPr="00D23518" w:rsidRDefault="00060752" w:rsidP="00F73F4D">
            <w:pPr>
              <w:pStyle w:val="Default"/>
              <w:numPr>
                <w:ilvl w:val="0"/>
                <w:numId w:val="20"/>
              </w:numPr>
              <w:spacing w:after="106"/>
              <w:rPr>
                <w:rFonts w:ascii="Arial Narrow" w:hAnsi="Arial Narrow" w:cs="Times New Roman"/>
                <w:color w:val="auto"/>
                <w:sz w:val="20"/>
                <w:szCs w:val="20"/>
              </w:rPr>
            </w:pPr>
            <w:r w:rsidRPr="00D23518">
              <w:rPr>
                <w:rFonts w:ascii="Arial Narrow" w:hAnsi="Arial Narrow" w:cs="Times New Roman"/>
                <w:color w:val="auto"/>
                <w:sz w:val="20"/>
                <w:szCs w:val="20"/>
              </w:rPr>
              <w:t xml:space="preserve">On merits matters, including aviation medical matters, the ICC is empowered to </w:t>
            </w:r>
            <w:r w:rsidRPr="00D23518">
              <w:rPr>
                <w:rFonts w:ascii="Arial Narrow" w:hAnsi="Arial Narrow" w:cs="Times New Roman"/>
                <w:color w:val="auto"/>
                <w:sz w:val="20"/>
                <w:szCs w:val="20"/>
              </w:rPr>
              <w:lastRenderedPageBreak/>
              <w:t>convene an appropriately constituted review panel, chaired by a CASA non-executive director, to review the decision; and</w:t>
            </w:r>
          </w:p>
          <w:p w14:paraId="37A45AC6" w14:textId="77777777" w:rsidR="00060752" w:rsidRPr="00EA214A" w:rsidRDefault="00060752" w:rsidP="00F73F4D">
            <w:pPr>
              <w:pStyle w:val="Default"/>
              <w:numPr>
                <w:ilvl w:val="0"/>
                <w:numId w:val="20"/>
              </w:numPr>
              <w:spacing w:after="106"/>
              <w:rPr>
                <w:rFonts w:ascii="Arial Narrow" w:hAnsi="Arial Narrow" w:cs="Times New Roman"/>
                <w:color w:val="auto"/>
                <w:sz w:val="20"/>
                <w:szCs w:val="20"/>
              </w:rPr>
            </w:pPr>
            <w:r w:rsidRPr="00EA214A">
              <w:rPr>
                <w:rFonts w:ascii="Arial Narrow" w:hAnsi="Arial Narrow" w:cs="Times New Roman"/>
                <w:color w:val="auto"/>
                <w:sz w:val="20"/>
                <w:szCs w:val="20"/>
              </w:rPr>
              <w:t>While all ICC findings are non-binding recommendations, the original decision-maker is required to give reasons to the CASA Board if a recommendation is not followed.</w:t>
            </w:r>
          </w:p>
        </w:tc>
        <w:tc>
          <w:tcPr>
            <w:tcW w:w="2618" w:type="pct"/>
            <w:shd w:val="clear" w:color="auto" w:fill="auto"/>
          </w:tcPr>
          <w:p w14:paraId="373B2D94" w14:textId="77777777" w:rsidR="00060752" w:rsidRPr="00D23518" w:rsidRDefault="00060752" w:rsidP="00F73F4D">
            <w:pPr>
              <w:rPr>
                <w:rFonts w:ascii="Arial Narrow" w:hAnsi="Arial Narrow"/>
                <w:sz w:val="20"/>
              </w:rPr>
            </w:pPr>
            <w:r w:rsidRPr="00D23518">
              <w:rPr>
                <w:rFonts w:ascii="Arial Narrow" w:hAnsi="Arial Narrow"/>
                <w:sz w:val="20"/>
              </w:rPr>
              <w:lastRenderedPageBreak/>
              <w:t>Agreed in Principle</w:t>
            </w:r>
          </w:p>
          <w:p w14:paraId="745063D3" w14:textId="77777777" w:rsidR="00060752" w:rsidRPr="00D23518" w:rsidRDefault="00060752" w:rsidP="00F73F4D">
            <w:pPr>
              <w:rPr>
                <w:rFonts w:ascii="Arial Narrow" w:hAnsi="Arial Narrow"/>
                <w:b/>
                <w:sz w:val="20"/>
              </w:rPr>
            </w:pPr>
            <w:r w:rsidRPr="00D23518">
              <w:rPr>
                <w:rFonts w:ascii="Arial Narrow" w:hAnsi="Arial Narrow"/>
                <w:b/>
                <w:sz w:val="20"/>
              </w:rPr>
              <w:t>The Government supports recommendations part (a) and (b) and has asked the Board for advice on appropriate future governance arrangements for the Industry Complaints Commissioner (ICC).</w:t>
            </w:r>
          </w:p>
          <w:p w14:paraId="4B12866B" w14:textId="77777777" w:rsidR="00060752" w:rsidRPr="00D23518" w:rsidRDefault="00060752" w:rsidP="00F73F4D">
            <w:pPr>
              <w:rPr>
                <w:rFonts w:ascii="Arial Narrow" w:hAnsi="Arial Narrow"/>
                <w:sz w:val="20"/>
              </w:rPr>
            </w:pPr>
            <w:r w:rsidRPr="00D23518">
              <w:rPr>
                <w:rFonts w:ascii="Arial Narrow" w:hAnsi="Arial Narrow"/>
                <w:b/>
                <w:sz w:val="20"/>
              </w:rPr>
              <w:t>In order to improve transparency and accountability, the Government has also asked CASA to provide an annual report of the activities and findings of the ICC as an appendix to its annual report.</w:t>
            </w:r>
          </w:p>
        </w:tc>
        <w:tc>
          <w:tcPr>
            <w:tcW w:w="1270" w:type="pct"/>
            <w:shd w:val="clear" w:color="auto" w:fill="auto"/>
          </w:tcPr>
          <w:p w14:paraId="20BB9EF3" w14:textId="77777777" w:rsidR="00060752" w:rsidRPr="00D23518" w:rsidRDefault="00060752" w:rsidP="00F73F4D">
            <w:pPr>
              <w:rPr>
                <w:rFonts w:ascii="Arial Narrow" w:hAnsi="Arial Narrow"/>
                <w:bCs/>
                <w:sz w:val="20"/>
              </w:rPr>
            </w:pPr>
            <w:r w:rsidRPr="00D23518">
              <w:rPr>
                <w:rFonts w:ascii="Arial Narrow" w:hAnsi="Arial Narrow"/>
                <w:bCs/>
                <w:sz w:val="20"/>
              </w:rPr>
              <w:t xml:space="preserve">The CASA Board agreed to (a), (b), (c) and (e) of Recommendation 37. The Board examined appropriate future governance arrangements for the ICC, however did not support the establishment of review panels (d). </w:t>
            </w:r>
          </w:p>
          <w:p w14:paraId="58CD8F37" w14:textId="77777777" w:rsidR="00060752" w:rsidRPr="00D23518" w:rsidRDefault="00060752" w:rsidP="00F73F4D">
            <w:pPr>
              <w:rPr>
                <w:rFonts w:ascii="Arial Narrow" w:hAnsi="Arial Narrow"/>
                <w:sz w:val="20"/>
              </w:rPr>
            </w:pPr>
            <w:r w:rsidRPr="00D23518">
              <w:rPr>
                <w:rFonts w:ascii="Arial Narrow" w:hAnsi="Arial Narrow"/>
                <w:bCs/>
                <w:sz w:val="20"/>
              </w:rPr>
              <w:t>The terms of reference for the ICC were updated in May 2015, including that the ICC is to report to the Board.</w:t>
            </w:r>
          </w:p>
          <w:p w14:paraId="60FC20FF" w14:textId="77777777" w:rsidR="00060752" w:rsidRPr="00D23518" w:rsidRDefault="00060752" w:rsidP="00F73F4D">
            <w:pPr>
              <w:pStyle w:val="Default"/>
              <w:spacing w:after="106"/>
              <w:rPr>
                <w:rFonts w:ascii="Arial Narrow" w:hAnsi="Arial Narrow" w:cs="Times New Roman"/>
                <w:color w:val="auto"/>
                <w:sz w:val="20"/>
                <w:szCs w:val="20"/>
              </w:rPr>
            </w:pPr>
            <w:r w:rsidRPr="00D23518">
              <w:rPr>
                <w:rFonts w:ascii="Arial Narrow" w:hAnsi="Arial Narrow" w:cs="Times New Roman"/>
                <w:color w:val="auto"/>
                <w:sz w:val="20"/>
                <w:szCs w:val="20"/>
              </w:rPr>
              <w:t>A report on the ICC’s activities is now included in CASA’s annual reports.</w:t>
            </w:r>
          </w:p>
          <w:p w14:paraId="438AC5AE" w14:textId="77777777" w:rsidR="00060752" w:rsidRPr="00D23518" w:rsidRDefault="00060752" w:rsidP="00F73F4D">
            <w:pPr>
              <w:pStyle w:val="Default"/>
              <w:spacing w:after="106"/>
              <w:rPr>
                <w:rStyle w:val="A3"/>
                <w:rFonts w:ascii="Arial Narrow" w:hAnsi="Arial Narrow"/>
                <w:color w:val="auto"/>
                <w:sz w:val="20"/>
                <w:szCs w:val="20"/>
              </w:rPr>
            </w:pPr>
          </w:p>
        </w:tc>
      </w:tr>
    </w:tbl>
    <w:p w14:paraId="6AF605D4" w14:textId="77777777" w:rsidR="00860F8E" w:rsidRPr="00D23518" w:rsidRDefault="00860F8E" w:rsidP="00860F8E">
      <w:pPr>
        <w:rPr>
          <w:rFonts w:ascii="Arial Narrow" w:hAnsi="Arial Narrow"/>
          <w:sz w:val="20"/>
        </w:rPr>
      </w:pPr>
    </w:p>
    <w:p w14:paraId="7B4A86DB" w14:textId="77777777" w:rsidR="00860F8E" w:rsidRPr="006C0823" w:rsidRDefault="00860F8E" w:rsidP="00860F8E">
      <w:pPr>
        <w:pStyle w:val="Heading0noTOC"/>
        <w:sectPr w:rsidR="00860F8E" w:rsidRPr="006C0823" w:rsidSect="00C85E52">
          <w:headerReference w:type="even" r:id="rId34"/>
          <w:headerReference w:type="default" r:id="rId35"/>
          <w:headerReference w:type="first" r:id="rId36"/>
          <w:pgSz w:w="11907" w:h="16840" w:code="9"/>
          <w:pgMar w:top="1702" w:right="1440" w:bottom="1440" w:left="1440" w:header="709" w:footer="709" w:gutter="0"/>
          <w:cols w:space="708"/>
          <w:docGrid w:linePitch="360"/>
        </w:sectPr>
      </w:pPr>
    </w:p>
    <w:bookmarkEnd w:id="95"/>
    <w:p w14:paraId="75246EAD" w14:textId="77777777" w:rsidR="00860F8E" w:rsidRPr="00E3350E" w:rsidRDefault="00860F8E" w:rsidP="00860F8E">
      <w:pPr>
        <w:pStyle w:val="Heading2"/>
        <w:rPr>
          <w:lang w:val="en-AU"/>
        </w:rPr>
      </w:pPr>
      <w:r w:rsidRPr="00E3350E">
        <w:rPr>
          <w:lang w:val="en-AU"/>
        </w:rPr>
        <w:lastRenderedPageBreak/>
        <w:t>Judicial decisions</w:t>
      </w:r>
    </w:p>
    <w:p w14:paraId="11B6CB13" w14:textId="77777777" w:rsidR="00860F8E" w:rsidRPr="00E3350E" w:rsidRDefault="00860F8E" w:rsidP="00860F8E">
      <w:pPr>
        <w:autoSpaceDE w:val="0"/>
        <w:autoSpaceDN w:val="0"/>
        <w:adjustRightInd w:val="0"/>
        <w:rPr>
          <w:rFonts w:cs="Geometric415BT-LiteA"/>
          <w:lang w:val="en-AU"/>
        </w:rPr>
      </w:pPr>
      <w:r w:rsidRPr="00E3350E">
        <w:rPr>
          <w:rFonts w:cs="Geometric415BT-LiteA"/>
          <w:lang w:val="en-AU"/>
        </w:rPr>
        <w:t>CASA was a part</w:t>
      </w:r>
      <w:r>
        <w:rPr>
          <w:rFonts w:cs="Geometric415BT-LiteA"/>
          <w:lang w:val="en-AU"/>
        </w:rPr>
        <w:t>y</w:t>
      </w:r>
      <w:r w:rsidRPr="00E3350E">
        <w:rPr>
          <w:rFonts w:cs="Geometric415BT-LiteA"/>
          <w:lang w:val="en-AU"/>
        </w:rPr>
        <w:t xml:space="preserve"> to one matter before the Federal Court of Australia </w:t>
      </w:r>
      <w:r w:rsidR="008E34BD">
        <w:rPr>
          <w:rFonts w:cs="Geometric415BT-LiteA"/>
          <w:lang w:val="en-AU"/>
        </w:rPr>
        <w:t xml:space="preserve">(FCA) </w:t>
      </w:r>
      <w:r w:rsidRPr="00E3350E">
        <w:rPr>
          <w:rFonts w:cs="Geometric415BT-LiteA"/>
          <w:lang w:val="en-AU"/>
        </w:rPr>
        <w:t>in 2017–18. On 28</w:t>
      </w:r>
      <w:r>
        <w:rPr>
          <w:rFonts w:cs="Geometric415BT-LiteA"/>
          <w:lang w:val="en-AU"/>
        </w:rPr>
        <w:t xml:space="preserve"> </w:t>
      </w:r>
      <w:r w:rsidRPr="00E3350E">
        <w:rPr>
          <w:rFonts w:cs="Geometric415BT-LiteA"/>
          <w:lang w:val="en-AU"/>
        </w:rPr>
        <w:t xml:space="preserve">July 2017, Justice Tracey handed down judgement in the matter of </w:t>
      </w:r>
      <w:r w:rsidRPr="00E3350E">
        <w:rPr>
          <w:rFonts w:cs="Geometric415BT-LiteA"/>
          <w:i/>
          <w:lang w:val="en-AU"/>
        </w:rPr>
        <w:t>Civil Aviation Safety Authority v Michael Bellamy</w:t>
      </w:r>
      <w:r w:rsidRPr="00E3350E">
        <w:rPr>
          <w:rFonts w:cs="Geometric415BT-LiteA"/>
          <w:lang w:val="en-AU"/>
        </w:rPr>
        <w:t xml:space="preserve"> [2017] FCA 829. This matter involved an appeal by CASA from a decision of the Administrative Appeals Tribunal (AAT) in which the AAT had set aside CASA’s decision to cancel Mr Bellamy’s private pilot licence – aeroplane category (PPL). In reaching its decision, the AAT had concluded that Mr Bellamy was a fit and proper person to be the holder of a PPL.</w:t>
      </w:r>
    </w:p>
    <w:p w14:paraId="2C9964DB" w14:textId="77777777" w:rsidR="00860F8E" w:rsidRPr="00E3350E" w:rsidRDefault="00860F8E" w:rsidP="00860F8E">
      <w:pPr>
        <w:pStyle w:val="BulletIntro"/>
      </w:pPr>
      <w:r w:rsidRPr="00E3350E">
        <w:t>In setting aside the AAT’s decision and remitting the matter to the AAT for re-hearing, Justice Tracey found that, in reaching its conclusion that Mr Bellamy was a fit and proper person, the AAT had committed a number of errors of law</w:t>
      </w:r>
      <w:r>
        <w:t>,</w:t>
      </w:r>
      <w:r w:rsidRPr="00E3350E">
        <w:t xml:space="preserve"> including by:</w:t>
      </w:r>
    </w:p>
    <w:p w14:paraId="13BEEDF1" w14:textId="77777777" w:rsidR="00860F8E" w:rsidRPr="00E3350E" w:rsidRDefault="00860F8E" w:rsidP="00860F8E">
      <w:pPr>
        <w:numPr>
          <w:ilvl w:val="0"/>
          <w:numId w:val="26"/>
        </w:numPr>
        <w:autoSpaceDE w:val="0"/>
        <w:autoSpaceDN w:val="0"/>
        <w:adjustRightInd w:val="0"/>
        <w:spacing w:after="0"/>
        <w:rPr>
          <w:rFonts w:cs="Geometric415BT-LiteA"/>
          <w:lang w:val="en-AU"/>
        </w:rPr>
      </w:pPr>
      <w:r w:rsidRPr="00E3350E">
        <w:rPr>
          <w:rFonts w:cs="Geometric415BT-LiteA"/>
          <w:lang w:val="en-AU"/>
        </w:rPr>
        <w:t xml:space="preserve">misconstruing regulation 229 of the </w:t>
      </w:r>
      <w:r w:rsidRPr="00C1207C">
        <w:t>Civil Aviation Regulations 1998</w:t>
      </w:r>
      <w:r w:rsidRPr="00E3350E">
        <w:rPr>
          <w:rFonts w:cs="Geometric415BT-LiteA"/>
          <w:lang w:val="en-AU"/>
        </w:rPr>
        <w:t xml:space="preserve"> as applying only to the conduct of commercial air operations</w:t>
      </w:r>
    </w:p>
    <w:p w14:paraId="1EBAFBDD" w14:textId="77777777" w:rsidR="00860F8E" w:rsidRPr="00E3350E" w:rsidRDefault="00860F8E" w:rsidP="00860F8E">
      <w:pPr>
        <w:numPr>
          <w:ilvl w:val="0"/>
          <w:numId w:val="26"/>
        </w:numPr>
        <w:autoSpaceDE w:val="0"/>
        <w:autoSpaceDN w:val="0"/>
        <w:adjustRightInd w:val="0"/>
        <w:spacing w:after="0"/>
        <w:rPr>
          <w:rFonts w:cs="Geometric415BT-LiteA"/>
          <w:lang w:val="en-AU"/>
        </w:rPr>
      </w:pPr>
      <w:r w:rsidRPr="00E3350E">
        <w:rPr>
          <w:rFonts w:cs="Geometric415BT-LiteA"/>
          <w:lang w:val="en-AU"/>
        </w:rPr>
        <w:t>failing to properly take into account Mr Bellamy’s conviction for presenting a knowingly false document to a CASA investigator</w:t>
      </w:r>
    </w:p>
    <w:p w14:paraId="065D0170" w14:textId="77777777" w:rsidR="00860F8E" w:rsidRPr="00E3350E" w:rsidRDefault="00860F8E" w:rsidP="00860F8E">
      <w:pPr>
        <w:numPr>
          <w:ilvl w:val="0"/>
          <w:numId w:val="26"/>
        </w:numPr>
        <w:autoSpaceDE w:val="0"/>
        <w:autoSpaceDN w:val="0"/>
        <w:adjustRightInd w:val="0"/>
        <w:spacing w:after="0"/>
        <w:rPr>
          <w:rFonts w:cs="Geometric415BT-LiteA"/>
          <w:lang w:val="en-AU"/>
        </w:rPr>
      </w:pPr>
      <w:r w:rsidRPr="00E3350E">
        <w:rPr>
          <w:rFonts w:cs="Geometric415BT-LiteA"/>
          <w:lang w:val="en-AU"/>
        </w:rPr>
        <w:t>finding that conduct of Mr Bellamy in relation to the operation of a gyroplane was not relevant to his fitness to hold a fixed</w:t>
      </w:r>
      <w:r>
        <w:rPr>
          <w:rFonts w:cs="Geometric415BT-LiteA"/>
          <w:lang w:val="en-AU"/>
        </w:rPr>
        <w:t>-</w:t>
      </w:r>
      <w:r w:rsidRPr="00E3350E">
        <w:rPr>
          <w:rFonts w:cs="Geometric415BT-LiteA"/>
          <w:lang w:val="en-AU"/>
        </w:rPr>
        <w:t xml:space="preserve">wing PPL. </w:t>
      </w:r>
    </w:p>
    <w:p w14:paraId="3F60D5FF" w14:textId="77777777" w:rsidR="00860F8E" w:rsidRPr="00E3350E" w:rsidRDefault="00860F8E" w:rsidP="00860F8E">
      <w:pPr>
        <w:pStyle w:val="Heading2"/>
        <w:rPr>
          <w:lang w:val="en-AU"/>
        </w:rPr>
      </w:pPr>
      <w:r w:rsidRPr="00E3350E">
        <w:rPr>
          <w:lang w:val="en-AU"/>
        </w:rPr>
        <w:t>Coronial inquiries</w:t>
      </w:r>
    </w:p>
    <w:p w14:paraId="00FE693D" w14:textId="77777777" w:rsidR="00860F8E" w:rsidRPr="00E3350E" w:rsidRDefault="00860F8E" w:rsidP="00860F8E">
      <w:pPr>
        <w:rPr>
          <w:lang w:val="en-AU"/>
        </w:rPr>
      </w:pPr>
      <w:r w:rsidRPr="00E3350E">
        <w:rPr>
          <w:lang w:val="en-AU"/>
        </w:rPr>
        <w:t>Coroners investigate deaths, identify other injuries and make recommendations that may prevent deaths and non-fatal injuries. Coroners’ findings vary from brief descriptions about the place of death, the identity of the deceased and the cause of death through to detailed descriptions of the circumstances leading to the death and detailed recommendations about what might be done to prevent similar deaths and injuries in the future. Recommendations of this kind may deal with CASA’s regulatory administration of aviation safety.</w:t>
      </w:r>
    </w:p>
    <w:p w14:paraId="3B17F538" w14:textId="77777777" w:rsidR="00860F8E" w:rsidRPr="00E3350E" w:rsidRDefault="00860F8E" w:rsidP="00860F8E">
      <w:pPr>
        <w:rPr>
          <w:lang w:val="en-AU"/>
        </w:rPr>
      </w:pPr>
      <w:r w:rsidRPr="00E3350E">
        <w:rPr>
          <w:lang w:val="en-AU"/>
        </w:rPr>
        <w:t xml:space="preserve">CASA participated in one coronial inquest in 2017–18. The coronial inquest involved deaths resulting from an aircraft accident during recreational aviation activities. CASA was also the subject of recommendations made by a </w:t>
      </w:r>
      <w:r>
        <w:rPr>
          <w:lang w:val="en-AU"/>
        </w:rPr>
        <w:t>c</w:t>
      </w:r>
      <w:r w:rsidRPr="00E3350E">
        <w:rPr>
          <w:lang w:val="en-AU"/>
        </w:rPr>
        <w:t xml:space="preserve">oroner in a separate inquest to which CASA was not a party. </w:t>
      </w:r>
    </w:p>
    <w:p w14:paraId="212737B1" w14:textId="77777777" w:rsidR="00860F8E" w:rsidRPr="00E3350E" w:rsidRDefault="00860F8E" w:rsidP="00860F8E">
      <w:pPr>
        <w:rPr>
          <w:lang w:val="en-AU"/>
        </w:rPr>
      </w:pPr>
      <w:r w:rsidRPr="00E3350E">
        <w:rPr>
          <w:lang w:val="en-AU"/>
        </w:rPr>
        <w:t xml:space="preserve">Table </w:t>
      </w:r>
      <w:r w:rsidR="0050220E" w:rsidRPr="00E3350E">
        <w:rPr>
          <w:lang w:val="en-AU"/>
        </w:rPr>
        <w:t>1</w:t>
      </w:r>
      <w:r w:rsidR="00BF2702">
        <w:rPr>
          <w:lang w:val="en-AU"/>
        </w:rPr>
        <w:t>5</w:t>
      </w:r>
      <w:r w:rsidR="0050220E" w:rsidRPr="00E3350E">
        <w:rPr>
          <w:lang w:val="en-AU"/>
        </w:rPr>
        <w:t xml:space="preserve"> </w:t>
      </w:r>
      <w:r w:rsidRPr="00E3350E">
        <w:rPr>
          <w:lang w:val="en-AU"/>
        </w:rPr>
        <w:t>provides details of CASA’s response to the coronial recommendations made about CASA in the inquest to which it was not a party</w:t>
      </w:r>
      <w:r w:rsidRPr="00E3350E">
        <w:rPr>
          <w:rFonts w:cs="Arial"/>
          <w:lang w:val="en-AU"/>
        </w:rPr>
        <w:t>.</w:t>
      </w:r>
    </w:p>
    <w:p w14:paraId="78905824" w14:textId="77777777" w:rsidR="00860F8E" w:rsidRPr="00E3350E" w:rsidRDefault="00860F8E" w:rsidP="00860F8E">
      <w:pPr>
        <w:keepNext/>
        <w:spacing w:before="180" w:after="240"/>
        <w:ind w:left="1440" w:hanging="1440"/>
        <w:rPr>
          <w:rFonts w:ascii="Arial Narrow" w:hAnsi="Arial Narrow"/>
          <w:b/>
          <w:color w:val="0099CC"/>
          <w:sz w:val="22"/>
          <w:szCs w:val="22"/>
          <w:u w:color="0099CC"/>
          <w:lang w:val="en-AU"/>
        </w:rPr>
      </w:pPr>
      <w:r w:rsidRPr="00E35B2E">
        <w:rPr>
          <w:rFonts w:ascii="Arial Narrow" w:hAnsi="Arial Narrow"/>
          <w:b/>
          <w:color w:val="4472C4" w:themeColor="accent1"/>
          <w:sz w:val="22"/>
          <w:szCs w:val="22"/>
          <w:u w:color="0099CC"/>
          <w:lang w:val="en-AU"/>
        </w:rPr>
        <w:lastRenderedPageBreak/>
        <w:t>Table 1</w:t>
      </w:r>
      <w:r w:rsidR="00BF2702" w:rsidRPr="00E35B2E">
        <w:rPr>
          <w:rFonts w:ascii="Arial Narrow" w:hAnsi="Arial Narrow"/>
          <w:b/>
          <w:color w:val="4472C4" w:themeColor="accent1"/>
          <w:sz w:val="22"/>
          <w:szCs w:val="22"/>
          <w:u w:color="0099CC"/>
          <w:lang w:val="en-AU"/>
        </w:rPr>
        <w:t>5</w:t>
      </w:r>
      <w:r w:rsidRPr="00E35B2E">
        <w:rPr>
          <w:rFonts w:ascii="Arial Narrow" w:hAnsi="Arial Narrow"/>
          <w:b/>
          <w:color w:val="4472C4" w:themeColor="accent1"/>
          <w:sz w:val="22"/>
          <w:szCs w:val="22"/>
          <w:u w:color="0099CC"/>
          <w:lang w:val="en-AU"/>
        </w:rPr>
        <w:tab/>
        <w:t>CASA’s responses to coronial recommendations, 2017–18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237"/>
      </w:tblGrid>
      <w:tr w:rsidR="00860F8E" w:rsidRPr="00E3350E" w14:paraId="42F85AEF" w14:textId="77777777" w:rsidTr="008E2A9C">
        <w:trPr>
          <w:cantSplit/>
        </w:trPr>
        <w:tc>
          <w:tcPr>
            <w:tcW w:w="2093" w:type="dxa"/>
          </w:tcPr>
          <w:p w14:paraId="54924AEC" w14:textId="77777777" w:rsidR="00860F8E" w:rsidRPr="00E3350E" w:rsidRDefault="00860F8E" w:rsidP="00EF6063">
            <w:pPr>
              <w:pStyle w:val="TableText"/>
              <w:rPr>
                <w:b/>
                <w:lang w:val="en-AU"/>
              </w:rPr>
            </w:pPr>
            <w:r w:rsidRPr="00E3350E">
              <w:rPr>
                <w:b/>
                <w:lang w:val="en-AU"/>
              </w:rPr>
              <w:t>Inquest</w:t>
            </w:r>
          </w:p>
        </w:tc>
        <w:tc>
          <w:tcPr>
            <w:tcW w:w="6237" w:type="dxa"/>
          </w:tcPr>
          <w:p w14:paraId="0B5124AB" w14:textId="77777777" w:rsidR="00860F8E" w:rsidRPr="00C1207C" w:rsidRDefault="00860F8E" w:rsidP="00EF6063">
            <w:pPr>
              <w:pStyle w:val="TableText"/>
            </w:pPr>
            <w:r w:rsidRPr="00C1207C">
              <w:t xml:space="preserve">Haydn Jonathan Redfern and Wayne Patrick Schofield – Crash of Eurocopter AS350 </w:t>
            </w:r>
            <w:r>
              <w:t>h</w:t>
            </w:r>
            <w:r w:rsidRPr="00C1207C">
              <w:t>elicopter in charter operations</w:t>
            </w:r>
          </w:p>
        </w:tc>
      </w:tr>
      <w:tr w:rsidR="00860F8E" w:rsidRPr="00E3350E" w14:paraId="17B0D753" w14:textId="77777777" w:rsidTr="008E2A9C">
        <w:trPr>
          <w:cantSplit/>
        </w:trPr>
        <w:tc>
          <w:tcPr>
            <w:tcW w:w="2093" w:type="dxa"/>
          </w:tcPr>
          <w:p w14:paraId="4CC5601C" w14:textId="77777777" w:rsidR="00860F8E" w:rsidRPr="00E3350E" w:rsidRDefault="00860F8E" w:rsidP="00EF6063">
            <w:pPr>
              <w:pStyle w:val="TableText"/>
              <w:rPr>
                <w:b/>
                <w:lang w:val="en-AU"/>
              </w:rPr>
            </w:pPr>
            <w:r w:rsidRPr="00E3350E">
              <w:rPr>
                <w:b/>
                <w:lang w:val="en-AU"/>
              </w:rPr>
              <w:t>State</w:t>
            </w:r>
          </w:p>
        </w:tc>
        <w:tc>
          <w:tcPr>
            <w:tcW w:w="6237" w:type="dxa"/>
          </w:tcPr>
          <w:p w14:paraId="4B04F17B" w14:textId="77777777" w:rsidR="00860F8E" w:rsidRPr="00C1207C" w:rsidRDefault="00860F8E" w:rsidP="00EF6063">
            <w:pPr>
              <w:pStyle w:val="TableText"/>
            </w:pPr>
            <w:r w:rsidRPr="00C1207C">
              <w:t>Queensland</w:t>
            </w:r>
          </w:p>
        </w:tc>
      </w:tr>
      <w:tr w:rsidR="00860F8E" w:rsidRPr="00E3350E" w14:paraId="080B9C2A" w14:textId="77777777" w:rsidTr="008E2A9C">
        <w:trPr>
          <w:cantSplit/>
        </w:trPr>
        <w:tc>
          <w:tcPr>
            <w:tcW w:w="2093" w:type="dxa"/>
          </w:tcPr>
          <w:p w14:paraId="7641443F" w14:textId="77777777" w:rsidR="00860F8E" w:rsidRPr="00E3350E" w:rsidRDefault="00860F8E" w:rsidP="00EF6063">
            <w:pPr>
              <w:pStyle w:val="TableText"/>
              <w:rPr>
                <w:b/>
                <w:lang w:val="en-AU"/>
              </w:rPr>
            </w:pPr>
            <w:r w:rsidRPr="00E3350E">
              <w:rPr>
                <w:b/>
                <w:lang w:val="en-AU"/>
              </w:rPr>
              <w:t>Date of findings</w:t>
            </w:r>
          </w:p>
        </w:tc>
        <w:tc>
          <w:tcPr>
            <w:tcW w:w="6237" w:type="dxa"/>
          </w:tcPr>
          <w:p w14:paraId="40E40E76" w14:textId="77777777" w:rsidR="00860F8E" w:rsidRPr="00C1207C" w:rsidRDefault="00860F8E" w:rsidP="00EF6063">
            <w:pPr>
              <w:pStyle w:val="TableText"/>
            </w:pPr>
            <w:r w:rsidRPr="00C1207C">
              <w:t>8 December 2017</w:t>
            </w:r>
          </w:p>
        </w:tc>
      </w:tr>
      <w:tr w:rsidR="00860F8E" w:rsidRPr="00E3350E" w14:paraId="6D71163D" w14:textId="77777777" w:rsidTr="008E2A9C">
        <w:trPr>
          <w:cantSplit/>
        </w:trPr>
        <w:tc>
          <w:tcPr>
            <w:tcW w:w="2093" w:type="dxa"/>
          </w:tcPr>
          <w:p w14:paraId="40729BD3" w14:textId="77777777" w:rsidR="00860F8E" w:rsidRPr="00E3350E" w:rsidRDefault="00860F8E" w:rsidP="00EF6063">
            <w:pPr>
              <w:pStyle w:val="TableText"/>
              <w:rPr>
                <w:b/>
                <w:lang w:val="en-AU"/>
              </w:rPr>
            </w:pPr>
            <w:r w:rsidRPr="00E3350E">
              <w:rPr>
                <w:b/>
                <w:lang w:val="en-AU"/>
              </w:rPr>
              <w:t>Recommendations for CASA</w:t>
            </w:r>
          </w:p>
        </w:tc>
        <w:tc>
          <w:tcPr>
            <w:tcW w:w="6237" w:type="dxa"/>
          </w:tcPr>
          <w:p w14:paraId="07D0B9B5" w14:textId="77777777" w:rsidR="00860F8E" w:rsidRPr="00E3350E" w:rsidRDefault="00860F8E" w:rsidP="00EF6063">
            <w:pPr>
              <w:pStyle w:val="TableTextindent1"/>
            </w:pPr>
            <w:r w:rsidRPr="00E3350E">
              <w:t>2.</w:t>
            </w:r>
            <w:r w:rsidRPr="00E3350E">
              <w:tab/>
            </w:r>
            <w:r w:rsidRPr="00E3350E">
              <w:rPr>
                <w:lang w:eastAsia="en-AU"/>
              </w:rPr>
              <w:t xml:space="preserve">Regulators need to consider whether any manufacturer issued Safety </w:t>
            </w:r>
            <w:r w:rsidRPr="009E6ECE">
              <w:t>Recommendation</w:t>
            </w:r>
            <w:r w:rsidRPr="00E3350E">
              <w:rPr>
                <w:lang w:eastAsia="en-AU"/>
              </w:rPr>
              <w:t>, or CASA issued Airworthiness Bulletins should, in appropriate circumstances, require timely replacement of parts or components when improved parts or components are recommended. The depleting or running down of existing non-conforming, or not recommended parts, is not a best practice. There should also be consideration of whether any Safety Recommendation should be the subject of a minimum compliance period, e.g. ‘within 90 days there must be compliance’. This will of course depend upon the issue that is the subject of the Safety Recommendation and the availability of a ‘fix’</w:t>
            </w:r>
            <w:r w:rsidRPr="00E3350E">
              <w:t>.</w:t>
            </w:r>
          </w:p>
        </w:tc>
      </w:tr>
      <w:tr w:rsidR="00860F8E" w:rsidRPr="00E3350E" w14:paraId="668F7FC2" w14:textId="77777777" w:rsidTr="008E2A9C">
        <w:trPr>
          <w:cantSplit/>
        </w:trPr>
        <w:tc>
          <w:tcPr>
            <w:tcW w:w="2093" w:type="dxa"/>
          </w:tcPr>
          <w:p w14:paraId="266F18EC" w14:textId="77777777" w:rsidR="00860F8E" w:rsidRPr="00E3350E" w:rsidRDefault="00860F8E" w:rsidP="00EF6063">
            <w:pPr>
              <w:pStyle w:val="TableText"/>
              <w:rPr>
                <w:b/>
                <w:lang w:val="en-AU"/>
              </w:rPr>
            </w:pPr>
            <w:r w:rsidRPr="00E3350E">
              <w:rPr>
                <w:b/>
                <w:lang w:val="en-AU"/>
              </w:rPr>
              <w:t>CASA response</w:t>
            </w:r>
          </w:p>
        </w:tc>
        <w:tc>
          <w:tcPr>
            <w:tcW w:w="6237" w:type="dxa"/>
          </w:tcPr>
          <w:p w14:paraId="0F1BEBD5" w14:textId="77777777" w:rsidR="00860F8E" w:rsidRPr="00E3350E" w:rsidRDefault="00860F8E" w:rsidP="00EF6063">
            <w:pPr>
              <w:pStyle w:val="TableText"/>
              <w:rPr>
                <w:lang w:val="en-AU" w:eastAsia="en-AU"/>
              </w:rPr>
            </w:pPr>
            <w:r w:rsidRPr="00E3350E">
              <w:rPr>
                <w:lang w:val="en-AU" w:eastAsia="en-AU"/>
              </w:rPr>
              <w:t xml:space="preserve">The process recommended by the </w:t>
            </w:r>
            <w:r>
              <w:rPr>
                <w:lang w:val="en-AU" w:eastAsia="en-AU"/>
              </w:rPr>
              <w:t>c</w:t>
            </w:r>
            <w:r w:rsidRPr="00E3350E">
              <w:rPr>
                <w:lang w:val="en-AU" w:eastAsia="en-AU"/>
              </w:rPr>
              <w:t>oroner is already a part of CASA’s core business. It becomes appropriate for the safety regulator to intervene to require timely replacement of parts or components only where a safety risk has been identified</w:t>
            </w:r>
            <w:r>
              <w:rPr>
                <w:lang w:val="en-AU" w:eastAsia="en-AU"/>
              </w:rPr>
              <w:t>,</w:t>
            </w:r>
            <w:r w:rsidRPr="00E3350E">
              <w:rPr>
                <w:lang w:val="en-AU" w:eastAsia="en-AU"/>
              </w:rPr>
              <w:t xml:space="preserve"> requiring that replacement to occur. In such cases, CASA generally issues an Airworthiness Directive under Part 39 of the </w:t>
            </w:r>
            <w:r w:rsidRPr="00C7057A">
              <w:t>Civil Aviation Safety Regulations 1998</w:t>
            </w:r>
            <w:r w:rsidRPr="00E3350E">
              <w:rPr>
                <w:lang w:val="en-AU" w:eastAsia="en-AU"/>
              </w:rPr>
              <w:t xml:space="preserve"> requiring the replacement to occur and specifying the applicable period of time within which it must take place.</w:t>
            </w:r>
          </w:p>
          <w:p w14:paraId="3D32F28A" w14:textId="77777777" w:rsidR="00860F8E" w:rsidRPr="00E3350E" w:rsidRDefault="00860F8E" w:rsidP="00EF6063">
            <w:pPr>
              <w:pStyle w:val="TableText"/>
              <w:rPr>
                <w:lang w:val="en-AU"/>
              </w:rPr>
            </w:pPr>
            <w:r w:rsidRPr="00E3350E">
              <w:rPr>
                <w:lang w:val="en-AU" w:eastAsia="en-AU"/>
              </w:rPr>
              <w:t>It is not open to CASA to direct or require operators to replace a part or component simply because it has been superseded by an improved part or component. In that instance, so long as the relevant manufacturer still approves the use of the superseded part and its use does not produce a safety issue, there are no grounds for CASA to act.</w:t>
            </w:r>
          </w:p>
        </w:tc>
      </w:tr>
    </w:tbl>
    <w:p w14:paraId="2A251756" w14:textId="77777777" w:rsidR="00860F8E" w:rsidRPr="00E3350E" w:rsidRDefault="00860F8E" w:rsidP="00860F8E">
      <w:pPr>
        <w:rPr>
          <w:lang w:val="en-AU"/>
        </w:rPr>
      </w:pPr>
    </w:p>
    <w:p w14:paraId="6BFCFA42" w14:textId="77777777" w:rsidR="00860F8E" w:rsidRPr="00E3350E" w:rsidRDefault="00860F8E" w:rsidP="00860F8E">
      <w:pPr>
        <w:pStyle w:val="Heading2"/>
        <w:rPr>
          <w:b w:val="0"/>
          <w:color w:val="auto"/>
          <w:sz w:val="24"/>
          <w:szCs w:val="24"/>
          <w:lang w:val="en-AU"/>
        </w:rPr>
      </w:pPr>
      <w:r w:rsidRPr="00E3350E">
        <w:rPr>
          <w:rFonts w:ascii="Cambria" w:hAnsi="Cambria"/>
          <w:b w:val="0"/>
          <w:color w:val="auto"/>
          <w:sz w:val="24"/>
          <w:szCs w:val="24"/>
          <w:lang w:val="en-AU"/>
        </w:rPr>
        <w:t>Table B.8 in Appendix B shows the number of coronial inquiries that involved CASA in each year from 2013–14 to 2017–18.</w:t>
      </w:r>
    </w:p>
    <w:p w14:paraId="6319A2C5" w14:textId="77777777" w:rsidR="00860F8E" w:rsidRPr="00E3350E" w:rsidRDefault="00860F8E" w:rsidP="00860F8E">
      <w:pPr>
        <w:pStyle w:val="Heading2"/>
        <w:rPr>
          <w:lang w:val="en-AU"/>
        </w:rPr>
      </w:pPr>
      <w:bookmarkStart w:id="96" w:name="_Hlk520109101"/>
      <w:r w:rsidRPr="00E3350E">
        <w:rPr>
          <w:lang w:val="en-AU"/>
        </w:rPr>
        <w:t>Administrative scrutiny</w:t>
      </w:r>
    </w:p>
    <w:p w14:paraId="698655E0" w14:textId="77777777" w:rsidR="00860F8E" w:rsidRPr="00AA6995" w:rsidRDefault="00860F8E" w:rsidP="00AA6995">
      <w:pPr>
        <w:pStyle w:val="Heading3"/>
      </w:pPr>
      <w:r w:rsidRPr="00AA6995">
        <w:t xml:space="preserve">Reports by the Auditor-General </w:t>
      </w:r>
    </w:p>
    <w:p w14:paraId="61996B4F" w14:textId="77777777" w:rsidR="00860F8E" w:rsidRPr="00E3350E" w:rsidRDefault="00860F8E" w:rsidP="00860F8E">
      <w:r w:rsidRPr="00E3350E">
        <w:rPr>
          <w:iCs/>
        </w:rPr>
        <w:t xml:space="preserve">In 2017–18, the Auditor-General tabled in parliament </w:t>
      </w:r>
      <w:r>
        <w:rPr>
          <w:iCs/>
        </w:rPr>
        <w:t>one</w:t>
      </w:r>
      <w:r w:rsidRPr="00E3350E">
        <w:rPr>
          <w:iCs/>
        </w:rPr>
        <w:t xml:space="preserve"> report relating to CASA’s operations: </w:t>
      </w:r>
      <w:r w:rsidRPr="00E3350E">
        <w:t xml:space="preserve">Report no. 24: </w:t>
      </w:r>
      <w:r w:rsidRPr="00E3009A">
        <w:rPr>
          <w:i/>
        </w:rPr>
        <w:t>Audits of the financial statements of Australian Government entities for the period ended 30 June 2017</w:t>
      </w:r>
      <w:r w:rsidRPr="00E3350E">
        <w:t xml:space="preserve">. </w:t>
      </w:r>
    </w:p>
    <w:p w14:paraId="55B695FB" w14:textId="77777777" w:rsidR="00860F8E" w:rsidRPr="00E3350E" w:rsidRDefault="00860F8E" w:rsidP="00860F8E">
      <w:pPr>
        <w:autoSpaceDE w:val="0"/>
        <w:autoSpaceDN w:val="0"/>
        <w:rPr>
          <w:iCs/>
          <w:szCs w:val="24"/>
          <w:lang w:val="en-AU"/>
        </w:rPr>
      </w:pPr>
      <w:r w:rsidRPr="00E3350E">
        <w:rPr>
          <w:iCs/>
          <w:szCs w:val="24"/>
          <w:lang w:val="en-AU"/>
        </w:rPr>
        <w:t>Details of the report can be found on the A</w:t>
      </w:r>
      <w:r>
        <w:rPr>
          <w:iCs/>
          <w:szCs w:val="24"/>
          <w:lang w:val="en-AU"/>
        </w:rPr>
        <w:t xml:space="preserve">ustralian </w:t>
      </w:r>
      <w:r w:rsidRPr="00E3350E">
        <w:rPr>
          <w:iCs/>
          <w:szCs w:val="24"/>
          <w:lang w:val="en-AU"/>
        </w:rPr>
        <w:t>N</w:t>
      </w:r>
      <w:r>
        <w:rPr>
          <w:iCs/>
          <w:szCs w:val="24"/>
          <w:lang w:val="en-AU"/>
        </w:rPr>
        <w:t xml:space="preserve">ational </w:t>
      </w:r>
      <w:r w:rsidRPr="00E3350E">
        <w:rPr>
          <w:iCs/>
          <w:szCs w:val="24"/>
          <w:lang w:val="en-AU"/>
        </w:rPr>
        <w:t>A</w:t>
      </w:r>
      <w:r>
        <w:rPr>
          <w:iCs/>
          <w:szCs w:val="24"/>
          <w:lang w:val="en-AU"/>
        </w:rPr>
        <w:t xml:space="preserve">udit </w:t>
      </w:r>
      <w:r w:rsidRPr="00E3350E">
        <w:rPr>
          <w:iCs/>
          <w:szCs w:val="24"/>
          <w:lang w:val="en-AU"/>
        </w:rPr>
        <w:t>O</w:t>
      </w:r>
      <w:r>
        <w:rPr>
          <w:iCs/>
          <w:szCs w:val="24"/>
          <w:lang w:val="en-AU"/>
        </w:rPr>
        <w:t>ffice</w:t>
      </w:r>
      <w:r w:rsidRPr="00E3350E">
        <w:rPr>
          <w:iCs/>
          <w:szCs w:val="24"/>
          <w:lang w:val="en-AU"/>
        </w:rPr>
        <w:t xml:space="preserve"> website.</w:t>
      </w:r>
    </w:p>
    <w:p w14:paraId="58A4A7AE" w14:textId="77777777" w:rsidR="00860F8E" w:rsidRPr="00E3350E" w:rsidRDefault="00860F8E" w:rsidP="00860F8E">
      <w:pPr>
        <w:pStyle w:val="Heading3"/>
        <w:rPr>
          <w:color w:val="auto"/>
          <w:lang w:val="en-AU"/>
        </w:rPr>
      </w:pPr>
      <w:bookmarkStart w:id="97" w:name="_Hlk520449246"/>
      <w:bookmarkEnd w:id="96"/>
      <w:r w:rsidRPr="00E3350E">
        <w:rPr>
          <w:color w:val="auto"/>
          <w:lang w:val="en-AU"/>
        </w:rPr>
        <w:t>Reports by the Australian Information Commissioner</w:t>
      </w:r>
    </w:p>
    <w:p w14:paraId="3FC1B4D3" w14:textId="77777777" w:rsidR="00860F8E" w:rsidRPr="00E3350E" w:rsidRDefault="00860F8E" w:rsidP="00860F8E">
      <w:pPr>
        <w:rPr>
          <w:lang w:val="en-AU"/>
        </w:rPr>
      </w:pPr>
      <w:r w:rsidRPr="00E3350E">
        <w:rPr>
          <w:lang w:val="en-AU"/>
        </w:rPr>
        <w:t>No decisions made by the Australian Information Commissioner during the reporting period had a significant effect on CASA’s operations.</w:t>
      </w:r>
    </w:p>
    <w:bookmarkEnd w:id="97"/>
    <w:p w14:paraId="0542CABD" w14:textId="77777777" w:rsidR="00860F8E" w:rsidRPr="00AA6995" w:rsidRDefault="00860F8E" w:rsidP="00AA6995">
      <w:pPr>
        <w:pStyle w:val="Heading3"/>
      </w:pPr>
      <w:r w:rsidRPr="00AA6995">
        <w:t>Investigations by the Commonwealth Ombudsman</w:t>
      </w:r>
    </w:p>
    <w:p w14:paraId="6E685E18" w14:textId="77777777" w:rsidR="00860F8E" w:rsidRPr="00E3350E" w:rsidRDefault="00860F8E" w:rsidP="00860F8E">
      <w:pPr>
        <w:rPr>
          <w:rFonts w:eastAsia="Times New Roman"/>
          <w:sz w:val="22"/>
          <w:lang w:val="en-AU"/>
        </w:rPr>
      </w:pPr>
      <w:r w:rsidRPr="00E3350E">
        <w:rPr>
          <w:rFonts w:eastAsia="Times New Roman"/>
          <w:lang w:val="en-AU"/>
        </w:rPr>
        <w:t>One investigation involving CASA was initiated by the Commonwealth Ombudsman in 2017–18</w:t>
      </w:r>
      <w:r>
        <w:rPr>
          <w:rFonts w:eastAsia="Times New Roman"/>
          <w:lang w:val="en-AU"/>
        </w:rPr>
        <w:t>. It</w:t>
      </w:r>
      <w:r w:rsidRPr="00E3350E">
        <w:rPr>
          <w:rFonts w:eastAsia="Times New Roman"/>
          <w:lang w:val="en-AU"/>
        </w:rPr>
        <w:t xml:space="preserve"> involv</w:t>
      </w:r>
      <w:r>
        <w:rPr>
          <w:rFonts w:eastAsia="Times New Roman"/>
          <w:lang w:val="en-AU"/>
        </w:rPr>
        <w:t>ed</w:t>
      </w:r>
      <w:r w:rsidRPr="00E3350E">
        <w:rPr>
          <w:rFonts w:eastAsia="Times New Roman"/>
          <w:lang w:val="en-AU"/>
        </w:rPr>
        <w:t xml:space="preserve"> CASA’s review of a </w:t>
      </w:r>
      <w:r>
        <w:rPr>
          <w:rFonts w:eastAsia="Times New Roman"/>
          <w:lang w:val="en-AU"/>
        </w:rPr>
        <w:t>‘</w:t>
      </w:r>
      <w:r w:rsidRPr="00E3350E">
        <w:rPr>
          <w:rFonts w:eastAsia="Times New Roman"/>
          <w:lang w:val="en-AU"/>
        </w:rPr>
        <w:t>low flying</w:t>
      </w:r>
      <w:r>
        <w:rPr>
          <w:rFonts w:eastAsia="Times New Roman"/>
          <w:lang w:val="en-AU"/>
        </w:rPr>
        <w:t>’</w:t>
      </w:r>
      <w:r w:rsidRPr="00E3350E">
        <w:rPr>
          <w:rFonts w:eastAsia="Times New Roman"/>
          <w:lang w:val="en-AU"/>
        </w:rPr>
        <w:t xml:space="preserve"> complaint made by a member of the public. In October 2017, the Ombudsman’s Office advised </w:t>
      </w:r>
      <w:r>
        <w:rPr>
          <w:rFonts w:eastAsia="Times New Roman"/>
          <w:lang w:val="en-AU"/>
        </w:rPr>
        <w:t xml:space="preserve">that </w:t>
      </w:r>
      <w:r w:rsidRPr="00E3350E">
        <w:rPr>
          <w:rFonts w:eastAsia="Times New Roman"/>
          <w:lang w:val="en-AU"/>
        </w:rPr>
        <w:t xml:space="preserve">further investigation was not warranted and </w:t>
      </w:r>
      <w:r>
        <w:rPr>
          <w:rFonts w:eastAsia="Times New Roman"/>
          <w:lang w:val="en-AU"/>
        </w:rPr>
        <w:t xml:space="preserve">that </w:t>
      </w:r>
      <w:r w:rsidRPr="00E3350E">
        <w:rPr>
          <w:rFonts w:eastAsia="Times New Roman"/>
          <w:lang w:val="en-AU"/>
        </w:rPr>
        <w:t>it had closed the complaint file.</w:t>
      </w:r>
    </w:p>
    <w:p w14:paraId="34EEA9B8" w14:textId="38E45929" w:rsidR="00860F8E" w:rsidRDefault="00860F8E" w:rsidP="00860F8E">
      <w:pPr>
        <w:rPr>
          <w:rFonts w:eastAsia="Times New Roman"/>
          <w:lang w:val="en-AU"/>
        </w:rPr>
      </w:pPr>
      <w:r w:rsidRPr="00E3350E">
        <w:rPr>
          <w:rFonts w:eastAsia="Times New Roman"/>
          <w:lang w:val="en-AU"/>
        </w:rPr>
        <w:lastRenderedPageBreak/>
        <w:t xml:space="preserve">In November 2017, the Ombudsman’s Office notified CASA that it was discontinuing its investigation of two matters that had been referred to the Ombudsman by CASA in 2016, after CASA had initiated its own investigation into the matters under the </w:t>
      </w:r>
      <w:r w:rsidRPr="00E3350E">
        <w:rPr>
          <w:rFonts w:eastAsia="Times New Roman"/>
          <w:i/>
          <w:iCs/>
          <w:lang w:val="en-AU"/>
        </w:rPr>
        <w:t>Public Interest Disclosure Act 2013</w:t>
      </w:r>
      <w:r w:rsidRPr="00E3350E">
        <w:rPr>
          <w:rFonts w:eastAsia="Times New Roman"/>
          <w:lang w:val="en-AU"/>
        </w:rPr>
        <w:t xml:space="preserve"> (PID Act). The Ombudsman’s Office advised</w:t>
      </w:r>
      <w:r>
        <w:rPr>
          <w:rFonts w:eastAsia="Times New Roman"/>
          <w:lang w:val="en-AU"/>
        </w:rPr>
        <w:t xml:space="preserve"> that</w:t>
      </w:r>
      <w:r w:rsidRPr="00E3350E">
        <w:rPr>
          <w:rFonts w:eastAsia="Times New Roman"/>
          <w:lang w:val="en-AU"/>
        </w:rPr>
        <w:t xml:space="preserve"> </w:t>
      </w:r>
      <w:r>
        <w:rPr>
          <w:rFonts w:eastAsia="Times New Roman"/>
          <w:lang w:val="en-AU"/>
        </w:rPr>
        <w:t>it was</w:t>
      </w:r>
      <w:r w:rsidRPr="00E3350E">
        <w:rPr>
          <w:rFonts w:eastAsia="Times New Roman"/>
          <w:lang w:val="en-AU"/>
        </w:rPr>
        <w:t xml:space="preserve"> terminating </w:t>
      </w:r>
      <w:r>
        <w:rPr>
          <w:rFonts w:eastAsia="Times New Roman"/>
          <w:lang w:val="en-AU"/>
        </w:rPr>
        <w:t>its</w:t>
      </w:r>
      <w:r w:rsidRPr="00E3350E">
        <w:rPr>
          <w:rFonts w:eastAsia="Times New Roman"/>
          <w:lang w:val="en-AU"/>
        </w:rPr>
        <w:t xml:space="preserve"> investigation, having found six of the eight allegations not to have been substantiated and the other two not to have involved serious disclosable conduct under the PID Act.</w:t>
      </w:r>
      <w:r w:rsidR="00AA6995">
        <w:rPr>
          <w:rFonts w:eastAsia="Times New Roman"/>
          <w:lang w:val="en-AU"/>
        </w:rPr>
        <w:t xml:space="preserve"> </w:t>
      </w:r>
    </w:p>
    <w:p w14:paraId="42F1BA01" w14:textId="77777777" w:rsidR="00860F8E" w:rsidRPr="00E3350E" w:rsidRDefault="00860F8E" w:rsidP="00860F8E">
      <w:pPr>
        <w:pStyle w:val="Heading3"/>
        <w:rPr>
          <w:lang w:val="en-AU"/>
        </w:rPr>
      </w:pPr>
      <w:r w:rsidRPr="00E3350E">
        <w:rPr>
          <w:lang w:val="en-AU"/>
        </w:rPr>
        <w:t xml:space="preserve">Reviews of regulatory decisions </w:t>
      </w:r>
    </w:p>
    <w:p w14:paraId="4E79A11D" w14:textId="77777777" w:rsidR="00860F8E" w:rsidRPr="00E3350E" w:rsidRDefault="00860F8E" w:rsidP="00860F8E">
      <w:pPr>
        <w:rPr>
          <w:lang w:val="en-AU"/>
        </w:rPr>
      </w:pPr>
      <w:r w:rsidRPr="00E3350E">
        <w:rPr>
          <w:lang w:val="en-AU"/>
        </w:rPr>
        <w:t>Certain types of regulatory decisions made by CASA are subject to merits review by the AAT. Merits review involves the reconsideration of an administrative decision. On the facts before it, the tribunal decides whether the correct decision (or, where an exercise of discretion was involved, the preferable decision) has been made in accordance with the applicable law.</w:t>
      </w:r>
    </w:p>
    <w:p w14:paraId="2B26ACD4" w14:textId="77777777" w:rsidR="00860F8E" w:rsidRPr="00E3350E" w:rsidRDefault="00860F8E" w:rsidP="00860F8E">
      <w:pPr>
        <w:rPr>
          <w:lang w:val="en-AU"/>
        </w:rPr>
      </w:pPr>
      <w:r w:rsidRPr="00E3350E">
        <w:rPr>
          <w:lang w:val="en-AU"/>
        </w:rPr>
        <w:t xml:space="preserve">A person who is the subject of a CASA decision may apply directly to the Federal Court for a review of the decision under the </w:t>
      </w:r>
      <w:r w:rsidRPr="00E3350E">
        <w:rPr>
          <w:rStyle w:val="Emphasis"/>
          <w:rFonts w:cs="Arial"/>
          <w:szCs w:val="24"/>
          <w:lang w:val="en-AU"/>
        </w:rPr>
        <w:t>Administrative Decisions (Judicial Review) Act 1977</w:t>
      </w:r>
      <w:r w:rsidRPr="00E3350E">
        <w:rPr>
          <w:lang w:val="en-AU"/>
        </w:rPr>
        <w:t>. In some cases, a decision of the AAT may be reviewed in the Federal Court.</w:t>
      </w:r>
    </w:p>
    <w:p w14:paraId="05C10BF3" w14:textId="77777777" w:rsidR="00860F8E" w:rsidRPr="00E3350E" w:rsidRDefault="00860F8E" w:rsidP="00860F8E">
      <w:pPr>
        <w:rPr>
          <w:szCs w:val="24"/>
          <w:lang w:val="en-AU"/>
        </w:rPr>
      </w:pPr>
      <w:r w:rsidRPr="00E3350E">
        <w:rPr>
          <w:rFonts w:cs="Arial"/>
          <w:szCs w:val="24"/>
          <w:lang w:val="en-AU"/>
        </w:rPr>
        <w:t>Tables B.5 to B.7 in Appendix B provide details of AAT merits reviews of CASA regulatory decisions, the categories of CASA decisions appealed in the AAT, and applications to the Federal Court for judicial review of regulatory decisions.</w:t>
      </w:r>
    </w:p>
    <w:p w14:paraId="59F40EF7" w14:textId="77777777" w:rsidR="00860F8E" w:rsidRPr="00E3350E" w:rsidRDefault="00860F8E" w:rsidP="00860F8E">
      <w:pPr>
        <w:pStyle w:val="Heading2"/>
        <w:rPr>
          <w:lang w:val="en-AU"/>
        </w:rPr>
      </w:pPr>
      <w:r w:rsidRPr="00E3350E">
        <w:rPr>
          <w:lang w:val="en-AU"/>
        </w:rPr>
        <w:t>Complaints</w:t>
      </w:r>
    </w:p>
    <w:p w14:paraId="02EF0196" w14:textId="77777777" w:rsidR="00860F8E" w:rsidRPr="00E3350E" w:rsidRDefault="00860F8E" w:rsidP="00860F8E">
      <w:pPr>
        <w:pStyle w:val="Heading3"/>
        <w:rPr>
          <w:lang w:val="en-AU"/>
        </w:rPr>
      </w:pPr>
      <w:r w:rsidRPr="00E3350E">
        <w:rPr>
          <w:lang w:val="en-AU"/>
        </w:rPr>
        <w:t>Complaints-handling mechanisms</w:t>
      </w:r>
    </w:p>
    <w:p w14:paraId="261C8187" w14:textId="77777777" w:rsidR="00860F8E" w:rsidRPr="00E3350E" w:rsidRDefault="00860F8E" w:rsidP="00860F8E">
      <w:pPr>
        <w:rPr>
          <w:lang w:val="en-AU"/>
        </w:rPr>
      </w:pPr>
      <w:r w:rsidRPr="00E3350E">
        <w:rPr>
          <w:lang w:val="en-AU"/>
        </w:rPr>
        <w:t>The Office of the Industry Complaints Commissioner</w:t>
      </w:r>
      <w:r>
        <w:rPr>
          <w:lang w:val="en-AU"/>
        </w:rPr>
        <w:t xml:space="preserve"> (ICC)</w:t>
      </w:r>
      <w:r w:rsidRPr="00E3350E">
        <w:rPr>
          <w:lang w:val="en-AU"/>
        </w:rPr>
        <w:t xml:space="preserve"> was created to offer an accessible and transparent mechanism </w:t>
      </w:r>
      <w:r>
        <w:rPr>
          <w:lang w:val="en-AU"/>
        </w:rPr>
        <w:t>for</w:t>
      </w:r>
      <w:r w:rsidRPr="00E3350E">
        <w:rPr>
          <w:lang w:val="en-AU"/>
        </w:rPr>
        <w:t xml:space="preserve"> complain</w:t>
      </w:r>
      <w:r>
        <w:rPr>
          <w:lang w:val="en-AU"/>
        </w:rPr>
        <w:t>ts</w:t>
      </w:r>
      <w:r w:rsidRPr="00E3350E">
        <w:rPr>
          <w:lang w:val="en-AU"/>
        </w:rPr>
        <w:t xml:space="preserve"> about the actions, decisions and services provided by CASA staff, delegates and authorised persons. </w:t>
      </w:r>
    </w:p>
    <w:p w14:paraId="2EA1EE10" w14:textId="77777777" w:rsidR="00860F8E" w:rsidRPr="00E3350E" w:rsidRDefault="00860F8E" w:rsidP="00860F8E">
      <w:pPr>
        <w:rPr>
          <w:lang w:val="en-AU"/>
        </w:rPr>
      </w:pPr>
      <w:r w:rsidRPr="00E3350E">
        <w:rPr>
          <w:lang w:val="en-AU"/>
        </w:rPr>
        <w:t>Reporting to CASA’s Board, the ICC reviews complaints to establish whether CASA’s actions, decisions or services were wrong, unjust, unlawful, discriminatory or unfair. Governance arrangements support the ICC complaints-handling process and set out how identified deficiencies in CASA’s processes and procedures are identified and resolved. In 2018</w:t>
      </w:r>
      <w:r>
        <w:rPr>
          <w:lang w:val="en-AU"/>
        </w:rPr>
        <w:t>,</w:t>
      </w:r>
      <w:r w:rsidRPr="00E3350E">
        <w:rPr>
          <w:lang w:val="en-AU"/>
        </w:rPr>
        <w:t xml:space="preserve"> enhanced internal reporting of ICC recommendations was implemented to ensure</w:t>
      </w:r>
      <w:r>
        <w:rPr>
          <w:lang w:val="en-AU"/>
        </w:rPr>
        <w:t xml:space="preserve"> that</w:t>
      </w:r>
      <w:r w:rsidRPr="00E3350E">
        <w:rPr>
          <w:lang w:val="en-AU"/>
        </w:rPr>
        <w:t xml:space="preserve"> CASA continued to </w:t>
      </w:r>
      <w:r>
        <w:rPr>
          <w:lang w:val="en-AU"/>
        </w:rPr>
        <w:t>give</w:t>
      </w:r>
      <w:r w:rsidRPr="00E3350E">
        <w:rPr>
          <w:lang w:val="en-AU"/>
        </w:rPr>
        <w:t xml:space="preserve"> appropriate consideration to identified procedural or systemic issues. </w:t>
      </w:r>
    </w:p>
    <w:p w14:paraId="1536BA60" w14:textId="77777777" w:rsidR="00860F8E" w:rsidRPr="00E3350E" w:rsidRDefault="00860F8E" w:rsidP="00860F8E">
      <w:pPr>
        <w:pStyle w:val="Heading3"/>
        <w:rPr>
          <w:lang w:val="en-AU"/>
        </w:rPr>
      </w:pPr>
      <w:r w:rsidRPr="00E3350E">
        <w:rPr>
          <w:lang w:val="en-AU"/>
        </w:rPr>
        <w:t>Complaints in 2017–18</w:t>
      </w:r>
    </w:p>
    <w:p w14:paraId="6F98B131" w14:textId="77777777" w:rsidR="00860F8E" w:rsidRPr="00E3350E" w:rsidRDefault="00860F8E" w:rsidP="00860F8E">
      <w:pPr>
        <w:rPr>
          <w:lang w:val="en-AU"/>
        </w:rPr>
      </w:pPr>
      <w:r w:rsidRPr="00E3350E">
        <w:rPr>
          <w:lang w:val="en-AU"/>
        </w:rPr>
        <w:t>In 2017–18, the ICC resolved 9</w:t>
      </w:r>
      <w:r w:rsidR="00C94969">
        <w:rPr>
          <w:lang w:val="en-AU"/>
        </w:rPr>
        <w:t>1</w:t>
      </w:r>
      <w:r w:rsidRPr="00E3350E">
        <w:rPr>
          <w:lang w:val="en-AU"/>
        </w:rPr>
        <w:t xml:space="preserve"> complaints (including cases on hand at 1 July 2017), 80</w:t>
      </w:r>
      <w:r w:rsidR="00C94969">
        <w:rPr>
          <w:lang w:val="en-AU"/>
        </w:rPr>
        <w:t xml:space="preserve"> </w:t>
      </w:r>
      <w:r w:rsidRPr="00E3350E">
        <w:rPr>
          <w:lang w:val="en-AU"/>
        </w:rPr>
        <w:t>of which were classified as either ‘standard’ or ‘complex’. Of th</w:t>
      </w:r>
      <w:r>
        <w:rPr>
          <w:lang w:val="en-AU"/>
        </w:rPr>
        <w:t>o</w:t>
      </w:r>
      <w:r w:rsidRPr="00E3350E">
        <w:rPr>
          <w:lang w:val="en-AU"/>
        </w:rPr>
        <w:t xml:space="preserve">se cases, 27 (just </w:t>
      </w:r>
      <w:r w:rsidR="00C94969">
        <w:rPr>
          <w:lang w:val="en-AU"/>
        </w:rPr>
        <w:t>under</w:t>
      </w:r>
      <w:r w:rsidRPr="00E3350E">
        <w:rPr>
          <w:lang w:val="en-AU"/>
        </w:rPr>
        <w:t xml:space="preserve"> a third) were classified as ‘complex’.  </w:t>
      </w:r>
    </w:p>
    <w:p w14:paraId="4FD2871B" w14:textId="77777777" w:rsidR="00860F8E" w:rsidRPr="00E3350E" w:rsidRDefault="00860F8E" w:rsidP="00860F8E">
      <w:pPr>
        <w:rPr>
          <w:lang w:val="en-AU"/>
        </w:rPr>
      </w:pPr>
      <w:r w:rsidRPr="00E3350E">
        <w:rPr>
          <w:lang w:val="en-AU"/>
        </w:rPr>
        <w:t xml:space="preserve">Figure 11 shows the business group within CASA </w:t>
      </w:r>
      <w:r>
        <w:rPr>
          <w:lang w:val="en-AU"/>
        </w:rPr>
        <w:t xml:space="preserve">about which </w:t>
      </w:r>
      <w:r w:rsidRPr="00E3350E">
        <w:rPr>
          <w:lang w:val="en-AU"/>
        </w:rPr>
        <w:t>complaints classified as standard or complex were made</w:t>
      </w:r>
      <w:r>
        <w:rPr>
          <w:lang w:val="en-AU"/>
        </w:rPr>
        <w:t>;</w:t>
      </w:r>
      <w:r w:rsidRPr="00E3350E">
        <w:rPr>
          <w:lang w:val="en-AU"/>
        </w:rPr>
        <w:t xml:space="preserve"> </w:t>
      </w:r>
      <w:r>
        <w:rPr>
          <w:lang w:val="en-AU"/>
        </w:rPr>
        <w:t>F</w:t>
      </w:r>
      <w:r w:rsidRPr="00E3350E">
        <w:rPr>
          <w:lang w:val="en-AU"/>
        </w:rPr>
        <w:t>igure 12 shows total complaints that the ICC received from 2013–14 to 2017–18 and the categories into which those complaints fell.</w:t>
      </w:r>
    </w:p>
    <w:p w14:paraId="5A95FCA3" w14:textId="00B722F9" w:rsidR="00860F8E" w:rsidRDefault="00860F8E" w:rsidP="00860F8E">
      <w:pPr>
        <w:pStyle w:val="FigureName"/>
        <w:rPr>
          <w:lang w:val="en-AU"/>
        </w:rPr>
      </w:pPr>
      <w:r w:rsidRPr="00E3350E">
        <w:rPr>
          <w:lang w:val="en-AU"/>
        </w:rPr>
        <w:t>Figure 11</w:t>
      </w:r>
      <w:r w:rsidRPr="00E3350E">
        <w:rPr>
          <w:lang w:val="en-AU"/>
        </w:rPr>
        <w:tab/>
        <w:t xml:space="preserve">Complaints, by business group, 2013–14 to 2017–18 </w:t>
      </w:r>
    </w:p>
    <w:p w14:paraId="21F60493" w14:textId="77777777" w:rsidR="00FE5FDE" w:rsidRPr="00450B11" w:rsidRDefault="00FE5FDE" w:rsidP="00FE5FDE">
      <w:r w:rsidRPr="00450B11">
        <w:t>Content under this heading has been removed in this version to meet accessibility standards.</w:t>
      </w:r>
    </w:p>
    <w:p w14:paraId="6FA0BF48" w14:textId="77777777" w:rsidR="00860F8E" w:rsidRPr="00E3350E" w:rsidRDefault="00860F8E" w:rsidP="00860F8E">
      <w:pPr>
        <w:pStyle w:val="FigureName"/>
        <w:rPr>
          <w:lang w:val="en-AU"/>
        </w:rPr>
      </w:pPr>
      <w:r w:rsidRPr="00E3350E">
        <w:rPr>
          <w:lang w:val="en-AU"/>
        </w:rPr>
        <w:lastRenderedPageBreak/>
        <w:t>Figure 12</w:t>
      </w:r>
      <w:r w:rsidRPr="00E3350E">
        <w:rPr>
          <w:lang w:val="en-AU"/>
        </w:rPr>
        <w:tab/>
        <w:t>Complaints, by category, 2012–13 to 2016–17</w:t>
      </w:r>
    </w:p>
    <w:p w14:paraId="2BBC4025" w14:textId="77777777" w:rsidR="00FE5FDE" w:rsidRPr="00450B11" w:rsidRDefault="00FE5FDE" w:rsidP="00FE5FDE">
      <w:r w:rsidRPr="00450B11">
        <w:t>Content under this heading has been removed in this version to meet accessibility standards.</w:t>
      </w:r>
    </w:p>
    <w:p w14:paraId="1337610B" w14:textId="77777777" w:rsidR="00860F8E" w:rsidRPr="00E3350E" w:rsidRDefault="00860F8E" w:rsidP="00860F8E">
      <w:pPr>
        <w:pStyle w:val="Heading4"/>
        <w:keepLines/>
        <w:rPr>
          <w:lang w:val="en-AU"/>
        </w:rPr>
      </w:pPr>
      <w:bookmarkStart w:id="98" w:name="_Toc306030802"/>
      <w:r w:rsidRPr="00E3350E">
        <w:rPr>
          <w:lang w:val="en-AU"/>
        </w:rPr>
        <w:t xml:space="preserve">Processing of complaints </w:t>
      </w:r>
    </w:p>
    <w:p w14:paraId="4E92A29C" w14:textId="77777777" w:rsidR="00860F8E" w:rsidRPr="00E3350E" w:rsidRDefault="00860F8E" w:rsidP="00860F8E">
      <w:pPr>
        <w:keepNext/>
        <w:keepLines/>
        <w:rPr>
          <w:lang w:val="en-AU"/>
        </w:rPr>
      </w:pPr>
      <w:r w:rsidRPr="00E3350E">
        <w:rPr>
          <w:lang w:val="en-AU"/>
        </w:rPr>
        <w:t xml:space="preserve">The ICC aims to finalise simple complaints that are clearly outside the ICC’s jurisdiction or not related to CASA within five business days. For standard cases, which represent the majority of cases received, the ICC aims to finalise complaints within 30 business days. For complex cases, which require expert advice, relate to novel issues or involve a wide scope of issues, the ICC aims to finalise complaints within 90 business days. </w:t>
      </w:r>
    </w:p>
    <w:p w14:paraId="6A751CAD" w14:textId="77777777" w:rsidR="00860F8E" w:rsidRPr="00E3350E" w:rsidRDefault="00860F8E" w:rsidP="00860F8E">
      <w:pPr>
        <w:spacing w:after="90"/>
        <w:rPr>
          <w:lang w:val="en-AU"/>
        </w:rPr>
      </w:pPr>
      <w:r w:rsidRPr="00E3350E">
        <w:rPr>
          <w:lang w:val="en-AU"/>
        </w:rPr>
        <w:t>In 2017–18, the ICC resolved:</w:t>
      </w:r>
    </w:p>
    <w:p w14:paraId="29DA092B" w14:textId="77777777" w:rsidR="00860F8E" w:rsidRPr="00E3350E" w:rsidRDefault="00860F8E" w:rsidP="00860F8E">
      <w:pPr>
        <w:pStyle w:val="Bullet"/>
        <w:rPr>
          <w:lang w:val="en-AU"/>
        </w:rPr>
      </w:pPr>
      <w:r w:rsidRPr="00E3350E">
        <w:rPr>
          <w:lang w:val="en-AU"/>
        </w:rPr>
        <w:t>100 per cent of the 11 simple cases within five days (average 1.2 days)</w:t>
      </w:r>
    </w:p>
    <w:p w14:paraId="2C9E74D0" w14:textId="77777777" w:rsidR="00860F8E" w:rsidRPr="00E3350E" w:rsidRDefault="00860F8E" w:rsidP="00860F8E">
      <w:pPr>
        <w:pStyle w:val="Bullet"/>
        <w:rPr>
          <w:lang w:val="en-AU"/>
        </w:rPr>
      </w:pPr>
      <w:r w:rsidRPr="00E3350E">
        <w:rPr>
          <w:lang w:val="en-AU"/>
        </w:rPr>
        <w:t>74 per cent of the 53 standard cases within 30 days (average 18.4 days)</w:t>
      </w:r>
    </w:p>
    <w:p w14:paraId="55F42042" w14:textId="77777777" w:rsidR="00860F8E" w:rsidRPr="00E3350E" w:rsidRDefault="00860F8E" w:rsidP="00860F8E">
      <w:pPr>
        <w:pStyle w:val="BulletLast"/>
        <w:rPr>
          <w:lang w:val="en-AU"/>
        </w:rPr>
      </w:pPr>
      <w:r w:rsidRPr="00E3350E">
        <w:rPr>
          <w:lang w:val="en-AU"/>
        </w:rPr>
        <w:t>74 per cent of the 27 complex cases within 90 days (average 66.2 days).</w:t>
      </w:r>
    </w:p>
    <w:p w14:paraId="118675DF" w14:textId="77777777" w:rsidR="00860F8E" w:rsidRPr="00E3350E" w:rsidRDefault="00860F8E" w:rsidP="00860F8E">
      <w:pPr>
        <w:pStyle w:val="Heading4"/>
        <w:rPr>
          <w:lang w:val="en-AU"/>
        </w:rPr>
      </w:pPr>
      <w:r w:rsidRPr="00E3350E">
        <w:rPr>
          <w:lang w:val="en-AU"/>
        </w:rPr>
        <w:t>Complaint prevention strategies</w:t>
      </w:r>
    </w:p>
    <w:p w14:paraId="6E64A315" w14:textId="77777777" w:rsidR="00860F8E" w:rsidRPr="00E3350E" w:rsidRDefault="00860F8E" w:rsidP="00860F8E">
      <w:pPr>
        <w:rPr>
          <w:lang w:val="en-AU"/>
        </w:rPr>
      </w:pPr>
      <w:r w:rsidRPr="00E3350E">
        <w:rPr>
          <w:lang w:val="en-AU"/>
        </w:rPr>
        <w:t>In 2017–18</w:t>
      </w:r>
      <w:r>
        <w:rPr>
          <w:lang w:val="en-AU"/>
        </w:rPr>
        <w:t>,</w:t>
      </w:r>
      <w:r w:rsidRPr="00E3350E">
        <w:rPr>
          <w:lang w:val="en-AU"/>
        </w:rPr>
        <w:t xml:space="preserve"> the ICC made a total of 23 recommendations to other business areas of CASA with the aim of reducing future complaints and ensuring best practice. The recommendations included changes to the content of CASA forms, changes in operator oversight</w:t>
      </w:r>
      <w:r>
        <w:rPr>
          <w:lang w:val="en-AU"/>
        </w:rPr>
        <w:t xml:space="preserve"> and</w:t>
      </w:r>
      <w:r w:rsidRPr="00E3350E">
        <w:rPr>
          <w:lang w:val="en-AU"/>
        </w:rPr>
        <w:t xml:space="preserve"> fee refunds, and for CASA to consider exempting individuals or a class of individuals from specific regulations. All ICC recommendations were accepted in principle.</w:t>
      </w:r>
    </w:p>
    <w:p w14:paraId="25D149E0" w14:textId="77777777" w:rsidR="00860F8E" w:rsidRPr="00E3350E" w:rsidRDefault="00860F8E" w:rsidP="00860F8E">
      <w:pPr>
        <w:rPr>
          <w:lang w:val="en-AU"/>
        </w:rPr>
        <w:sectPr w:rsidR="00860F8E" w:rsidRPr="00E3350E" w:rsidSect="001F77E0">
          <w:pgSz w:w="11906" w:h="16838" w:code="9"/>
          <w:pgMar w:top="1440" w:right="1440" w:bottom="1440" w:left="1440" w:header="709" w:footer="709" w:gutter="0"/>
          <w:cols w:space="708"/>
          <w:docGrid w:linePitch="360"/>
        </w:sectPr>
      </w:pPr>
    </w:p>
    <w:p w14:paraId="51A2F3B9" w14:textId="228701CF" w:rsidR="005626C0" w:rsidRPr="00687E4A" w:rsidRDefault="005626C0" w:rsidP="005626C0">
      <w:pPr>
        <w:pStyle w:val="Heading0noTOC"/>
        <w:rPr>
          <w:rFonts w:eastAsia="Times New Roman"/>
        </w:rPr>
      </w:pPr>
      <w:r w:rsidRPr="00687E4A">
        <w:lastRenderedPageBreak/>
        <w:t>Cameo</w:t>
      </w:r>
    </w:p>
    <w:p w14:paraId="0919CA85" w14:textId="054C0621" w:rsidR="00860F8E" w:rsidRPr="00E3350E" w:rsidRDefault="00860F8E" w:rsidP="00860F8E">
      <w:pPr>
        <w:pStyle w:val="Heading1noTOC"/>
        <w:rPr>
          <w:lang w:val="en-AU"/>
        </w:rPr>
      </w:pPr>
      <w:r w:rsidRPr="00E3350E">
        <w:rPr>
          <w:lang w:val="en-AU"/>
        </w:rPr>
        <w:t>New Aviation Safety Advisory Panel</w:t>
      </w:r>
    </w:p>
    <w:p w14:paraId="3D7B043E" w14:textId="77777777" w:rsidR="00860F8E" w:rsidRPr="007742B3" w:rsidRDefault="00860F8E" w:rsidP="00860F8E">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 xml:space="preserve">CASA’s Aviation Safety Advisory Panel (ASAP) held its inaugural meeting in Sydney on 4 September 2017, marking an important milestone in CASA’s new consultation and engagement approach. </w:t>
      </w:r>
    </w:p>
    <w:p w14:paraId="335E93A5" w14:textId="77777777" w:rsidR="00860F8E" w:rsidRPr="007742B3" w:rsidRDefault="00860F8E" w:rsidP="00860F8E">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 xml:space="preserve">The panel is independently chaired by </w:t>
      </w:r>
      <w:r>
        <w:rPr>
          <w:color w:val="212121"/>
          <w:spacing w:val="3"/>
          <w:szCs w:val="24"/>
          <w:lang w:val="en-AU" w:eastAsia="en-AU"/>
        </w:rPr>
        <w:t xml:space="preserve">Honorary </w:t>
      </w:r>
      <w:r w:rsidRPr="007742B3">
        <w:rPr>
          <w:color w:val="212121"/>
          <w:spacing w:val="3"/>
          <w:szCs w:val="24"/>
          <w:lang w:val="en-AU" w:eastAsia="en-AU"/>
        </w:rPr>
        <w:t>Professor Pat</w:t>
      </w:r>
      <w:r>
        <w:rPr>
          <w:color w:val="212121"/>
          <w:spacing w:val="3"/>
          <w:szCs w:val="24"/>
          <w:lang w:val="en-AU" w:eastAsia="en-AU"/>
        </w:rPr>
        <w:t>rick</w:t>
      </w:r>
      <w:r w:rsidRPr="007742B3">
        <w:rPr>
          <w:color w:val="212121"/>
          <w:spacing w:val="3"/>
          <w:szCs w:val="24"/>
          <w:lang w:val="en-AU" w:eastAsia="en-AU"/>
        </w:rPr>
        <w:t xml:space="preserve"> Murray</w:t>
      </w:r>
      <w:r>
        <w:rPr>
          <w:color w:val="212121"/>
          <w:spacing w:val="3"/>
          <w:szCs w:val="24"/>
          <w:lang w:val="en-AU" w:eastAsia="en-AU"/>
        </w:rPr>
        <w:t>,</w:t>
      </w:r>
      <w:r w:rsidRPr="007742B3">
        <w:rPr>
          <w:color w:val="212121"/>
          <w:spacing w:val="3"/>
          <w:szCs w:val="24"/>
          <w:lang w:val="en-AU" w:eastAsia="en-AU"/>
        </w:rPr>
        <w:t xml:space="preserve"> from the University of Southern Queensland</w:t>
      </w:r>
      <w:r>
        <w:rPr>
          <w:color w:val="212121"/>
          <w:spacing w:val="3"/>
          <w:szCs w:val="24"/>
          <w:lang w:val="en-AU" w:eastAsia="en-AU"/>
        </w:rPr>
        <w:t>. The other members are</w:t>
      </w:r>
      <w:r w:rsidRPr="007742B3">
        <w:rPr>
          <w:color w:val="212121"/>
          <w:spacing w:val="3"/>
          <w:szCs w:val="24"/>
          <w:lang w:val="en-AU" w:eastAsia="en-AU"/>
        </w:rPr>
        <w:t xml:space="preserve"> six senior leaders from </w:t>
      </w:r>
      <w:r>
        <w:rPr>
          <w:color w:val="212121"/>
          <w:spacing w:val="3"/>
          <w:szCs w:val="24"/>
          <w:lang w:val="en-AU" w:eastAsia="en-AU"/>
        </w:rPr>
        <w:t xml:space="preserve">the aviation </w:t>
      </w:r>
      <w:r w:rsidRPr="007742B3">
        <w:rPr>
          <w:color w:val="212121"/>
          <w:spacing w:val="3"/>
          <w:szCs w:val="24"/>
          <w:lang w:val="en-AU" w:eastAsia="en-AU"/>
        </w:rPr>
        <w:t xml:space="preserve">industry and two CASA executive </w:t>
      </w:r>
      <w:r>
        <w:rPr>
          <w:color w:val="212121"/>
          <w:spacing w:val="3"/>
          <w:szCs w:val="24"/>
          <w:lang w:val="en-AU" w:eastAsia="en-AU"/>
        </w:rPr>
        <w:t>managers</w:t>
      </w:r>
      <w:r w:rsidRPr="007742B3">
        <w:rPr>
          <w:color w:val="212121"/>
          <w:spacing w:val="3"/>
          <w:szCs w:val="24"/>
          <w:lang w:val="en-AU" w:eastAsia="en-AU"/>
        </w:rPr>
        <w:t>.</w:t>
      </w:r>
    </w:p>
    <w:p w14:paraId="4E52E19B" w14:textId="77777777" w:rsidR="00860F8E" w:rsidRPr="007742B3" w:rsidRDefault="00860F8E" w:rsidP="00860F8E">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 xml:space="preserve">The ASAP replaces most </w:t>
      </w:r>
      <w:r>
        <w:rPr>
          <w:color w:val="212121"/>
          <w:spacing w:val="3"/>
          <w:szCs w:val="24"/>
          <w:lang w:val="en-AU" w:eastAsia="en-AU"/>
        </w:rPr>
        <w:t>previous</w:t>
      </w:r>
      <w:r w:rsidRPr="007742B3">
        <w:rPr>
          <w:color w:val="212121"/>
          <w:spacing w:val="3"/>
          <w:szCs w:val="24"/>
          <w:lang w:val="en-AU" w:eastAsia="en-AU"/>
        </w:rPr>
        <w:t xml:space="preserve"> CASA consultative committees and forums and gives the aviation industry a much stronger independent framework for reviewing proposed policies and regulations and providing advice to the Director of Aviation Safety.</w:t>
      </w:r>
    </w:p>
    <w:p w14:paraId="5CA5C7C8" w14:textId="77777777" w:rsidR="00860F8E" w:rsidRPr="007742B3" w:rsidRDefault="00860F8E" w:rsidP="00860F8E">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 xml:space="preserve">At the first meeting, the panel ratified its terms of reference, which provide for the establishment of short-term technical working groups to review specific issues and proposals at the panel’s request. </w:t>
      </w:r>
    </w:p>
    <w:p w14:paraId="5EEE20A4" w14:textId="77777777" w:rsidR="00860F8E" w:rsidRPr="007742B3" w:rsidRDefault="00860F8E" w:rsidP="00860F8E">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A call for expressions of interest drew more than 500 responses from individuals across the industry</w:t>
      </w:r>
      <w:r>
        <w:rPr>
          <w:color w:val="212121"/>
          <w:spacing w:val="3"/>
          <w:szCs w:val="24"/>
          <w:lang w:val="en-AU" w:eastAsia="en-AU"/>
        </w:rPr>
        <w:t>,</w:t>
      </w:r>
      <w:r w:rsidRPr="007742B3">
        <w:rPr>
          <w:color w:val="212121"/>
          <w:spacing w:val="3"/>
          <w:szCs w:val="24"/>
          <w:lang w:val="en-AU" w:eastAsia="en-AU"/>
        </w:rPr>
        <w:t xml:space="preserve"> volunteering to be involved in technical working groups. During the year, the panel convened </w:t>
      </w:r>
      <w:r w:rsidRPr="00D21EE8">
        <w:rPr>
          <w:color w:val="212121"/>
          <w:spacing w:val="3"/>
          <w:szCs w:val="24"/>
          <w:lang w:val="en-AU" w:eastAsia="en-AU"/>
        </w:rPr>
        <w:t>four</w:t>
      </w:r>
      <w:r>
        <w:rPr>
          <w:color w:val="212121"/>
          <w:spacing w:val="3"/>
          <w:szCs w:val="24"/>
          <w:lang w:val="en-AU" w:eastAsia="en-AU"/>
        </w:rPr>
        <w:t xml:space="preserve"> technical</w:t>
      </w:r>
      <w:r w:rsidRPr="007742B3">
        <w:rPr>
          <w:color w:val="212121"/>
          <w:spacing w:val="3"/>
          <w:szCs w:val="24"/>
          <w:lang w:val="en-AU" w:eastAsia="en-AU"/>
        </w:rPr>
        <w:t xml:space="preserve"> working groups.</w:t>
      </w:r>
    </w:p>
    <w:p w14:paraId="70671D60" w14:textId="77777777" w:rsidR="00860F8E" w:rsidRPr="007742B3" w:rsidRDefault="00860F8E" w:rsidP="00860F8E">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 xml:space="preserve">Unlike previous consultative arrangements, the new approach gives industry far greater autonomy to ensure that proposed new policies or regulations are considered by the right experts from a whole-of-industry perspective and that consensus is sought on advice provided to CASA. </w:t>
      </w:r>
    </w:p>
    <w:p w14:paraId="3EDED7FF" w14:textId="77777777" w:rsidR="00860F8E" w:rsidRPr="007742B3" w:rsidRDefault="00860F8E" w:rsidP="00860F8E">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The framework also seeks to ensure that policy decisions are debated and settled ahead of any detailed work on either regulatory or non-regulatory approaches to safety issues.</w:t>
      </w:r>
    </w:p>
    <w:p w14:paraId="06112FAD" w14:textId="77777777" w:rsidR="00860F8E" w:rsidRPr="007742B3" w:rsidRDefault="00860F8E" w:rsidP="00860F8E">
      <w:pPr>
        <w:shd w:val="clear" w:color="auto" w:fill="FFFFFF"/>
        <w:spacing w:after="150"/>
        <w:textAlignment w:val="top"/>
        <w:rPr>
          <w:color w:val="212121"/>
          <w:spacing w:val="3"/>
          <w:szCs w:val="24"/>
          <w:lang w:val="en-AU" w:eastAsia="en-AU"/>
        </w:rPr>
      </w:pPr>
      <w:r w:rsidRPr="007742B3">
        <w:rPr>
          <w:color w:val="212121"/>
          <w:spacing w:val="3"/>
          <w:szCs w:val="24"/>
          <w:lang w:val="en-AU" w:eastAsia="en-AU"/>
        </w:rPr>
        <w:t xml:space="preserve">More information about the </w:t>
      </w:r>
      <w:r w:rsidRPr="007742B3">
        <w:rPr>
          <w:lang w:val="en-AU"/>
        </w:rPr>
        <w:t>ASAP</w:t>
      </w:r>
      <w:r w:rsidRPr="007742B3">
        <w:rPr>
          <w:spacing w:val="3"/>
          <w:szCs w:val="24"/>
          <w:lang w:val="en-AU" w:eastAsia="en-AU"/>
        </w:rPr>
        <w:t xml:space="preserve"> </w:t>
      </w:r>
      <w:r w:rsidRPr="007742B3">
        <w:rPr>
          <w:color w:val="212121"/>
          <w:spacing w:val="3"/>
          <w:szCs w:val="24"/>
          <w:lang w:val="en-AU" w:eastAsia="en-AU"/>
        </w:rPr>
        <w:t>and its technical working groups can be found on the CASA website. Minutes are made available after each meeting.</w:t>
      </w:r>
    </w:p>
    <w:p w14:paraId="305D29D5" w14:textId="63B7053B" w:rsidR="005626C0" w:rsidRPr="00687E4A" w:rsidRDefault="005626C0" w:rsidP="005626C0">
      <w:pPr>
        <w:pStyle w:val="Heading0noTOC"/>
        <w:rPr>
          <w:rFonts w:eastAsia="Times New Roman"/>
        </w:rPr>
      </w:pPr>
      <w:r w:rsidRPr="00687E4A">
        <w:t>Cameo</w:t>
      </w:r>
    </w:p>
    <w:bookmarkEnd w:id="98"/>
    <w:p w14:paraId="24B9F057" w14:textId="77777777" w:rsidR="00860F8E" w:rsidRPr="00E3350E" w:rsidRDefault="00860F8E" w:rsidP="00860F8E">
      <w:pPr>
        <w:pStyle w:val="Heading1noTOC"/>
        <w:rPr>
          <w:lang w:val="en-AU"/>
        </w:rPr>
      </w:pPr>
      <w:r w:rsidRPr="00E3350E">
        <w:rPr>
          <w:lang w:val="en-AU"/>
        </w:rPr>
        <w:t>New medical certification rules</w:t>
      </w:r>
    </w:p>
    <w:p w14:paraId="0C45FFF7" w14:textId="77777777" w:rsidR="00860F8E" w:rsidRPr="007742B3" w:rsidRDefault="00860F8E" w:rsidP="00860F8E">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 xml:space="preserve">In April 2018, CASA introduced changes to the assessment and issuing of Class 2 aviation medical certificates, giving designated aviation medical examiners (DAMEs) the </w:t>
      </w:r>
      <w:r>
        <w:rPr>
          <w:color w:val="212121"/>
          <w:spacing w:val="3"/>
          <w:szCs w:val="24"/>
          <w:lang w:val="en-AU" w:eastAsia="en-AU"/>
        </w:rPr>
        <w:t>power</w:t>
      </w:r>
      <w:r w:rsidRPr="007742B3">
        <w:rPr>
          <w:color w:val="212121"/>
          <w:spacing w:val="3"/>
          <w:szCs w:val="24"/>
          <w:lang w:val="en-AU" w:eastAsia="en-AU"/>
        </w:rPr>
        <w:t xml:space="preserve"> to issue on-the-spot medical certificates.</w:t>
      </w:r>
    </w:p>
    <w:p w14:paraId="74796FB5" w14:textId="77777777" w:rsidR="00860F8E" w:rsidRPr="007742B3" w:rsidRDefault="00860F8E" w:rsidP="00860F8E">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The changes allow DAMEs to take a greater role in decision-making and provide them with greater access to CASA’s medical record system.</w:t>
      </w:r>
    </w:p>
    <w:p w14:paraId="71BF6FCE" w14:textId="77777777" w:rsidR="00860F8E" w:rsidRPr="007742B3" w:rsidRDefault="00860F8E" w:rsidP="00860F8E">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An e-learning module developed to help DAMEs understand the changes includes topics such as conducting an aeromedical risk assessment, criteria for meeting the regulatory standard, complex case management guidelines</w:t>
      </w:r>
      <w:r>
        <w:rPr>
          <w:color w:val="212121"/>
          <w:spacing w:val="3"/>
          <w:szCs w:val="24"/>
          <w:lang w:val="en-AU" w:eastAsia="en-AU"/>
        </w:rPr>
        <w:t>,</w:t>
      </w:r>
      <w:r w:rsidRPr="007742B3">
        <w:rPr>
          <w:color w:val="212121"/>
          <w:spacing w:val="3"/>
          <w:szCs w:val="24"/>
          <w:lang w:val="en-AU" w:eastAsia="en-AU"/>
        </w:rPr>
        <w:t xml:space="preserve"> and appeal options. </w:t>
      </w:r>
    </w:p>
    <w:p w14:paraId="5831382E" w14:textId="77777777" w:rsidR="00860F8E" w:rsidRPr="007742B3" w:rsidRDefault="00860F8E" w:rsidP="00860F8E">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lastRenderedPageBreak/>
        <w:t xml:space="preserve">Successful completion of the module will give DAMEs the option to issue a </w:t>
      </w:r>
      <w:r>
        <w:rPr>
          <w:color w:val="212121"/>
          <w:spacing w:val="3"/>
          <w:szCs w:val="24"/>
          <w:lang w:val="en-AU" w:eastAsia="en-AU"/>
        </w:rPr>
        <w:t xml:space="preserve">Class 2 </w:t>
      </w:r>
      <w:r w:rsidRPr="007742B3">
        <w:rPr>
          <w:color w:val="212121"/>
          <w:spacing w:val="3"/>
          <w:szCs w:val="24"/>
          <w:lang w:val="en-AU" w:eastAsia="en-AU"/>
        </w:rPr>
        <w:t xml:space="preserve">medical certificate without referring it to CASA. </w:t>
      </w:r>
    </w:p>
    <w:p w14:paraId="734530C6" w14:textId="77777777" w:rsidR="00860F8E" w:rsidRPr="007742B3" w:rsidRDefault="00860F8E" w:rsidP="00860F8E">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 xml:space="preserve">DAMEs are still able to refer an application to CASA if they determine that </w:t>
      </w:r>
      <w:r>
        <w:rPr>
          <w:color w:val="212121"/>
          <w:spacing w:val="3"/>
          <w:szCs w:val="24"/>
          <w:lang w:val="en-AU" w:eastAsia="en-AU"/>
        </w:rPr>
        <w:t>CASA</w:t>
      </w:r>
      <w:r w:rsidRPr="007742B3">
        <w:rPr>
          <w:color w:val="212121"/>
          <w:spacing w:val="3"/>
          <w:szCs w:val="24"/>
          <w:lang w:val="en-AU" w:eastAsia="en-AU"/>
        </w:rPr>
        <w:t xml:space="preserve"> should assess the application, but giving </w:t>
      </w:r>
      <w:r>
        <w:rPr>
          <w:color w:val="212121"/>
          <w:spacing w:val="3"/>
          <w:szCs w:val="24"/>
          <w:lang w:val="en-AU" w:eastAsia="en-AU"/>
        </w:rPr>
        <w:t>medical examiner</w:t>
      </w:r>
      <w:r w:rsidRPr="007742B3">
        <w:rPr>
          <w:color w:val="212121"/>
          <w:spacing w:val="3"/>
          <w:szCs w:val="24"/>
          <w:lang w:val="en-AU" w:eastAsia="en-AU"/>
        </w:rPr>
        <w:t xml:space="preserve">s the ability to appropriately assess applications </w:t>
      </w:r>
      <w:r>
        <w:rPr>
          <w:color w:val="212121"/>
          <w:spacing w:val="3"/>
          <w:szCs w:val="24"/>
          <w:lang w:val="en-AU" w:eastAsia="en-AU"/>
        </w:rPr>
        <w:t>and issue a class 2 medical certificate</w:t>
      </w:r>
      <w:r w:rsidRPr="007742B3">
        <w:rPr>
          <w:color w:val="212121"/>
          <w:spacing w:val="3"/>
          <w:szCs w:val="24"/>
          <w:lang w:val="en-AU" w:eastAsia="en-AU"/>
        </w:rPr>
        <w:t xml:space="preserve"> as well as to conduct the examinations streamlines the process for both doctors and applicants.</w:t>
      </w:r>
    </w:p>
    <w:p w14:paraId="406D03A1" w14:textId="77777777" w:rsidR="00860F8E" w:rsidRPr="007742B3" w:rsidRDefault="00860F8E" w:rsidP="00860F8E">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Once a DAME has completed the e-learning, their access to CASA’s medical records system will be adjusted accordingly to enable the issue of certificates on the spot.</w:t>
      </w:r>
    </w:p>
    <w:p w14:paraId="31312050" w14:textId="77777777" w:rsidR="00860F8E" w:rsidRPr="007742B3" w:rsidRDefault="00860F8E" w:rsidP="00860F8E">
      <w:pPr>
        <w:shd w:val="clear" w:color="auto" w:fill="FFFFFF"/>
        <w:spacing w:before="120"/>
        <w:textAlignment w:val="top"/>
        <w:rPr>
          <w:color w:val="212121"/>
          <w:spacing w:val="3"/>
          <w:szCs w:val="24"/>
          <w:lang w:val="en-AU" w:eastAsia="en-AU"/>
        </w:rPr>
      </w:pPr>
      <w:r w:rsidRPr="007742B3">
        <w:rPr>
          <w:color w:val="212121"/>
          <w:spacing w:val="3"/>
          <w:szCs w:val="24"/>
          <w:lang w:val="en-AU" w:eastAsia="en-AU"/>
        </w:rPr>
        <w:t>The new Basic Class 2 medical certificate</w:t>
      </w:r>
      <w:r>
        <w:rPr>
          <w:color w:val="212121"/>
          <w:spacing w:val="3"/>
          <w:szCs w:val="24"/>
          <w:lang w:val="en-AU" w:eastAsia="en-AU"/>
        </w:rPr>
        <w:t>, which can be issued from 12 July 2018,</w:t>
      </w:r>
      <w:r w:rsidRPr="007742B3">
        <w:rPr>
          <w:color w:val="212121"/>
          <w:spacing w:val="3"/>
          <w:szCs w:val="24"/>
          <w:lang w:val="en-AU" w:eastAsia="en-AU"/>
        </w:rPr>
        <w:t xml:space="preserve"> allow</w:t>
      </w:r>
      <w:r>
        <w:rPr>
          <w:color w:val="212121"/>
          <w:spacing w:val="3"/>
          <w:szCs w:val="24"/>
          <w:lang w:val="en-AU" w:eastAsia="en-AU"/>
        </w:rPr>
        <w:t>s</w:t>
      </w:r>
      <w:r w:rsidRPr="007742B3">
        <w:rPr>
          <w:color w:val="212121"/>
          <w:spacing w:val="3"/>
          <w:szCs w:val="24"/>
          <w:lang w:val="en-AU" w:eastAsia="en-AU"/>
        </w:rPr>
        <w:t xml:space="preserve"> private pilots flying piston engine powered aircraft, carrying up to five non-fare-paying passengers, to be issued </w:t>
      </w:r>
      <w:r>
        <w:rPr>
          <w:color w:val="212121"/>
          <w:spacing w:val="3"/>
          <w:szCs w:val="24"/>
          <w:lang w:val="en-AU" w:eastAsia="en-AU"/>
        </w:rPr>
        <w:t xml:space="preserve">with </w:t>
      </w:r>
      <w:r w:rsidRPr="007742B3">
        <w:rPr>
          <w:color w:val="212121"/>
          <w:spacing w:val="3"/>
          <w:szCs w:val="24"/>
          <w:lang w:val="en-AU" w:eastAsia="en-AU"/>
        </w:rPr>
        <w:t xml:space="preserve">the certificate by </w:t>
      </w:r>
      <w:r>
        <w:rPr>
          <w:color w:val="212121"/>
          <w:spacing w:val="3"/>
          <w:szCs w:val="24"/>
          <w:lang w:val="en-AU" w:eastAsia="en-AU"/>
        </w:rPr>
        <w:t xml:space="preserve">CASA after being examined by </w:t>
      </w:r>
      <w:r w:rsidRPr="007742B3">
        <w:rPr>
          <w:color w:val="212121"/>
          <w:spacing w:val="3"/>
          <w:szCs w:val="24"/>
          <w:lang w:val="en-AU" w:eastAsia="en-AU"/>
        </w:rPr>
        <w:t xml:space="preserve">a general practitioner at a reduced cost. The certificate will be based on the Austroads commercial vehicle standards. </w:t>
      </w:r>
    </w:p>
    <w:p w14:paraId="44B17B53" w14:textId="77777777" w:rsidR="00860F8E" w:rsidRPr="007742B3" w:rsidRDefault="00860F8E" w:rsidP="00860F8E">
      <w:pPr>
        <w:rPr>
          <w:lang w:val="en-AU"/>
        </w:rPr>
      </w:pPr>
      <w:r w:rsidRPr="007742B3">
        <w:rPr>
          <w:color w:val="212121"/>
          <w:spacing w:val="3"/>
          <w:szCs w:val="24"/>
          <w:lang w:val="en-AU" w:eastAsia="en-AU"/>
        </w:rPr>
        <w:t>Operations in this new category will be limited to the visual flight rules and will be permitted in all classes of airspace except Class A.</w:t>
      </w:r>
    </w:p>
    <w:p w14:paraId="67D4E5F5" w14:textId="77777777" w:rsidR="00860F8E" w:rsidRPr="00E3350E" w:rsidRDefault="00860F8E" w:rsidP="00860F8E">
      <w:pPr>
        <w:rPr>
          <w:lang w:val="en-AU"/>
        </w:rPr>
      </w:pPr>
    </w:p>
    <w:p w14:paraId="6D86DACB" w14:textId="77777777" w:rsidR="00860F8E" w:rsidRPr="00053FD1" w:rsidRDefault="00860F8E" w:rsidP="00860F8E">
      <w:pPr>
        <w:sectPr w:rsidR="00860F8E" w:rsidRPr="00053FD1" w:rsidSect="001F77E0">
          <w:pgSz w:w="11906" w:h="16838" w:code="9"/>
          <w:pgMar w:top="1440" w:right="1440" w:bottom="1440" w:left="1440" w:header="709" w:footer="709" w:gutter="0"/>
          <w:cols w:space="708"/>
          <w:docGrid w:linePitch="360"/>
        </w:sectPr>
      </w:pPr>
    </w:p>
    <w:p w14:paraId="69848213" w14:textId="77777777" w:rsidR="00860F8E" w:rsidRPr="00053FD1" w:rsidRDefault="00860F8E" w:rsidP="00860F8E">
      <w:pPr>
        <w:pStyle w:val="Heading0Part"/>
      </w:pPr>
      <w:bookmarkStart w:id="99" w:name="_Toc267471739"/>
      <w:bookmarkStart w:id="100" w:name="_Toc267485901"/>
      <w:bookmarkStart w:id="101" w:name="_Toc306031131"/>
      <w:bookmarkStart w:id="102" w:name="_Toc522537162"/>
      <w:bookmarkStart w:id="103" w:name="_Toc523924887"/>
      <w:r w:rsidRPr="00053FD1">
        <w:lastRenderedPageBreak/>
        <w:t>Part 4: Other accountability reporting</w:t>
      </w:r>
      <w:bookmarkEnd w:id="99"/>
      <w:bookmarkEnd w:id="100"/>
      <w:bookmarkEnd w:id="101"/>
      <w:bookmarkEnd w:id="102"/>
      <w:bookmarkEnd w:id="103"/>
    </w:p>
    <w:p w14:paraId="1B7EF523" w14:textId="77777777" w:rsidR="00860F8E" w:rsidRPr="00053FD1" w:rsidRDefault="00860F8E" w:rsidP="00860F8E">
      <w:r w:rsidRPr="00053FD1">
        <w:t>As a corporate Commonwealth entity, CASA is accountable to the Minister, the Australian Parliament and the Australian people. This part of the report provides information to satisfy the reporting requirements of a range of Commonwealth legislation and Australian Government policies that relate to CASA’s performance.</w:t>
      </w:r>
    </w:p>
    <w:p w14:paraId="708EF835" w14:textId="77777777" w:rsidR="00860F8E" w:rsidRPr="00E3350E" w:rsidRDefault="00860F8E" w:rsidP="00860F8E">
      <w:pPr>
        <w:rPr>
          <w:lang w:val="en-AU"/>
        </w:rPr>
      </w:pPr>
      <w:r w:rsidRPr="00E3350E">
        <w:rPr>
          <w:lang w:val="en-AU"/>
        </w:rPr>
        <w:t>In this part:</w:t>
      </w:r>
    </w:p>
    <w:p w14:paraId="37D507CF" w14:textId="77777777" w:rsidR="00C158FE" w:rsidRDefault="00C158FE" w:rsidP="00860F8E">
      <w:pPr>
        <w:pStyle w:val="Bullet"/>
      </w:pPr>
      <w:r>
        <w:t>Compliance with finance law</w:t>
      </w:r>
    </w:p>
    <w:p w14:paraId="0299621A" w14:textId="77777777" w:rsidR="000B1795" w:rsidRDefault="000B1795" w:rsidP="00860F8E">
      <w:pPr>
        <w:pStyle w:val="Bullet"/>
      </w:pPr>
      <w:r>
        <w:t>Significant activities and changes</w:t>
      </w:r>
    </w:p>
    <w:p w14:paraId="51552103" w14:textId="77777777" w:rsidR="00860F8E" w:rsidRPr="00053FD1" w:rsidRDefault="00860F8E" w:rsidP="00860F8E">
      <w:pPr>
        <w:pStyle w:val="Bullet"/>
      </w:pPr>
      <w:r w:rsidRPr="00053FD1">
        <w:t>Freedom of information</w:t>
      </w:r>
    </w:p>
    <w:p w14:paraId="49E05851" w14:textId="77777777" w:rsidR="00860F8E" w:rsidRPr="00053FD1" w:rsidRDefault="00860F8E" w:rsidP="00860F8E">
      <w:pPr>
        <w:pStyle w:val="Bullet"/>
      </w:pPr>
      <w:r w:rsidRPr="00053FD1">
        <w:t>Enforcement actions</w:t>
      </w:r>
    </w:p>
    <w:p w14:paraId="3EA8FF4E" w14:textId="77777777" w:rsidR="00860F8E" w:rsidRPr="00053FD1" w:rsidRDefault="00860F8E" w:rsidP="00860F8E">
      <w:pPr>
        <w:pStyle w:val="Bullet"/>
      </w:pPr>
      <w:r w:rsidRPr="00053FD1">
        <w:t>Environmental sustainability performance</w:t>
      </w:r>
    </w:p>
    <w:p w14:paraId="7457320B" w14:textId="77777777" w:rsidR="00860F8E" w:rsidRPr="00053FD1" w:rsidRDefault="00860F8E" w:rsidP="00860F8E">
      <w:pPr>
        <w:pStyle w:val="Bullet"/>
      </w:pPr>
      <w:r w:rsidRPr="00053FD1">
        <w:t>Purchasing</w:t>
      </w:r>
    </w:p>
    <w:p w14:paraId="5027C09D" w14:textId="77777777" w:rsidR="00860F8E" w:rsidRPr="00053FD1" w:rsidRDefault="00860F8E" w:rsidP="00860F8E">
      <w:pPr>
        <w:pStyle w:val="Bullet"/>
      </w:pPr>
      <w:r w:rsidRPr="00053FD1">
        <w:t>Advertising</w:t>
      </w:r>
    </w:p>
    <w:p w14:paraId="2015212D" w14:textId="77777777" w:rsidR="00860F8E" w:rsidRPr="00053FD1" w:rsidRDefault="00860F8E" w:rsidP="00860F8E">
      <w:pPr>
        <w:pStyle w:val="Bullet"/>
      </w:pPr>
      <w:r w:rsidRPr="00053FD1">
        <w:t>Sponsorships and grants</w:t>
      </w:r>
    </w:p>
    <w:p w14:paraId="65A68287" w14:textId="77777777" w:rsidR="00860F8E" w:rsidRPr="00053FD1" w:rsidRDefault="00860F8E" w:rsidP="00860F8E">
      <w:pPr>
        <w:pStyle w:val="Bullet"/>
      </w:pPr>
      <w:r w:rsidRPr="00053FD1">
        <w:t>Consultancy services</w:t>
      </w:r>
    </w:p>
    <w:p w14:paraId="3FEA6450" w14:textId="77777777" w:rsidR="00860F8E" w:rsidRPr="00053FD1" w:rsidRDefault="00860F8E" w:rsidP="00860F8E">
      <w:pPr>
        <w:pStyle w:val="Bullet"/>
      </w:pPr>
      <w:r w:rsidRPr="00053FD1">
        <w:t>Related entity transactions</w:t>
      </w:r>
    </w:p>
    <w:p w14:paraId="1E1720CA" w14:textId="77777777" w:rsidR="00860F8E" w:rsidRPr="00053FD1" w:rsidRDefault="00860F8E" w:rsidP="00860F8E">
      <w:pPr>
        <w:pStyle w:val="Bullet"/>
      </w:pPr>
      <w:bookmarkStart w:id="104" w:name="_Toc267471740"/>
      <w:bookmarkStart w:id="105" w:name="_Toc267485902"/>
      <w:bookmarkStart w:id="106" w:name="_Toc268006410"/>
      <w:r w:rsidRPr="00053FD1">
        <w:t>Insurance and indemnities</w:t>
      </w:r>
    </w:p>
    <w:p w14:paraId="7851A30C" w14:textId="1799871A" w:rsidR="00C158FE" w:rsidRPr="00AA6995" w:rsidRDefault="00C158FE" w:rsidP="00AA6995">
      <w:pPr>
        <w:pStyle w:val="Heading1"/>
      </w:pPr>
      <w:bookmarkStart w:id="107" w:name="significantevents"/>
      <w:bookmarkStart w:id="108" w:name="_Toc522537163"/>
      <w:bookmarkStart w:id="109" w:name="_Toc522537164"/>
      <w:bookmarkStart w:id="110" w:name="_Toc523924888"/>
      <w:bookmarkEnd w:id="104"/>
      <w:bookmarkEnd w:id="105"/>
      <w:bookmarkEnd w:id="106"/>
      <w:bookmarkEnd w:id="107"/>
      <w:r w:rsidRPr="00AA6995">
        <w:t>Compliance with finance law</w:t>
      </w:r>
    </w:p>
    <w:p w14:paraId="6EE8F001" w14:textId="77777777" w:rsidR="00C158FE" w:rsidRDefault="00C158FE" w:rsidP="00C158FE">
      <w:r w:rsidRPr="0058589A">
        <w:t>Section 17BE(</w:t>
      </w:r>
      <w:r>
        <w:t>h</w:t>
      </w:r>
      <w:r w:rsidRPr="0058589A">
        <w:t xml:space="preserve">) of the </w:t>
      </w:r>
      <w:r w:rsidRPr="0058589A">
        <w:rPr>
          <w:iCs/>
        </w:rPr>
        <w:t>Public Governance, Performance and Accountability Rule 2014 requires corporate Commonwealth entities to report on any instances of significant</w:t>
      </w:r>
      <w:r>
        <w:rPr>
          <w:iCs/>
        </w:rPr>
        <w:t xml:space="preserve"> noncompliance with finance law during the financial year.</w:t>
      </w:r>
    </w:p>
    <w:p w14:paraId="794C3EE3" w14:textId="77777777" w:rsidR="00C158FE" w:rsidRDefault="00C158FE" w:rsidP="00C158FE">
      <w:r>
        <w:t>CASA had no significant issues to report to the Minister in relation to noncompliance with finance law in 2017–18.</w:t>
      </w:r>
    </w:p>
    <w:p w14:paraId="7D157349" w14:textId="77777777" w:rsidR="00C158FE" w:rsidRPr="00AA6995" w:rsidRDefault="00C158FE" w:rsidP="00AA6995">
      <w:pPr>
        <w:pStyle w:val="Heading1"/>
      </w:pPr>
      <w:r w:rsidRPr="00AA6995">
        <w:t>Significant activities and changes</w:t>
      </w:r>
      <w:bookmarkEnd w:id="108"/>
    </w:p>
    <w:p w14:paraId="3AF4BC38" w14:textId="77777777" w:rsidR="00C158FE" w:rsidRPr="0058589A" w:rsidRDefault="00C158FE" w:rsidP="00C158FE">
      <w:pPr>
        <w:rPr>
          <w:iCs/>
        </w:rPr>
      </w:pPr>
      <w:r w:rsidRPr="0058589A">
        <w:rPr>
          <w:iCs/>
        </w:rPr>
        <w:t>Section 17BE(p) of the Public Governance, Performance and Accountability Rule 2014 requires corporate Commonwealth entities to report on significant activities and changes that affected their operations or structure during the financial year.</w:t>
      </w:r>
    </w:p>
    <w:p w14:paraId="59E57E31" w14:textId="77777777" w:rsidR="00C158FE" w:rsidRPr="0058589A" w:rsidRDefault="00C158FE" w:rsidP="00C158FE">
      <w:pPr>
        <w:rPr>
          <w:iCs/>
        </w:rPr>
      </w:pPr>
      <w:r w:rsidRPr="0058589A">
        <w:rPr>
          <w:iCs/>
        </w:rPr>
        <w:t>Reportable events include significant changes to the operational and financial results of the authority; the authority’s state of affairs or principal activities; or the authority’s enabling legislation or any other directly relevant legislation.</w:t>
      </w:r>
    </w:p>
    <w:p w14:paraId="54271370" w14:textId="77777777" w:rsidR="00C158FE" w:rsidRPr="00C158FE" w:rsidRDefault="00C158FE" w:rsidP="00C158FE">
      <w:pPr>
        <w:pStyle w:val="Heading1"/>
        <w:rPr>
          <w:rFonts w:ascii="Cambria" w:hAnsi="Cambria"/>
          <w:b w:val="0"/>
          <w:color w:val="auto"/>
          <w:sz w:val="24"/>
          <w:szCs w:val="24"/>
          <w:lang w:val="en-GB"/>
        </w:rPr>
      </w:pPr>
      <w:r w:rsidRPr="00C158FE">
        <w:rPr>
          <w:rFonts w:ascii="Cambria" w:hAnsi="Cambria"/>
          <w:b w:val="0"/>
          <w:iCs/>
          <w:color w:val="auto"/>
          <w:sz w:val="24"/>
          <w:szCs w:val="24"/>
        </w:rPr>
        <w:t xml:space="preserve">In 2017–18, CASA’s organisational structure was refreshed and the Service Delivery Transformation program was introduced, </w:t>
      </w:r>
      <w:r w:rsidRPr="00C158FE">
        <w:rPr>
          <w:rFonts w:ascii="Cambria" w:hAnsi="Cambria"/>
          <w:b w:val="0"/>
          <w:color w:val="auto"/>
          <w:sz w:val="24"/>
          <w:szCs w:val="24"/>
        </w:rPr>
        <w:t>to meet evolving regulatory demands and improve the delivery of CASA outcomes and government priorities. CASA had no other significant events to report.</w:t>
      </w:r>
    </w:p>
    <w:p w14:paraId="7A219044" w14:textId="77777777" w:rsidR="00860F8E" w:rsidRPr="00E3350E" w:rsidRDefault="00860F8E" w:rsidP="00860F8E">
      <w:pPr>
        <w:pStyle w:val="Heading1"/>
        <w:rPr>
          <w:lang w:val="en-AU"/>
        </w:rPr>
      </w:pPr>
      <w:r w:rsidRPr="00E3350E">
        <w:rPr>
          <w:lang w:val="en-AU"/>
        </w:rPr>
        <w:t>Freedom of information</w:t>
      </w:r>
      <w:bookmarkEnd w:id="109"/>
      <w:bookmarkEnd w:id="110"/>
    </w:p>
    <w:p w14:paraId="74A88613" w14:textId="77777777" w:rsidR="00860F8E" w:rsidRPr="00E3350E" w:rsidRDefault="00860F8E" w:rsidP="00860F8E">
      <w:pPr>
        <w:rPr>
          <w:lang w:val="en-AU"/>
        </w:rPr>
      </w:pPr>
      <w:r w:rsidRPr="00E3350E">
        <w:rPr>
          <w:lang w:val="en-AU"/>
        </w:rPr>
        <w:t xml:space="preserve">The </w:t>
      </w:r>
      <w:r w:rsidRPr="00E3350E">
        <w:rPr>
          <w:i/>
          <w:iCs/>
          <w:lang w:val="en-AU"/>
        </w:rPr>
        <w:t xml:space="preserve">Freedom of Information Act 1982 </w:t>
      </w:r>
      <w:r w:rsidRPr="00E3350E">
        <w:rPr>
          <w:lang w:val="en-AU"/>
        </w:rPr>
        <w:t xml:space="preserve">requires CASA to publish information as part of the Information Publication Scheme. </w:t>
      </w:r>
    </w:p>
    <w:p w14:paraId="002C6D09" w14:textId="77777777" w:rsidR="00860F8E" w:rsidRPr="00E3350E" w:rsidRDefault="00860F8E" w:rsidP="00860F8E">
      <w:pPr>
        <w:rPr>
          <w:lang w:val="en-AU"/>
        </w:rPr>
      </w:pPr>
      <w:r w:rsidRPr="00E3350E">
        <w:rPr>
          <w:lang w:val="en-AU"/>
        </w:rPr>
        <w:lastRenderedPageBreak/>
        <w:t xml:space="preserve">An agency plan showing what information is published in accordance with the Information Publication Scheme requirements is accessible from </w:t>
      </w:r>
      <w:r>
        <w:rPr>
          <w:lang w:val="en-AU"/>
        </w:rPr>
        <w:t>our</w:t>
      </w:r>
      <w:r w:rsidRPr="00E3350E">
        <w:rPr>
          <w:lang w:val="en-AU"/>
        </w:rPr>
        <w:t xml:space="preserve"> website.</w:t>
      </w:r>
    </w:p>
    <w:p w14:paraId="435F9590" w14:textId="77777777" w:rsidR="00860F8E" w:rsidRPr="00E3350E" w:rsidRDefault="00860F8E" w:rsidP="00860F8E">
      <w:pPr>
        <w:pStyle w:val="Heading1"/>
        <w:rPr>
          <w:lang w:val="en-AU"/>
        </w:rPr>
      </w:pPr>
      <w:bookmarkStart w:id="111" w:name="_Toc522537165"/>
      <w:bookmarkStart w:id="112" w:name="_Toc523924889"/>
      <w:bookmarkStart w:id="113" w:name="_Toc267471743"/>
      <w:bookmarkStart w:id="114" w:name="_Toc267485905"/>
      <w:bookmarkStart w:id="115" w:name="_Toc268006413"/>
      <w:r w:rsidRPr="00E3350E">
        <w:rPr>
          <w:lang w:val="en-AU"/>
        </w:rPr>
        <w:t>Enforcement actions</w:t>
      </w:r>
      <w:bookmarkEnd w:id="111"/>
      <w:bookmarkEnd w:id="112"/>
    </w:p>
    <w:p w14:paraId="44F97DFF" w14:textId="77777777" w:rsidR="00860F8E" w:rsidRPr="00E3350E" w:rsidRDefault="00860F8E" w:rsidP="00860F8E">
      <w:pPr>
        <w:rPr>
          <w:lang w:val="en-AU"/>
        </w:rPr>
      </w:pPr>
      <w:r w:rsidRPr="00E3350E">
        <w:rPr>
          <w:lang w:val="en-AU"/>
        </w:rPr>
        <w:t>The coordinated enforcement process provides CASA’s decision-makers with the benefit of legal, regulatory and technical and/or operational input when considering action that might be taken as a result of a breach of the civil aviation legislation.</w:t>
      </w:r>
    </w:p>
    <w:p w14:paraId="326368D8" w14:textId="77777777" w:rsidR="00860F8E" w:rsidRPr="00E3350E" w:rsidRDefault="00860F8E" w:rsidP="00860F8E">
      <w:pPr>
        <w:rPr>
          <w:lang w:val="en-AU"/>
        </w:rPr>
      </w:pPr>
      <w:r w:rsidRPr="00E3350E">
        <w:rPr>
          <w:lang w:val="en-AU"/>
        </w:rPr>
        <w:t xml:space="preserve">Results of this process may include compliance-related action, enforcement action, or both. This may involve administrative action, which could result in a suspension, variation or cancellation of a civil aviation authorisation. It may also include a suspension under section 30DC of the </w:t>
      </w:r>
      <w:r w:rsidRPr="009E7693">
        <w:rPr>
          <w:i/>
        </w:rPr>
        <w:t>Civil Aviation Act</w:t>
      </w:r>
      <w:r w:rsidRPr="009E7693">
        <w:rPr>
          <w:i/>
          <w:lang w:val="en-AU"/>
        </w:rPr>
        <w:t xml:space="preserve"> </w:t>
      </w:r>
      <w:r w:rsidRPr="00E3350E">
        <w:rPr>
          <w:i/>
          <w:lang w:val="en-AU"/>
        </w:rPr>
        <w:t>1988</w:t>
      </w:r>
      <w:r w:rsidRPr="00E3350E">
        <w:rPr>
          <w:lang w:val="en-AU"/>
        </w:rPr>
        <w:t xml:space="preserve"> where there is a serious and imminent risk to safety. Alternatively, or in combination with such action, </w:t>
      </w:r>
      <w:r>
        <w:rPr>
          <w:lang w:val="en-AU"/>
        </w:rPr>
        <w:t>we</w:t>
      </w:r>
      <w:r w:rsidRPr="00E3350E">
        <w:rPr>
          <w:lang w:val="en-AU"/>
        </w:rPr>
        <w:t xml:space="preserve"> may issue </w:t>
      </w:r>
      <w:r>
        <w:rPr>
          <w:lang w:val="en-AU"/>
        </w:rPr>
        <w:t>a</w:t>
      </w:r>
      <w:r w:rsidRPr="00E3350E">
        <w:rPr>
          <w:lang w:val="en-AU"/>
        </w:rPr>
        <w:t xml:space="preserve">viation </w:t>
      </w:r>
      <w:r>
        <w:rPr>
          <w:lang w:val="en-AU"/>
        </w:rPr>
        <w:t>i</w:t>
      </w:r>
      <w:r w:rsidRPr="00E3350E">
        <w:rPr>
          <w:lang w:val="en-AU"/>
        </w:rPr>
        <w:t xml:space="preserve">nfringement </w:t>
      </w:r>
      <w:r>
        <w:rPr>
          <w:lang w:val="en-AU"/>
        </w:rPr>
        <w:t>n</w:t>
      </w:r>
      <w:r w:rsidRPr="00E3350E">
        <w:rPr>
          <w:lang w:val="en-AU"/>
        </w:rPr>
        <w:t>otices attracting a small pecuniary fine or refer matters to the Commonwealth Director of Public Prosecutions.</w:t>
      </w:r>
    </w:p>
    <w:p w14:paraId="2AB9EBB4" w14:textId="77777777" w:rsidR="00860F8E" w:rsidRPr="00E3350E" w:rsidRDefault="00860F8E" w:rsidP="00860F8E">
      <w:pPr>
        <w:rPr>
          <w:lang w:val="en-AU"/>
        </w:rPr>
      </w:pPr>
      <w:r>
        <w:rPr>
          <w:lang w:val="en-AU"/>
        </w:rPr>
        <w:t>We</w:t>
      </w:r>
      <w:r w:rsidRPr="00E3350E">
        <w:rPr>
          <w:lang w:val="en-AU"/>
        </w:rPr>
        <w:t xml:space="preserve"> may also accept enforceable voluntary undertakings from individuals and companies, or may counsel them, depending on the circumstances of the breach and the appropriateness of doing so. In many cases, however, the coordinated enforcement process may result in a recommendation that no enforcement action be taken.</w:t>
      </w:r>
    </w:p>
    <w:p w14:paraId="39942BF0" w14:textId="77777777" w:rsidR="00860F8E" w:rsidRPr="00E3350E" w:rsidRDefault="00860F8E" w:rsidP="00860F8E">
      <w:pPr>
        <w:rPr>
          <w:lang w:val="en-AU"/>
        </w:rPr>
      </w:pPr>
      <w:r w:rsidRPr="00E3350E">
        <w:rPr>
          <w:lang w:val="en-AU"/>
        </w:rPr>
        <w:t xml:space="preserve">Table </w:t>
      </w:r>
      <w:r w:rsidR="003C4D63">
        <w:rPr>
          <w:lang w:val="en-AU"/>
        </w:rPr>
        <w:t>1</w:t>
      </w:r>
      <w:r w:rsidR="00BF2702">
        <w:rPr>
          <w:lang w:val="en-AU"/>
        </w:rPr>
        <w:t>6</w:t>
      </w:r>
      <w:r w:rsidRPr="00E3350E">
        <w:rPr>
          <w:lang w:val="en-AU"/>
        </w:rPr>
        <w:t xml:space="preserve"> shows compliance-related actions over the past five financial years</w:t>
      </w:r>
      <w:r w:rsidRPr="00E3350E">
        <w:rPr>
          <w:rFonts w:ascii="Arial Narrow" w:hAnsi="Arial Narrow"/>
          <w:lang w:val="en-AU"/>
        </w:rPr>
        <w:t>.</w:t>
      </w:r>
    </w:p>
    <w:p w14:paraId="04665DF9" w14:textId="77777777" w:rsidR="00860F8E" w:rsidRPr="00E3350E" w:rsidRDefault="00860F8E" w:rsidP="00860F8E">
      <w:pPr>
        <w:keepNext/>
        <w:spacing w:before="180" w:after="240"/>
        <w:ind w:left="1440" w:hanging="1440"/>
        <w:rPr>
          <w:rFonts w:ascii="Arial Narrow" w:hAnsi="Arial Narrow"/>
          <w:b/>
          <w:color w:val="0099CC"/>
          <w:sz w:val="22"/>
          <w:szCs w:val="22"/>
          <w:u w:color="0099CC"/>
          <w:lang w:val="en-AU"/>
        </w:rPr>
      </w:pPr>
      <w:r w:rsidRPr="00E35B2E">
        <w:rPr>
          <w:rFonts w:ascii="Arial Narrow" w:hAnsi="Arial Narrow"/>
          <w:b/>
          <w:color w:val="4472C4" w:themeColor="accent1"/>
          <w:sz w:val="22"/>
          <w:szCs w:val="22"/>
          <w:u w:color="0099CC"/>
          <w:lang w:val="en-AU"/>
        </w:rPr>
        <w:t>Table 1</w:t>
      </w:r>
      <w:r w:rsidR="00BF2702" w:rsidRPr="00E35B2E">
        <w:rPr>
          <w:rFonts w:ascii="Arial Narrow" w:hAnsi="Arial Narrow"/>
          <w:b/>
          <w:color w:val="4472C4" w:themeColor="accent1"/>
          <w:sz w:val="22"/>
          <w:szCs w:val="22"/>
          <w:u w:color="0099CC"/>
          <w:lang w:val="en-AU"/>
        </w:rPr>
        <w:t>6</w:t>
      </w:r>
      <w:r w:rsidRPr="00E35B2E">
        <w:rPr>
          <w:rFonts w:ascii="Arial Narrow" w:hAnsi="Arial Narrow"/>
          <w:b/>
          <w:color w:val="4472C4" w:themeColor="accent1"/>
          <w:sz w:val="22"/>
          <w:szCs w:val="22"/>
          <w:u w:color="0099CC"/>
          <w:lang w:val="en-AU"/>
        </w:rPr>
        <w:tab/>
        <w:t>Compliance-related actions, 2013–14 to 2017–18</w:t>
      </w: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10"/>
        <w:gridCol w:w="1110"/>
        <w:gridCol w:w="1110"/>
        <w:gridCol w:w="1110"/>
        <w:gridCol w:w="1110"/>
      </w:tblGrid>
      <w:tr w:rsidR="00860F8E" w:rsidRPr="00E3350E" w14:paraId="4F1A34E2" w14:textId="77777777" w:rsidTr="008E2A9C">
        <w:trPr>
          <w:tblHeader/>
        </w:trPr>
        <w:tc>
          <w:tcPr>
            <w:tcW w:w="3261" w:type="dxa"/>
            <w:hideMark/>
          </w:tcPr>
          <w:p w14:paraId="662FCD61" w14:textId="77777777" w:rsidR="00860F8E" w:rsidRPr="00E3350E" w:rsidRDefault="00860F8E" w:rsidP="00EF6063">
            <w:pPr>
              <w:pStyle w:val="TableHeading"/>
              <w:rPr>
                <w:lang w:val="en-AU"/>
              </w:rPr>
            </w:pPr>
            <w:r w:rsidRPr="00E3350E">
              <w:rPr>
                <w:lang w:val="en-AU"/>
              </w:rPr>
              <w:t>Action</w:t>
            </w:r>
          </w:p>
        </w:tc>
        <w:tc>
          <w:tcPr>
            <w:tcW w:w="1110" w:type="dxa"/>
          </w:tcPr>
          <w:p w14:paraId="52E6FDB8" w14:textId="77777777" w:rsidR="00860F8E" w:rsidRPr="00E3350E" w:rsidRDefault="00860F8E" w:rsidP="00EF6063">
            <w:pPr>
              <w:pStyle w:val="TableHeading"/>
              <w:jc w:val="right"/>
              <w:rPr>
                <w:lang w:val="en-AU"/>
              </w:rPr>
            </w:pPr>
            <w:r w:rsidRPr="00E3350E">
              <w:rPr>
                <w:lang w:val="en-AU"/>
              </w:rPr>
              <w:t>2013–14</w:t>
            </w:r>
          </w:p>
        </w:tc>
        <w:tc>
          <w:tcPr>
            <w:tcW w:w="1110" w:type="dxa"/>
          </w:tcPr>
          <w:p w14:paraId="02A062E0" w14:textId="77777777" w:rsidR="00860F8E" w:rsidRPr="00E3350E" w:rsidRDefault="00860F8E" w:rsidP="00EF6063">
            <w:pPr>
              <w:pStyle w:val="TableHeading"/>
              <w:jc w:val="right"/>
              <w:rPr>
                <w:lang w:val="en-AU"/>
              </w:rPr>
            </w:pPr>
            <w:r w:rsidRPr="00E3350E">
              <w:rPr>
                <w:lang w:val="en-AU"/>
              </w:rPr>
              <w:t>2014–15</w:t>
            </w:r>
          </w:p>
        </w:tc>
        <w:tc>
          <w:tcPr>
            <w:tcW w:w="1110" w:type="dxa"/>
          </w:tcPr>
          <w:p w14:paraId="5DFDD57C" w14:textId="77777777" w:rsidR="00860F8E" w:rsidRPr="00E3350E" w:rsidRDefault="00860F8E" w:rsidP="00EF6063">
            <w:pPr>
              <w:pStyle w:val="TableHeading"/>
              <w:jc w:val="right"/>
              <w:rPr>
                <w:lang w:val="en-AU"/>
              </w:rPr>
            </w:pPr>
            <w:r w:rsidRPr="00E3350E">
              <w:rPr>
                <w:lang w:val="en-AU"/>
              </w:rPr>
              <w:t>2015–16</w:t>
            </w:r>
          </w:p>
        </w:tc>
        <w:tc>
          <w:tcPr>
            <w:tcW w:w="1110" w:type="dxa"/>
          </w:tcPr>
          <w:p w14:paraId="6DF3D308" w14:textId="77777777" w:rsidR="00860F8E" w:rsidRPr="00E3350E" w:rsidRDefault="00860F8E" w:rsidP="00EF6063">
            <w:pPr>
              <w:pStyle w:val="TableHeading"/>
              <w:jc w:val="right"/>
              <w:rPr>
                <w:lang w:val="en-AU"/>
              </w:rPr>
            </w:pPr>
            <w:r w:rsidRPr="00E3350E">
              <w:rPr>
                <w:lang w:val="en-AU"/>
              </w:rPr>
              <w:t>2016–17</w:t>
            </w:r>
          </w:p>
        </w:tc>
        <w:tc>
          <w:tcPr>
            <w:tcW w:w="1110" w:type="dxa"/>
          </w:tcPr>
          <w:p w14:paraId="3DF3DAB5" w14:textId="77777777" w:rsidR="00860F8E" w:rsidRPr="00E3350E" w:rsidRDefault="00860F8E" w:rsidP="00EF6063">
            <w:pPr>
              <w:pStyle w:val="TableHeading"/>
              <w:jc w:val="right"/>
              <w:rPr>
                <w:lang w:val="en-AU"/>
              </w:rPr>
            </w:pPr>
            <w:r w:rsidRPr="00E3350E">
              <w:rPr>
                <w:lang w:val="en-AU"/>
              </w:rPr>
              <w:t>2017–18</w:t>
            </w:r>
          </w:p>
        </w:tc>
      </w:tr>
      <w:tr w:rsidR="00860F8E" w:rsidRPr="00E3350E" w14:paraId="586AB519" w14:textId="77777777" w:rsidTr="008E2A9C">
        <w:tc>
          <w:tcPr>
            <w:tcW w:w="3261" w:type="dxa"/>
            <w:hideMark/>
          </w:tcPr>
          <w:p w14:paraId="3B6BA7DB" w14:textId="77777777" w:rsidR="00860F8E" w:rsidRPr="00E3350E" w:rsidRDefault="00860F8E" w:rsidP="00EF6063">
            <w:pPr>
              <w:pStyle w:val="TableText"/>
              <w:rPr>
                <w:lang w:val="en-AU"/>
              </w:rPr>
            </w:pPr>
            <w:r w:rsidRPr="00E3350E">
              <w:rPr>
                <w:lang w:val="en-AU"/>
              </w:rPr>
              <w:t>Enforceable voluntary undertakings</w:t>
            </w:r>
          </w:p>
        </w:tc>
        <w:tc>
          <w:tcPr>
            <w:tcW w:w="1110" w:type="dxa"/>
          </w:tcPr>
          <w:p w14:paraId="2C1349A9" w14:textId="77777777" w:rsidR="00860F8E" w:rsidRPr="00E3350E" w:rsidRDefault="00860F8E" w:rsidP="00EF6063">
            <w:pPr>
              <w:pStyle w:val="TableTextRightAlign"/>
              <w:rPr>
                <w:lang w:val="en-AU"/>
              </w:rPr>
            </w:pPr>
            <w:r w:rsidRPr="00E3350E">
              <w:rPr>
                <w:lang w:val="en-AU"/>
              </w:rPr>
              <w:t>0</w:t>
            </w:r>
          </w:p>
        </w:tc>
        <w:tc>
          <w:tcPr>
            <w:tcW w:w="1110" w:type="dxa"/>
          </w:tcPr>
          <w:p w14:paraId="7AFDAEB5" w14:textId="77777777" w:rsidR="00860F8E" w:rsidRPr="00E3350E" w:rsidRDefault="00860F8E" w:rsidP="00EF6063">
            <w:pPr>
              <w:pStyle w:val="TableTextRightAlign"/>
              <w:rPr>
                <w:lang w:val="en-AU"/>
              </w:rPr>
            </w:pPr>
            <w:r w:rsidRPr="00E3350E">
              <w:rPr>
                <w:lang w:val="en-AU"/>
              </w:rPr>
              <w:t>0</w:t>
            </w:r>
          </w:p>
        </w:tc>
        <w:tc>
          <w:tcPr>
            <w:tcW w:w="1110" w:type="dxa"/>
          </w:tcPr>
          <w:p w14:paraId="71245F8B" w14:textId="77777777" w:rsidR="00860F8E" w:rsidRPr="00E3350E" w:rsidRDefault="00860F8E" w:rsidP="00EF6063">
            <w:pPr>
              <w:pStyle w:val="TableTextRightAlign"/>
              <w:rPr>
                <w:lang w:val="en-AU"/>
              </w:rPr>
            </w:pPr>
            <w:r w:rsidRPr="00E3350E">
              <w:rPr>
                <w:lang w:val="en-AU"/>
              </w:rPr>
              <w:t>1</w:t>
            </w:r>
          </w:p>
        </w:tc>
        <w:tc>
          <w:tcPr>
            <w:tcW w:w="1110" w:type="dxa"/>
          </w:tcPr>
          <w:p w14:paraId="1B725933" w14:textId="77777777" w:rsidR="00860F8E" w:rsidRPr="00E3350E" w:rsidRDefault="00860F8E" w:rsidP="00EF6063">
            <w:pPr>
              <w:pStyle w:val="TableTextRightAlign"/>
              <w:rPr>
                <w:lang w:val="en-AU"/>
              </w:rPr>
            </w:pPr>
            <w:r w:rsidRPr="00E3350E">
              <w:rPr>
                <w:lang w:val="en-AU"/>
              </w:rPr>
              <w:t>0</w:t>
            </w:r>
          </w:p>
        </w:tc>
        <w:tc>
          <w:tcPr>
            <w:tcW w:w="1110" w:type="dxa"/>
          </w:tcPr>
          <w:p w14:paraId="0CD4BD31" w14:textId="77777777" w:rsidR="00860F8E" w:rsidRPr="00E3350E" w:rsidRDefault="00860F8E" w:rsidP="00EF6063">
            <w:pPr>
              <w:pStyle w:val="TableTextRightAlign"/>
              <w:rPr>
                <w:lang w:val="en-AU"/>
              </w:rPr>
            </w:pPr>
            <w:r w:rsidRPr="00E3350E">
              <w:rPr>
                <w:lang w:val="en-AU"/>
              </w:rPr>
              <w:t>1</w:t>
            </w:r>
          </w:p>
        </w:tc>
      </w:tr>
      <w:tr w:rsidR="00860F8E" w:rsidRPr="00E3350E" w14:paraId="210C222B" w14:textId="77777777" w:rsidTr="008E2A9C">
        <w:trPr>
          <w:trHeight w:val="384"/>
        </w:trPr>
        <w:tc>
          <w:tcPr>
            <w:tcW w:w="3261" w:type="dxa"/>
            <w:hideMark/>
          </w:tcPr>
          <w:p w14:paraId="10B2780C" w14:textId="77777777" w:rsidR="00860F8E" w:rsidRPr="00E3350E" w:rsidRDefault="00860F8E" w:rsidP="00EF6063">
            <w:pPr>
              <w:pStyle w:val="TableText"/>
              <w:rPr>
                <w:lang w:val="en-AU"/>
              </w:rPr>
            </w:pPr>
            <w:r w:rsidRPr="00E3350E">
              <w:rPr>
                <w:lang w:val="en-AU"/>
              </w:rPr>
              <w:t>Counselling</w:t>
            </w:r>
          </w:p>
        </w:tc>
        <w:tc>
          <w:tcPr>
            <w:tcW w:w="1110" w:type="dxa"/>
          </w:tcPr>
          <w:p w14:paraId="29B4106B" w14:textId="77777777" w:rsidR="00860F8E" w:rsidRPr="00E3350E" w:rsidRDefault="00860F8E" w:rsidP="00EF6063">
            <w:pPr>
              <w:pStyle w:val="TableTextRightAlign"/>
              <w:rPr>
                <w:lang w:val="en-AU"/>
              </w:rPr>
            </w:pPr>
            <w:r w:rsidRPr="00E3350E">
              <w:rPr>
                <w:lang w:val="en-AU"/>
              </w:rPr>
              <w:t>56</w:t>
            </w:r>
          </w:p>
        </w:tc>
        <w:tc>
          <w:tcPr>
            <w:tcW w:w="1110" w:type="dxa"/>
          </w:tcPr>
          <w:p w14:paraId="7BE6AB37" w14:textId="77777777" w:rsidR="00860F8E" w:rsidRPr="00E3350E" w:rsidRDefault="00860F8E" w:rsidP="00EF6063">
            <w:pPr>
              <w:pStyle w:val="TableTextRightAlign"/>
              <w:rPr>
                <w:lang w:val="en-AU"/>
              </w:rPr>
            </w:pPr>
            <w:r w:rsidRPr="00E3350E">
              <w:rPr>
                <w:lang w:val="en-AU"/>
              </w:rPr>
              <w:t>17</w:t>
            </w:r>
          </w:p>
        </w:tc>
        <w:tc>
          <w:tcPr>
            <w:tcW w:w="1110" w:type="dxa"/>
          </w:tcPr>
          <w:p w14:paraId="5B434EB8" w14:textId="77777777" w:rsidR="00860F8E" w:rsidRPr="00E3350E" w:rsidRDefault="00860F8E" w:rsidP="00EF6063">
            <w:pPr>
              <w:pStyle w:val="TableTextRightAlign"/>
              <w:rPr>
                <w:lang w:val="en-AU"/>
              </w:rPr>
            </w:pPr>
            <w:r w:rsidRPr="00E3350E">
              <w:rPr>
                <w:lang w:val="en-AU"/>
              </w:rPr>
              <w:t>39</w:t>
            </w:r>
          </w:p>
        </w:tc>
        <w:tc>
          <w:tcPr>
            <w:tcW w:w="1110" w:type="dxa"/>
          </w:tcPr>
          <w:p w14:paraId="402FDEDB" w14:textId="77777777" w:rsidR="00860F8E" w:rsidRPr="00E3350E" w:rsidRDefault="00860F8E" w:rsidP="00EF6063">
            <w:pPr>
              <w:pStyle w:val="TableTextRightAlign"/>
              <w:rPr>
                <w:lang w:val="en-AU"/>
              </w:rPr>
            </w:pPr>
            <w:r w:rsidRPr="00E3350E">
              <w:rPr>
                <w:lang w:val="en-AU"/>
              </w:rPr>
              <w:t>68</w:t>
            </w:r>
          </w:p>
        </w:tc>
        <w:tc>
          <w:tcPr>
            <w:tcW w:w="1110" w:type="dxa"/>
          </w:tcPr>
          <w:p w14:paraId="078554A0" w14:textId="77777777" w:rsidR="00860F8E" w:rsidRPr="00E3350E" w:rsidRDefault="00860F8E" w:rsidP="00EF6063">
            <w:pPr>
              <w:pStyle w:val="TableTextRightAlign"/>
              <w:rPr>
                <w:lang w:val="en-AU"/>
              </w:rPr>
            </w:pPr>
            <w:r w:rsidRPr="00E3350E">
              <w:rPr>
                <w:lang w:val="en-AU"/>
              </w:rPr>
              <w:t>106</w:t>
            </w:r>
          </w:p>
        </w:tc>
      </w:tr>
    </w:tbl>
    <w:p w14:paraId="69878D42" w14:textId="77777777" w:rsidR="00860F8E" w:rsidRPr="00E3350E" w:rsidRDefault="00860F8E" w:rsidP="00860F8E">
      <w:pPr>
        <w:rPr>
          <w:lang w:val="en-AU"/>
        </w:rPr>
      </w:pPr>
    </w:p>
    <w:p w14:paraId="1042FB51" w14:textId="77777777" w:rsidR="00860F8E" w:rsidRPr="00E3350E" w:rsidRDefault="00860F8E" w:rsidP="00860F8E">
      <w:pPr>
        <w:rPr>
          <w:lang w:val="en-AU"/>
        </w:rPr>
      </w:pPr>
      <w:r w:rsidRPr="00E3350E">
        <w:rPr>
          <w:lang w:val="en-AU"/>
        </w:rPr>
        <w:t>Tables B.9 to B.12 in Appendix B s</w:t>
      </w:r>
      <w:r w:rsidRPr="00E3350E">
        <w:rPr>
          <w:rFonts w:cs="Arial"/>
          <w:lang w:val="en-AU"/>
        </w:rPr>
        <w:t>how details of medical certificate actions</w:t>
      </w:r>
      <w:r>
        <w:rPr>
          <w:rFonts w:cs="Arial"/>
          <w:lang w:val="en-AU"/>
        </w:rPr>
        <w:t>;</w:t>
      </w:r>
      <w:r w:rsidRPr="00E3350E">
        <w:rPr>
          <w:rFonts w:cs="Arial"/>
          <w:lang w:val="en-AU"/>
        </w:rPr>
        <w:t xml:space="preserve"> licence and certificate actions</w:t>
      </w:r>
      <w:r>
        <w:rPr>
          <w:rFonts w:cs="Arial"/>
          <w:lang w:val="en-AU"/>
        </w:rPr>
        <w:t>;</w:t>
      </w:r>
      <w:r w:rsidRPr="00E3350E">
        <w:rPr>
          <w:rFonts w:cs="Arial"/>
          <w:lang w:val="en-AU"/>
        </w:rPr>
        <w:t xml:space="preserve"> serious and imminent risk suspensions</w:t>
      </w:r>
      <w:r>
        <w:rPr>
          <w:rFonts w:cs="Arial"/>
          <w:lang w:val="en-AU"/>
        </w:rPr>
        <w:t>;</w:t>
      </w:r>
      <w:r w:rsidRPr="00E3350E">
        <w:rPr>
          <w:rFonts w:cs="Arial"/>
          <w:lang w:val="en-AU"/>
        </w:rPr>
        <w:t xml:space="preserve"> and infringement notices and matters referred for prosecution.</w:t>
      </w:r>
    </w:p>
    <w:p w14:paraId="74AFF9D6" w14:textId="77777777" w:rsidR="00860F8E" w:rsidRPr="00E3350E" w:rsidRDefault="00860F8E" w:rsidP="00860F8E">
      <w:pPr>
        <w:pStyle w:val="Heading1"/>
        <w:rPr>
          <w:lang w:val="en-AU"/>
        </w:rPr>
      </w:pPr>
      <w:bookmarkStart w:id="116" w:name="_Toc522537166"/>
      <w:bookmarkStart w:id="117" w:name="_Toc523924890"/>
      <w:r w:rsidRPr="00E3350E">
        <w:rPr>
          <w:lang w:val="en-AU"/>
        </w:rPr>
        <w:t>Environmental sustainability performance</w:t>
      </w:r>
      <w:bookmarkEnd w:id="116"/>
      <w:bookmarkEnd w:id="117"/>
      <w:r w:rsidRPr="00E3350E">
        <w:rPr>
          <w:lang w:val="en-AU"/>
        </w:rPr>
        <w:t xml:space="preserve"> </w:t>
      </w:r>
      <w:bookmarkEnd w:id="113"/>
      <w:bookmarkEnd w:id="114"/>
      <w:bookmarkEnd w:id="115"/>
    </w:p>
    <w:p w14:paraId="1E10756A" w14:textId="77777777" w:rsidR="00860F8E" w:rsidRPr="00E3350E" w:rsidRDefault="00860F8E" w:rsidP="00860F8E">
      <w:pPr>
        <w:rPr>
          <w:lang w:val="en-AU"/>
        </w:rPr>
      </w:pPr>
      <w:r w:rsidRPr="00E3350E">
        <w:rPr>
          <w:lang w:val="en-AU"/>
        </w:rPr>
        <w:t xml:space="preserve">The </w:t>
      </w:r>
      <w:r w:rsidRPr="00E3350E">
        <w:rPr>
          <w:i/>
          <w:lang w:val="en-AU"/>
        </w:rPr>
        <w:t>Environment Protection and Biodiversity Conservation Act 1999</w:t>
      </w:r>
      <w:r w:rsidRPr="00E3350E">
        <w:rPr>
          <w:lang w:val="en-AU"/>
        </w:rPr>
        <w:t xml:space="preserve"> requires CASA to report on how its outcome and activities accord with the principles of ecologically sustainable development.</w:t>
      </w:r>
    </w:p>
    <w:p w14:paraId="787521EC" w14:textId="77777777" w:rsidR="00860F8E" w:rsidRPr="00E3350E" w:rsidRDefault="00860F8E" w:rsidP="00860F8E">
      <w:pPr>
        <w:pStyle w:val="Heading2noTOC"/>
        <w:rPr>
          <w:lang w:val="en-AU"/>
        </w:rPr>
      </w:pPr>
      <w:r w:rsidRPr="00E3350E">
        <w:rPr>
          <w:lang w:val="en-AU"/>
        </w:rPr>
        <w:t>Environmental management system</w:t>
      </w:r>
    </w:p>
    <w:p w14:paraId="40A34056" w14:textId="77777777" w:rsidR="00860F8E" w:rsidRPr="00E3350E" w:rsidRDefault="00860F8E" w:rsidP="00860F8E">
      <w:pPr>
        <w:rPr>
          <w:lang w:val="en-AU"/>
        </w:rPr>
      </w:pPr>
      <w:r w:rsidRPr="00E3350E">
        <w:rPr>
          <w:lang w:val="en-AU"/>
        </w:rPr>
        <w:t xml:space="preserve">CASA’s environmental management system is designed to improve </w:t>
      </w:r>
      <w:r>
        <w:rPr>
          <w:lang w:val="en-AU"/>
        </w:rPr>
        <w:t>our</w:t>
      </w:r>
      <w:r w:rsidRPr="00E3350E">
        <w:rPr>
          <w:lang w:val="en-AU"/>
        </w:rPr>
        <w:t xml:space="preserve"> environmental performance and reduce the environmental impact of </w:t>
      </w:r>
      <w:r>
        <w:rPr>
          <w:lang w:val="en-AU"/>
        </w:rPr>
        <w:t>our</w:t>
      </w:r>
      <w:r w:rsidRPr="00E3350E">
        <w:rPr>
          <w:lang w:val="en-AU"/>
        </w:rPr>
        <w:t xml:space="preserve"> operations. </w:t>
      </w:r>
    </w:p>
    <w:p w14:paraId="51E808C5" w14:textId="77777777" w:rsidR="00860F8E" w:rsidRPr="00E3350E" w:rsidRDefault="00860F8E" w:rsidP="00860F8E">
      <w:pPr>
        <w:rPr>
          <w:rFonts w:cs="Arial"/>
          <w:szCs w:val="24"/>
          <w:lang w:val="en-AU"/>
        </w:rPr>
      </w:pPr>
      <w:r>
        <w:rPr>
          <w:lang w:val="en-AU"/>
        </w:rPr>
        <w:t>Our</w:t>
      </w:r>
      <w:r w:rsidRPr="00E3350E">
        <w:rPr>
          <w:lang w:val="en-AU"/>
        </w:rPr>
        <w:t xml:space="preserve"> environmental sustainability policy is a key element of the environmental management system. The policy formalises CASA’s commitment to environmental protection and provides a framework for achieving continuous improvement in environmental performance.</w:t>
      </w:r>
    </w:p>
    <w:p w14:paraId="4DA54C20" w14:textId="77777777" w:rsidR="00860F8E" w:rsidRPr="00E3350E" w:rsidRDefault="00860F8E" w:rsidP="00860F8E">
      <w:pPr>
        <w:pStyle w:val="Heading2noTOC"/>
        <w:rPr>
          <w:lang w:val="en-AU"/>
        </w:rPr>
      </w:pPr>
      <w:bookmarkStart w:id="118" w:name="_Toc267471742"/>
      <w:bookmarkStart w:id="119" w:name="_Toc267485904"/>
      <w:bookmarkStart w:id="120" w:name="_Toc268006412"/>
      <w:bookmarkStart w:id="121" w:name="_Toc267471745"/>
      <w:bookmarkStart w:id="122" w:name="_Toc267485916"/>
      <w:bookmarkStart w:id="123" w:name="_Toc268006415"/>
      <w:r w:rsidRPr="00E3350E">
        <w:rPr>
          <w:lang w:val="en-AU"/>
        </w:rPr>
        <w:lastRenderedPageBreak/>
        <w:t>Measures taken to minimise the impact of activities on the environment</w:t>
      </w:r>
    </w:p>
    <w:p w14:paraId="59664A4E" w14:textId="77777777" w:rsidR="00860F8E" w:rsidRPr="00E3350E" w:rsidRDefault="00860F8E" w:rsidP="00860F8E">
      <w:pPr>
        <w:rPr>
          <w:lang w:val="en-AU"/>
        </w:rPr>
      </w:pPr>
      <w:r w:rsidRPr="00E3350E">
        <w:rPr>
          <w:lang w:val="en-AU"/>
        </w:rPr>
        <w:t xml:space="preserve">Strategies are in place to reduce the environmental impact of </w:t>
      </w:r>
      <w:r>
        <w:rPr>
          <w:lang w:val="en-AU"/>
        </w:rPr>
        <w:t>our</w:t>
      </w:r>
      <w:r w:rsidRPr="00E3350E">
        <w:rPr>
          <w:lang w:val="en-AU"/>
        </w:rPr>
        <w:t xml:space="preserve"> operations. Objectives, targets and action plans are set out clearly, and responsibilities and time</w:t>
      </w:r>
      <w:r>
        <w:rPr>
          <w:lang w:val="en-AU"/>
        </w:rPr>
        <w:t xml:space="preserve"> </w:t>
      </w:r>
      <w:r w:rsidRPr="00E3350E">
        <w:rPr>
          <w:lang w:val="en-AU"/>
        </w:rPr>
        <w:t>frames have been established.</w:t>
      </w:r>
    </w:p>
    <w:p w14:paraId="443D74A4" w14:textId="77777777" w:rsidR="00860F8E" w:rsidRPr="00E3350E" w:rsidRDefault="00860F8E" w:rsidP="00860F8E">
      <w:pPr>
        <w:pStyle w:val="BulletIntro"/>
        <w:rPr>
          <w:lang w:val="en-AU"/>
        </w:rPr>
      </w:pPr>
      <w:r w:rsidRPr="00E3350E">
        <w:rPr>
          <w:lang w:val="en-AU"/>
        </w:rPr>
        <w:t>Environmental initiatives undertaken during the year included:</w:t>
      </w:r>
    </w:p>
    <w:p w14:paraId="04B09D69" w14:textId="77777777" w:rsidR="00860F8E" w:rsidRPr="00E3350E" w:rsidRDefault="00860F8E" w:rsidP="00860F8E">
      <w:pPr>
        <w:pStyle w:val="Bullet"/>
        <w:rPr>
          <w:lang w:eastAsia="en-AU"/>
        </w:rPr>
      </w:pPr>
      <w:r w:rsidRPr="00E3350E">
        <w:rPr>
          <w:lang w:eastAsia="en-AU"/>
        </w:rPr>
        <w:t>waste audits at CASA’s Brisbane and Canberra offices</w:t>
      </w:r>
      <w:r>
        <w:rPr>
          <w:lang w:eastAsia="en-AU"/>
        </w:rPr>
        <w:t>, where there have been</w:t>
      </w:r>
      <w:r w:rsidRPr="00E3350E">
        <w:rPr>
          <w:lang w:eastAsia="en-AU"/>
        </w:rPr>
        <w:t xml:space="preserve"> noticeable improvements </w:t>
      </w:r>
      <w:r>
        <w:rPr>
          <w:lang w:eastAsia="en-AU"/>
        </w:rPr>
        <w:t>i</w:t>
      </w:r>
      <w:r w:rsidRPr="00E3350E">
        <w:rPr>
          <w:lang w:eastAsia="en-AU"/>
        </w:rPr>
        <w:t>n rates of diversion from landfill</w:t>
      </w:r>
      <w:r>
        <w:rPr>
          <w:lang w:eastAsia="en-AU"/>
        </w:rPr>
        <w:t>,</w:t>
      </w:r>
      <w:r w:rsidRPr="00E3350E">
        <w:rPr>
          <w:lang w:eastAsia="en-AU"/>
        </w:rPr>
        <w:t xml:space="preserve"> especially at </w:t>
      </w:r>
      <w:r>
        <w:rPr>
          <w:lang w:eastAsia="en-AU"/>
        </w:rPr>
        <w:t>our</w:t>
      </w:r>
      <w:r w:rsidRPr="00E3350E">
        <w:rPr>
          <w:lang w:eastAsia="en-AU"/>
        </w:rPr>
        <w:t xml:space="preserve"> Aviation House site in Canberra</w:t>
      </w:r>
    </w:p>
    <w:p w14:paraId="069372DB" w14:textId="77777777" w:rsidR="00860F8E" w:rsidRPr="00E3350E" w:rsidRDefault="00860F8E" w:rsidP="00860F8E">
      <w:pPr>
        <w:pStyle w:val="Bullet"/>
        <w:rPr>
          <w:lang w:eastAsia="en-AU"/>
        </w:rPr>
      </w:pPr>
      <w:r>
        <w:rPr>
          <w:lang w:eastAsia="en-AU"/>
        </w:rPr>
        <w:t xml:space="preserve">the </w:t>
      </w:r>
      <w:r w:rsidRPr="00E3350E">
        <w:rPr>
          <w:lang w:eastAsia="en-AU"/>
        </w:rPr>
        <w:t xml:space="preserve">continued accreditation </w:t>
      </w:r>
      <w:r>
        <w:rPr>
          <w:lang w:eastAsia="en-AU"/>
        </w:rPr>
        <w:t xml:space="preserve">of the </w:t>
      </w:r>
      <w:r w:rsidRPr="00E3350E">
        <w:rPr>
          <w:lang w:eastAsia="en-AU"/>
        </w:rPr>
        <w:t>Canberra office in the ACT Government’s business waste recycling program</w:t>
      </w:r>
    </w:p>
    <w:p w14:paraId="61A9E764" w14:textId="77777777" w:rsidR="00860F8E" w:rsidRPr="00E3350E" w:rsidRDefault="00860F8E" w:rsidP="00860F8E">
      <w:pPr>
        <w:pStyle w:val="Bullet"/>
        <w:rPr>
          <w:lang w:eastAsia="en-AU"/>
        </w:rPr>
      </w:pPr>
      <w:r>
        <w:rPr>
          <w:lang w:eastAsia="en-AU"/>
        </w:rPr>
        <w:t xml:space="preserve">the </w:t>
      </w:r>
      <w:r w:rsidRPr="00E3350E">
        <w:rPr>
          <w:lang w:eastAsia="en-AU"/>
        </w:rPr>
        <w:t>promotion of recycling opportunities through forums such as the CASA staff newsletter</w:t>
      </w:r>
      <w:r>
        <w:rPr>
          <w:lang w:eastAsia="en-AU"/>
        </w:rPr>
        <w:t>,</w:t>
      </w:r>
      <w:r w:rsidRPr="00E3350E">
        <w:rPr>
          <w:lang w:eastAsia="en-AU"/>
        </w:rPr>
        <w:t xml:space="preserve"> where the results of waste audits are advised to staff</w:t>
      </w:r>
    </w:p>
    <w:p w14:paraId="4E1ECB22" w14:textId="77777777" w:rsidR="00860F8E" w:rsidRPr="00E3350E" w:rsidRDefault="00860F8E" w:rsidP="00860F8E">
      <w:pPr>
        <w:pStyle w:val="Bullet"/>
        <w:rPr>
          <w:lang w:eastAsia="en-AU"/>
        </w:rPr>
      </w:pPr>
      <w:r>
        <w:rPr>
          <w:lang w:eastAsia="en-AU"/>
        </w:rPr>
        <w:t xml:space="preserve">the </w:t>
      </w:r>
      <w:r w:rsidRPr="00E3350E">
        <w:rPr>
          <w:lang w:eastAsia="en-AU"/>
        </w:rPr>
        <w:t>continued promotion of the use of video conferencing as an alternative to air travel</w:t>
      </w:r>
      <w:r>
        <w:rPr>
          <w:lang w:eastAsia="en-AU"/>
        </w:rPr>
        <w:t>,</w:t>
      </w:r>
      <w:r w:rsidRPr="00E3350E">
        <w:rPr>
          <w:lang w:eastAsia="en-AU"/>
        </w:rPr>
        <w:t xml:space="preserve"> including consider</w:t>
      </w:r>
      <w:r>
        <w:rPr>
          <w:lang w:eastAsia="en-AU"/>
        </w:rPr>
        <w:t>ation of</w:t>
      </w:r>
      <w:r w:rsidRPr="00E3350E">
        <w:rPr>
          <w:lang w:eastAsia="en-AU"/>
        </w:rPr>
        <w:t xml:space="preserve"> arrangements for increasing video conferencing facilities through a built workplace review</w:t>
      </w:r>
    </w:p>
    <w:p w14:paraId="0E63AF19" w14:textId="77777777" w:rsidR="00860F8E" w:rsidRPr="00E3350E" w:rsidRDefault="00860F8E" w:rsidP="00860F8E">
      <w:pPr>
        <w:pStyle w:val="Bullet"/>
        <w:rPr>
          <w:lang w:eastAsia="en-AU"/>
        </w:rPr>
      </w:pPr>
      <w:r>
        <w:rPr>
          <w:lang w:eastAsia="en-AU"/>
        </w:rPr>
        <w:t xml:space="preserve">the achievement of </w:t>
      </w:r>
      <w:r w:rsidRPr="00E3350E">
        <w:rPr>
          <w:lang w:eastAsia="en-AU"/>
        </w:rPr>
        <w:t xml:space="preserve">4.5 star or better </w:t>
      </w:r>
      <w:r>
        <w:rPr>
          <w:lang w:eastAsia="en-AU"/>
        </w:rPr>
        <w:t>National Australian Built Environment Rating System (</w:t>
      </w:r>
      <w:r w:rsidRPr="00E3350E">
        <w:rPr>
          <w:lang w:eastAsia="en-AU"/>
        </w:rPr>
        <w:t>NABERS</w:t>
      </w:r>
      <w:r>
        <w:rPr>
          <w:lang w:eastAsia="en-AU"/>
        </w:rPr>
        <w:t>)</w:t>
      </w:r>
      <w:r w:rsidR="0044040E">
        <w:rPr>
          <w:lang w:eastAsia="en-AU"/>
        </w:rPr>
        <w:t xml:space="preserve"> building</w:t>
      </w:r>
      <w:r w:rsidRPr="00E3350E">
        <w:rPr>
          <w:lang w:eastAsia="en-AU"/>
        </w:rPr>
        <w:t xml:space="preserve"> ratings </w:t>
      </w:r>
      <w:r>
        <w:rPr>
          <w:lang w:eastAsia="en-AU"/>
        </w:rPr>
        <w:t xml:space="preserve">over the past 12 months for </w:t>
      </w:r>
      <w:r w:rsidRPr="00E3350E">
        <w:rPr>
          <w:lang w:eastAsia="en-AU"/>
        </w:rPr>
        <w:t xml:space="preserve">the leased office accommodation </w:t>
      </w:r>
      <w:r>
        <w:rPr>
          <w:lang w:eastAsia="en-AU"/>
        </w:rPr>
        <w:t>that</w:t>
      </w:r>
      <w:r w:rsidRPr="00E3350E">
        <w:rPr>
          <w:lang w:eastAsia="en-AU"/>
        </w:rPr>
        <w:t xml:space="preserve"> </w:t>
      </w:r>
      <w:r>
        <w:rPr>
          <w:lang w:eastAsia="en-AU"/>
        </w:rPr>
        <w:t xml:space="preserve">we </w:t>
      </w:r>
      <w:r w:rsidRPr="00E3350E">
        <w:rPr>
          <w:lang w:eastAsia="en-AU"/>
        </w:rPr>
        <w:t>occup</w:t>
      </w:r>
      <w:r>
        <w:rPr>
          <w:lang w:eastAsia="en-AU"/>
        </w:rPr>
        <w:t>y</w:t>
      </w:r>
      <w:r w:rsidRPr="00E3350E">
        <w:rPr>
          <w:lang w:eastAsia="en-AU"/>
        </w:rPr>
        <w:t xml:space="preserve"> in Brisbane, Canberra and Sydney.</w:t>
      </w:r>
    </w:p>
    <w:p w14:paraId="2140FA19" w14:textId="77777777" w:rsidR="00860F8E" w:rsidRPr="00E3350E" w:rsidRDefault="00860F8E" w:rsidP="00860F8E">
      <w:pPr>
        <w:pStyle w:val="Bullet"/>
        <w:numPr>
          <w:ilvl w:val="0"/>
          <w:numId w:val="0"/>
        </w:numPr>
      </w:pPr>
      <w:r>
        <w:t>We</w:t>
      </w:r>
      <w:r w:rsidRPr="00E3350E">
        <w:t xml:space="preserve"> achieved a number of improvements in environmental performance </w:t>
      </w:r>
      <w:r>
        <w:t>in</w:t>
      </w:r>
      <w:r w:rsidRPr="00E3350E">
        <w:t xml:space="preserve"> a range of indicators during 2017–18</w:t>
      </w:r>
      <w:r>
        <w:t xml:space="preserve"> (see</w:t>
      </w:r>
      <w:r w:rsidRPr="00E3350E">
        <w:t xml:space="preserve"> Table </w:t>
      </w:r>
      <w:r w:rsidR="00683E9C">
        <w:t>1</w:t>
      </w:r>
      <w:r w:rsidR="00BF2702">
        <w:t>7</w:t>
      </w:r>
      <w:r>
        <w:t>)</w:t>
      </w:r>
      <w:r w:rsidRPr="00E3350E">
        <w:t>.</w:t>
      </w:r>
    </w:p>
    <w:p w14:paraId="54C74468" w14:textId="77777777" w:rsidR="00860F8E" w:rsidRPr="00E3350E" w:rsidRDefault="00860F8E" w:rsidP="00860F8E">
      <w:pPr>
        <w:pStyle w:val="Bullet"/>
        <w:numPr>
          <w:ilvl w:val="0"/>
          <w:numId w:val="0"/>
        </w:numPr>
      </w:pPr>
      <w:r w:rsidRPr="00E3350E">
        <w:rPr>
          <w:lang w:eastAsia="en-AU"/>
        </w:rPr>
        <w:t>CASA was not involved in any actions likely to have a significant impact on matters of national environmental significance on Commonwealth land.</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2"/>
        <w:gridCol w:w="1471"/>
        <w:gridCol w:w="1472"/>
      </w:tblGrid>
      <w:tr w:rsidR="00FE5FDE" w:rsidRPr="00E3350E" w14:paraId="1ADB6A31" w14:textId="77777777" w:rsidTr="00FE5FDE">
        <w:trPr>
          <w:tblHeader/>
        </w:trPr>
        <w:tc>
          <w:tcPr>
            <w:tcW w:w="8985" w:type="dxa"/>
            <w:gridSpan w:val="3"/>
            <w:tcBorders>
              <w:top w:val="nil"/>
              <w:left w:val="nil"/>
              <w:right w:val="nil"/>
            </w:tcBorders>
          </w:tcPr>
          <w:p w14:paraId="6BB50706" w14:textId="6DAF3DC4" w:rsidR="00FE5FDE" w:rsidRPr="00E3350E" w:rsidRDefault="00FE5FDE" w:rsidP="00FE5FDE">
            <w:pPr>
              <w:pStyle w:val="Heading3"/>
              <w:rPr>
                <w:lang w:val="en-AU"/>
              </w:rPr>
            </w:pPr>
            <w:r w:rsidRPr="00E3350E">
              <w:lastRenderedPageBreak/>
              <w:t xml:space="preserve">Table </w:t>
            </w:r>
            <w:r>
              <w:t>17</w:t>
            </w:r>
            <w:r w:rsidRPr="00E3350E">
              <w:tab/>
              <w:t>Environmental performance summary, 2016–17</w:t>
            </w:r>
            <w:r>
              <w:t xml:space="preserve"> to 2017–18</w:t>
            </w:r>
          </w:p>
        </w:tc>
      </w:tr>
      <w:tr w:rsidR="00860F8E" w:rsidRPr="00E3350E" w14:paraId="75DB5577" w14:textId="77777777" w:rsidTr="00FE5FDE">
        <w:trPr>
          <w:tblHeader/>
        </w:trPr>
        <w:tc>
          <w:tcPr>
            <w:tcW w:w="6046" w:type="dxa"/>
          </w:tcPr>
          <w:p w14:paraId="190B205F" w14:textId="77777777" w:rsidR="00860F8E" w:rsidRPr="00E3350E" w:rsidRDefault="00860F8E" w:rsidP="00683E9C">
            <w:pPr>
              <w:pStyle w:val="TableText"/>
              <w:keepLines/>
              <w:rPr>
                <w:b/>
                <w:lang w:val="en-AU"/>
              </w:rPr>
            </w:pPr>
            <w:r w:rsidRPr="00E3350E">
              <w:rPr>
                <w:b/>
                <w:lang w:val="en-AU"/>
              </w:rPr>
              <w:t>Indicator</w:t>
            </w:r>
          </w:p>
        </w:tc>
        <w:tc>
          <w:tcPr>
            <w:tcW w:w="1469" w:type="dxa"/>
            <w:vAlign w:val="bottom"/>
          </w:tcPr>
          <w:p w14:paraId="5AE5AA10" w14:textId="77777777" w:rsidR="00860F8E" w:rsidRPr="00E3350E" w:rsidRDefault="00860F8E" w:rsidP="00683E9C">
            <w:pPr>
              <w:pStyle w:val="TableText"/>
              <w:keepLines/>
              <w:jc w:val="right"/>
              <w:rPr>
                <w:b/>
                <w:i/>
                <w:lang w:val="en-AU"/>
              </w:rPr>
            </w:pPr>
            <w:r w:rsidRPr="00E3350E">
              <w:rPr>
                <w:b/>
                <w:lang w:val="en-AU"/>
              </w:rPr>
              <w:t>2016–17</w:t>
            </w:r>
          </w:p>
        </w:tc>
        <w:tc>
          <w:tcPr>
            <w:tcW w:w="1470" w:type="dxa"/>
            <w:vAlign w:val="bottom"/>
          </w:tcPr>
          <w:p w14:paraId="37BA0194" w14:textId="77777777" w:rsidR="00860F8E" w:rsidRPr="00E3350E" w:rsidRDefault="00860F8E" w:rsidP="00683E9C">
            <w:pPr>
              <w:pStyle w:val="TableText"/>
              <w:keepLines/>
              <w:jc w:val="right"/>
              <w:rPr>
                <w:b/>
                <w:lang w:val="en-AU"/>
              </w:rPr>
            </w:pPr>
            <w:r w:rsidRPr="00E3350E">
              <w:rPr>
                <w:b/>
                <w:lang w:val="en-AU"/>
              </w:rPr>
              <w:t>2017–18</w:t>
            </w:r>
          </w:p>
        </w:tc>
      </w:tr>
      <w:tr w:rsidR="00860F8E" w:rsidRPr="00E3350E" w14:paraId="4BE4BDA6" w14:textId="77777777" w:rsidTr="00FE5FDE">
        <w:tc>
          <w:tcPr>
            <w:tcW w:w="6046" w:type="dxa"/>
            <w:shd w:val="clear" w:color="auto" w:fill="E7E6E6"/>
          </w:tcPr>
          <w:p w14:paraId="7A6ABA1A" w14:textId="77777777" w:rsidR="00860F8E" w:rsidRPr="00E3350E" w:rsidRDefault="00860F8E" w:rsidP="00683E9C">
            <w:pPr>
              <w:pStyle w:val="TableText"/>
              <w:keepLines/>
              <w:rPr>
                <w:b/>
                <w:lang w:val="en-AU"/>
              </w:rPr>
            </w:pPr>
            <w:r w:rsidRPr="00E3350E">
              <w:rPr>
                <w:b/>
                <w:lang w:val="en-AU"/>
              </w:rPr>
              <w:t xml:space="preserve">Office energy usage </w:t>
            </w:r>
          </w:p>
        </w:tc>
        <w:tc>
          <w:tcPr>
            <w:tcW w:w="1469" w:type="dxa"/>
            <w:shd w:val="clear" w:color="auto" w:fill="E7E6E6"/>
            <w:vAlign w:val="bottom"/>
          </w:tcPr>
          <w:p w14:paraId="6B726BA8" w14:textId="77777777" w:rsidR="00860F8E" w:rsidRPr="00E3350E" w:rsidRDefault="00860F8E" w:rsidP="00683E9C">
            <w:pPr>
              <w:pStyle w:val="CASAChapterText"/>
              <w:keepNext/>
              <w:keepLines/>
              <w:jc w:val="right"/>
              <w:rPr>
                <w:rFonts w:ascii="Arial Narrow" w:hAnsi="Arial Narrow"/>
                <w:sz w:val="20"/>
                <w:szCs w:val="20"/>
              </w:rPr>
            </w:pPr>
          </w:p>
        </w:tc>
        <w:tc>
          <w:tcPr>
            <w:tcW w:w="1470" w:type="dxa"/>
            <w:shd w:val="clear" w:color="auto" w:fill="E7E6E6"/>
            <w:vAlign w:val="bottom"/>
          </w:tcPr>
          <w:p w14:paraId="1F9901BF" w14:textId="77777777" w:rsidR="00860F8E" w:rsidRPr="00E3350E" w:rsidRDefault="00860F8E" w:rsidP="00683E9C">
            <w:pPr>
              <w:pStyle w:val="CASAChapterText"/>
              <w:keepNext/>
              <w:keepLines/>
              <w:jc w:val="right"/>
              <w:rPr>
                <w:rFonts w:ascii="Arial Narrow" w:hAnsi="Arial Narrow"/>
                <w:sz w:val="20"/>
                <w:szCs w:val="20"/>
              </w:rPr>
            </w:pPr>
          </w:p>
        </w:tc>
      </w:tr>
      <w:tr w:rsidR="00860F8E" w:rsidRPr="00E3350E" w14:paraId="7E849904" w14:textId="77777777" w:rsidTr="00FE5FDE">
        <w:tc>
          <w:tcPr>
            <w:tcW w:w="6046" w:type="dxa"/>
          </w:tcPr>
          <w:p w14:paraId="214C6B2A" w14:textId="77777777" w:rsidR="00860F8E" w:rsidRPr="00E3350E" w:rsidRDefault="00860F8E" w:rsidP="00683E9C">
            <w:pPr>
              <w:pStyle w:val="TableText"/>
              <w:keepLines/>
              <w:rPr>
                <w:lang w:val="en-AU"/>
              </w:rPr>
            </w:pPr>
            <w:r w:rsidRPr="00E3350E">
              <w:rPr>
                <w:lang w:val="en-AU"/>
              </w:rPr>
              <w:t>Total tenant light and power energy consumption</w:t>
            </w:r>
            <w:r>
              <w:rPr>
                <w:lang w:val="en-AU"/>
              </w:rPr>
              <w:t>,</w:t>
            </w:r>
            <w:r w:rsidRPr="00E3350E">
              <w:rPr>
                <w:lang w:val="en-AU"/>
              </w:rPr>
              <w:t xml:space="preserve"> including Aviation House server room (k</w:t>
            </w:r>
            <w:r>
              <w:rPr>
                <w:lang w:val="en-AU"/>
              </w:rPr>
              <w:t>W</w:t>
            </w:r>
            <w:r w:rsidRPr="00E3350E">
              <w:rPr>
                <w:lang w:val="en-AU"/>
              </w:rPr>
              <w:t>h)</w:t>
            </w:r>
          </w:p>
        </w:tc>
        <w:tc>
          <w:tcPr>
            <w:tcW w:w="1469" w:type="dxa"/>
            <w:vAlign w:val="bottom"/>
          </w:tcPr>
          <w:p w14:paraId="0BB7E647" w14:textId="77777777" w:rsidR="00860F8E" w:rsidRPr="00E3350E" w:rsidRDefault="00860F8E" w:rsidP="00683E9C">
            <w:pPr>
              <w:keepNext/>
              <w:keepLines/>
              <w:jc w:val="right"/>
              <w:rPr>
                <w:rFonts w:ascii="Arial Narrow" w:hAnsi="Arial Narrow"/>
                <w:sz w:val="20"/>
                <w:lang w:val="en-AU"/>
              </w:rPr>
            </w:pPr>
            <w:r w:rsidRPr="00E3350E">
              <w:rPr>
                <w:rFonts w:ascii="Arial Narrow" w:hAnsi="Arial Narrow"/>
                <w:sz w:val="20"/>
                <w:lang w:val="en-AU"/>
              </w:rPr>
              <w:t>1,943,854</w:t>
            </w:r>
          </w:p>
        </w:tc>
        <w:tc>
          <w:tcPr>
            <w:tcW w:w="1470" w:type="dxa"/>
            <w:vAlign w:val="bottom"/>
          </w:tcPr>
          <w:p w14:paraId="2909F83A"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1,966,978</w:t>
            </w:r>
          </w:p>
        </w:tc>
      </w:tr>
      <w:tr w:rsidR="00860F8E" w:rsidRPr="00E3350E" w14:paraId="6366D4FE" w14:textId="77777777" w:rsidTr="00FE5FDE">
        <w:tc>
          <w:tcPr>
            <w:tcW w:w="6046" w:type="dxa"/>
          </w:tcPr>
          <w:p w14:paraId="3FEF2763" w14:textId="77777777" w:rsidR="00860F8E" w:rsidRPr="00E3350E" w:rsidRDefault="00860F8E" w:rsidP="00683E9C">
            <w:pPr>
              <w:pStyle w:val="TableText"/>
              <w:keepLines/>
              <w:rPr>
                <w:lang w:val="en-AU"/>
              </w:rPr>
            </w:pPr>
            <w:r w:rsidRPr="00E3350E">
              <w:rPr>
                <w:lang w:val="en-AU"/>
              </w:rPr>
              <w:t>Total tenant light and power energy consumption</w:t>
            </w:r>
            <w:r>
              <w:rPr>
                <w:lang w:val="en-AU"/>
              </w:rPr>
              <w:t>,</w:t>
            </w:r>
            <w:r w:rsidRPr="00E3350E">
              <w:rPr>
                <w:lang w:val="en-AU"/>
              </w:rPr>
              <w:t xml:space="preserve"> excluding Aviation House server room (MJ)</w:t>
            </w:r>
          </w:p>
        </w:tc>
        <w:tc>
          <w:tcPr>
            <w:tcW w:w="1469" w:type="dxa"/>
            <w:vAlign w:val="bottom"/>
          </w:tcPr>
          <w:p w14:paraId="54C6E166" w14:textId="77777777" w:rsidR="00860F8E" w:rsidRPr="00E3350E" w:rsidRDefault="00860F8E" w:rsidP="00683E9C">
            <w:pPr>
              <w:keepNext/>
              <w:keepLines/>
              <w:jc w:val="right"/>
              <w:rPr>
                <w:rFonts w:ascii="Arial Narrow" w:hAnsi="Arial Narrow"/>
                <w:sz w:val="20"/>
                <w:lang w:val="en-AU"/>
              </w:rPr>
            </w:pPr>
            <w:r w:rsidRPr="00E3350E">
              <w:rPr>
                <w:rFonts w:ascii="Arial Narrow" w:hAnsi="Arial Narrow"/>
                <w:sz w:val="20"/>
                <w:lang w:val="en-AU"/>
              </w:rPr>
              <w:t>5,384,066</w:t>
            </w:r>
          </w:p>
        </w:tc>
        <w:tc>
          <w:tcPr>
            <w:tcW w:w="1470" w:type="dxa"/>
            <w:vAlign w:val="bottom"/>
          </w:tcPr>
          <w:p w14:paraId="6CC1D720" w14:textId="77777777" w:rsidR="00860F8E" w:rsidRPr="00E3350E" w:rsidRDefault="00860F8E" w:rsidP="00683E9C">
            <w:pPr>
              <w:keepNext/>
              <w:keepLines/>
              <w:jc w:val="right"/>
              <w:rPr>
                <w:rFonts w:ascii="Arial Narrow" w:hAnsi="Arial Narrow" w:cs="Arial"/>
                <w:sz w:val="20"/>
                <w:lang w:val="en-AU"/>
              </w:rPr>
            </w:pPr>
            <w:r w:rsidRPr="00E3350E">
              <w:rPr>
                <w:rFonts w:ascii="Arial Narrow" w:hAnsi="Arial Narrow" w:cs="Arial"/>
                <w:sz w:val="20"/>
                <w:lang w:val="en-AU"/>
              </w:rPr>
              <w:t>5,108,978</w:t>
            </w:r>
          </w:p>
        </w:tc>
      </w:tr>
      <w:tr w:rsidR="00860F8E" w:rsidRPr="00E3350E" w14:paraId="2C7A2429" w14:textId="77777777" w:rsidTr="00FE5FDE">
        <w:tc>
          <w:tcPr>
            <w:tcW w:w="6046" w:type="dxa"/>
          </w:tcPr>
          <w:p w14:paraId="7B06038A" w14:textId="77777777" w:rsidR="00860F8E" w:rsidRPr="00E3350E" w:rsidRDefault="00860F8E" w:rsidP="00683E9C">
            <w:pPr>
              <w:pStyle w:val="TableText"/>
              <w:keepLines/>
              <w:rPr>
                <w:lang w:val="en-AU"/>
              </w:rPr>
            </w:pPr>
            <w:r w:rsidRPr="00E3350E">
              <w:rPr>
                <w:lang w:val="en-AU"/>
              </w:rPr>
              <w:t>Aviation House server room</w:t>
            </w:r>
            <w:r>
              <w:rPr>
                <w:lang w:val="en-AU"/>
              </w:rPr>
              <w:t>,</w:t>
            </w:r>
            <w:r w:rsidRPr="00E3350E">
              <w:rPr>
                <w:lang w:val="en-AU"/>
              </w:rPr>
              <w:t xml:space="preserve"> Canberra (MJ)</w:t>
            </w:r>
            <w:r w:rsidR="000D7CE7" w:rsidRPr="000D7CE7">
              <w:rPr>
                <w:vertAlign w:val="superscript"/>
                <w:lang w:val="en-AU"/>
              </w:rPr>
              <w:t>a</w:t>
            </w:r>
          </w:p>
        </w:tc>
        <w:tc>
          <w:tcPr>
            <w:tcW w:w="1469" w:type="dxa"/>
            <w:vAlign w:val="bottom"/>
          </w:tcPr>
          <w:p w14:paraId="30C2BB39" w14:textId="77777777" w:rsidR="00860F8E" w:rsidRPr="00E3350E" w:rsidRDefault="00860F8E" w:rsidP="00683E9C">
            <w:pPr>
              <w:keepNext/>
              <w:keepLines/>
              <w:jc w:val="right"/>
              <w:rPr>
                <w:rFonts w:ascii="Arial Narrow" w:hAnsi="Arial Narrow"/>
                <w:sz w:val="20"/>
                <w:lang w:val="en-AU"/>
              </w:rPr>
            </w:pPr>
            <w:r w:rsidRPr="00E3350E">
              <w:rPr>
                <w:rFonts w:ascii="Arial Narrow" w:hAnsi="Arial Narrow"/>
                <w:sz w:val="20"/>
                <w:lang w:val="en-AU"/>
              </w:rPr>
              <w:t>1,613,808</w:t>
            </w:r>
          </w:p>
        </w:tc>
        <w:tc>
          <w:tcPr>
            <w:tcW w:w="1470" w:type="dxa"/>
            <w:vAlign w:val="bottom"/>
          </w:tcPr>
          <w:p w14:paraId="39953760" w14:textId="77777777" w:rsidR="00860F8E" w:rsidRPr="00E3350E" w:rsidRDefault="00860F8E" w:rsidP="00683E9C">
            <w:pPr>
              <w:keepNext/>
              <w:keepLines/>
              <w:jc w:val="right"/>
              <w:rPr>
                <w:rFonts w:ascii="Arial Narrow" w:hAnsi="Arial Narrow" w:cs="Arial"/>
                <w:sz w:val="20"/>
                <w:lang w:val="en-AU"/>
              </w:rPr>
            </w:pPr>
            <w:r w:rsidRPr="00E3350E">
              <w:rPr>
                <w:rFonts w:ascii="Arial Narrow" w:hAnsi="Arial Narrow" w:cs="Arial"/>
                <w:sz w:val="20"/>
                <w:lang w:val="en-AU"/>
              </w:rPr>
              <w:t>1,972,206</w:t>
            </w:r>
          </w:p>
        </w:tc>
      </w:tr>
      <w:tr w:rsidR="00860F8E" w:rsidRPr="00E3350E" w14:paraId="54EAD8CB" w14:textId="77777777" w:rsidTr="00FE5FDE">
        <w:tc>
          <w:tcPr>
            <w:tcW w:w="6046" w:type="dxa"/>
          </w:tcPr>
          <w:p w14:paraId="64C9FAE8" w14:textId="77777777" w:rsidR="00860F8E" w:rsidRPr="00E3350E" w:rsidRDefault="00860F8E" w:rsidP="00683E9C">
            <w:pPr>
              <w:pStyle w:val="TableText"/>
              <w:keepLines/>
              <w:rPr>
                <w:lang w:val="en-AU"/>
              </w:rPr>
            </w:pPr>
            <w:r w:rsidRPr="00E3350E">
              <w:rPr>
                <w:lang w:val="en-AU"/>
              </w:rPr>
              <w:t>Total tenant energy consumption per full-time equivalent</w:t>
            </w:r>
            <w:r>
              <w:rPr>
                <w:lang w:val="en-AU"/>
              </w:rPr>
              <w:t>,</w:t>
            </w:r>
            <w:r w:rsidRPr="00E3350E">
              <w:rPr>
                <w:lang w:val="en-AU"/>
              </w:rPr>
              <w:t xml:space="preserve"> excluding Aviation House server room (MJ/head)</w:t>
            </w:r>
            <w:r w:rsidR="000D7CE7">
              <w:rPr>
                <w:vertAlign w:val="superscript"/>
                <w:lang w:val="en-AU"/>
              </w:rPr>
              <w:t>b</w:t>
            </w:r>
          </w:p>
        </w:tc>
        <w:tc>
          <w:tcPr>
            <w:tcW w:w="1469" w:type="dxa"/>
            <w:vAlign w:val="bottom"/>
          </w:tcPr>
          <w:p w14:paraId="33AB7118" w14:textId="77777777" w:rsidR="00860F8E" w:rsidRPr="00E3350E" w:rsidRDefault="00860F8E" w:rsidP="00683E9C">
            <w:pPr>
              <w:keepNext/>
              <w:keepLines/>
              <w:jc w:val="right"/>
              <w:rPr>
                <w:rFonts w:ascii="Arial Narrow" w:hAnsi="Arial Narrow"/>
                <w:sz w:val="20"/>
                <w:lang w:val="en-AU"/>
              </w:rPr>
            </w:pPr>
            <w:r w:rsidRPr="00E3350E">
              <w:rPr>
                <w:rFonts w:ascii="Arial Narrow" w:hAnsi="Arial Narrow"/>
                <w:sz w:val="20"/>
                <w:lang w:val="en-AU"/>
              </w:rPr>
              <w:t>5,936</w:t>
            </w:r>
          </w:p>
        </w:tc>
        <w:tc>
          <w:tcPr>
            <w:tcW w:w="1470" w:type="dxa"/>
            <w:vAlign w:val="bottom"/>
          </w:tcPr>
          <w:p w14:paraId="531E8540" w14:textId="77777777" w:rsidR="00860F8E" w:rsidRPr="00E3350E" w:rsidRDefault="00860F8E" w:rsidP="00683E9C">
            <w:pPr>
              <w:keepNext/>
              <w:keepLines/>
              <w:jc w:val="right"/>
              <w:rPr>
                <w:rFonts w:ascii="Arial Narrow" w:hAnsi="Arial Narrow" w:cs="Arial"/>
                <w:sz w:val="20"/>
                <w:lang w:val="en-AU"/>
              </w:rPr>
            </w:pPr>
            <w:r w:rsidRPr="00E3350E">
              <w:rPr>
                <w:rFonts w:ascii="Arial Narrow" w:hAnsi="Arial Narrow" w:cs="Arial"/>
                <w:sz w:val="20"/>
                <w:lang w:val="en-AU"/>
              </w:rPr>
              <w:t>5,773</w:t>
            </w:r>
          </w:p>
        </w:tc>
      </w:tr>
      <w:tr w:rsidR="00860F8E" w:rsidRPr="00E3350E" w14:paraId="36D2ED48" w14:textId="77777777" w:rsidTr="00FE5FDE">
        <w:tc>
          <w:tcPr>
            <w:tcW w:w="6046" w:type="dxa"/>
          </w:tcPr>
          <w:p w14:paraId="508BB6D7" w14:textId="77777777" w:rsidR="00860F8E" w:rsidRPr="00E3350E" w:rsidRDefault="00860F8E" w:rsidP="00683E9C">
            <w:pPr>
              <w:pStyle w:val="TableText"/>
              <w:keepLines/>
              <w:rPr>
                <w:lang w:val="en-AU"/>
              </w:rPr>
            </w:pPr>
            <w:r w:rsidRPr="00E3350E">
              <w:rPr>
                <w:lang w:val="en-AU"/>
              </w:rPr>
              <w:t xml:space="preserve">Total tenant energy consumption per </w:t>
            </w:r>
            <w:r>
              <w:rPr>
                <w:lang w:val="en-AU"/>
              </w:rPr>
              <w:t xml:space="preserve">square </w:t>
            </w:r>
            <w:r w:rsidRPr="00E3350E">
              <w:rPr>
                <w:lang w:val="en-AU"/>
              </w:rPr>
              <w:t>m</w:t>
            </w:r>
            <w:r>
              <w:rPr>
                <w:lang w:val="en-AU"/>
              </w:rPr>
              <w:t>etre,</w:t>
            </w:r>
            <w:r w:rsidRPr="00E3350E">
              <w:rPr>
                <w:lang w:val="en-AU"/>
              </w:rPr>
              <w:t xml:space="preserve"> excluding Aviation House server room</w:t>
            </w:r>
            <w:r w:rsidRPr="00C1207C">
              <w:t xml:space="preserve"> </w:t>
            </w:r>
            <w:r w:rsidRPr="00E3350E">
              <w:rPr>
                <w:lang w:val="en-AU"/>
              </w:rPr>
              <w:t>(MJ/m</w:t>
            </w:r>
            <w:r w:rsidRPr="00593878">
              <w:rPr>
                <w:vertAlign w:val="superscript"/>
                <w:lang w:val="en-AU"/>
              </w:rPr>
              <w:t>2</w:t>
            </w:r>
            <w:r w:rsidRPr="00E3350E">
              <w:rPr>
                <w:lang w:val="en-AU"/>
              </w:rPr>
              <w:t>)</w:t>
            </w:r>
            <w:r w:rsidR="000D7CE7">
              <w:rPr>
                <w:vertAlign w:val="superscript"/>
                <w:lang w:val="en-AU"/>
              </w:rPr>
              <w:t>c</w:t>
            </w:r>
          </w:p>
        </w:tc>
        <w:tc>
          <w:tcPr>
            <w:tcW w:w="1469" w:type="dxa"/>
            <w:vAlign w:val="bottom"/>
          </w:tcPr>
          <w:p w14:paraId="1AF240CE" w14:textId="77777777" w:rsidR="00860F8E" w:rsidRPr="00E3350E" w:rsidRDefault="00860F8E" w:rsidP="00683E9C">
            <w:pPr>
              <w:keepNext/>
              <w:keepLines/>
              <w:jc w:val="right"/>
              <w:rPr>
                <w:rFonts w:ascii="Arial Narrow" w:hAnsi="Arial Narrow"/>
                <w:sz w:val="20"/>
                <w:lang w:val="en-AU"/>
              </w:rPr>
            </w:pPr>
            <w:r w:rsidRPr="00E3350E">
              <w:rPr>
                <w:rFonts w:ascii="Arial Narrow" w:hAnsi="Arial Narrow"/>
                <w:sz w:val="20"/>
                <w:lang w:val="en-AU"/>
              </w:rPr>
              <w:t>277</w:t>
            </w:r>
          </w:p>
        </w:tc>
        <w:tc>
          <w:tcPr>
            <w:tcW w:w="1470" w:type="dxa"/>
            <w:vAlign w:val="bottom"/>
          </w:tcPr>
          <w:p w14:paraId="5AACEB7C" w14:textId="77777777" w:rsidR="00860F8E" w:rsidRPr="00E3350E" w:rsidRDefault="00860F8E" w:rsidP="00683E9C">
            <w:pPr>
              <w:keepNext/>
              <w:keepLines/>
              <w:jc w:val="right"/>
              <w:rPr>
                <w:rFonts w:ascii="Arial Narrow" w:hAnsi="Arial Narrow" w:cs="Arial"/>
                <w:sz w:val="20"/>
                <w:lang w:val="en-AU"/>
              </w:rPr>
            </w:pPr>
            <w:r w:rsidRPr="00E3350E">
              <w:rPr>
                <w:rFonts w:ascii="Arial Narrow" w:hAnsi="Arial Narrow" w:cs="Arial"/>
                <w:sz w:val="20"/>
                <w:lang w:val="en-AU"/>
              </w:rPr>
              <w:t>267</w:t>
            </w:r>
          </w:p>
        </w:tc>
      </w:tr>
      <w:tr w:rsidR="00860F8E" w:rsidRPr="00E3350E" w14:paraId="026539A3" w14:textId="77777777" w:rsidTr="00FE5FDE">
        <w:tc>
          <w:tcPr>
            <w:tcW w:w="6046" w:type="dxa"/>
          </w:tcPr>
          <w:p w14:paraId="54E5B8F3" w14:textId="77777777" w:rsidR="00860F8E" w:rsidRPr="00E3350E" w:rsidRDefault="00860F8E" w:rsidP="00683E9C">
            <w:pPr>
              <w:pStyle w:val="TableText"/>
              <w:keepLines/>
              <w:rPr>
                <w:lang w:val="en-AU"/>
              </w:rPr>
            </w:pPr>
            <w:r w:rsidRPr="00E3350E">
              <w:rPr>
                <w:lang w:val="en-AU"/>
              </w:rPr>
              <w:t xml:space="preserve">Total greenhouse </w:t>
            </w:r>
            <w:r>
              <w:rPr>
                <w:lang w:val="en-AU"/>
              </w:rPr>
              <w:t xml:space="preserve">gas </w:t>
            </w:r>
            <w:r w:rsidRPr="00E3350E">
              <w:rPr>
                <w:lang w:val="en-AU"/>
              </w:rPr>
              <w:t>emissions attributed to tenant energy consumption</w:t>
            </w:r>
            <w:r>
              <w:rPr>
                <w:lang w:val="en-AU"/>
              </w:rPr>
              <w:t>,</w:t>
            </w:r>
            <w:r w:rsidRPr="00E3350E">
              <w:rPr>
                <w:lang w:val="en-AU"/>
              </w:rPr>
              <w:t xml:space="preserve"> including Aviation House server room (tonnes C</w:t>
            </w:r>
            <w:r>
              <w:rPr>
                <w:lang w:val="en-AU"/>
              </w:rPr>
              <w:t>O</w:t>
            </w:r>
            <w:r w:rsidRPr="00593878">
              <w:rPr>
                <w:vertAlign w:val="subscript"/>
                <w:lang w:val="en-AU"/>
              </w:rPr>
              <w:t>2</w:t>
            </w:r>
            <w:r w:rsidRPr="00E3350E">
              <w:rPr>
                <w:lang w:val="en-AU"/>
              </w:rPr>
              <w:t>-e)</w:t>
            </w:r>
          </w:p>
        </w:tc>
        <w:tc>
          <w:tcPr>
            <w:tcW w:w="1469" w:type="dxa"/>
            <w:vAlign w:val="bottom"/>
          </w:tcPr>
          <w:p w14:paraId="0BF51B4C" w14:textId="77777777" w:rsidR="00860F8E" w:rsidRPr="00E3350E" w:rsidRDefault="00860F8E" w:rsidP="00683E9C">
            <w:pPr>
              <w:keepNext/>
              <w:keepLines/>
              <w:jc w:val="right"/>
              <w:rPr>
                <w:rFonts w:ascii="Arial Narrow" w:hAnsi="Arial Narrow"/>
                <w:sz w:val="20"/>
                <w:lang w:val="en-AU"/>
              </w:rPr>
            </w:pPr>
            <w:r w:rsidRPr="00E3350E">
              <w:rPr>
                <w:rFonts w:ascii="Arial Narrow" w:hAnsi="Arial Narrow"/>
                <w:sz w:val="20"/>
                <w:lang w:val="en-AU"/>
              </w:rPr>
              <w:t>1,538</w:t>
            </w:r>
          </w:p>
        </w:tc>
        <w:tc>
          <w:tcPr>
            <w:tcW w:w="1470" w:type="dxa"/>
            <w:vAlign w:val="bottom"/>
          </w:tcPr>
          <w:p w14:paraId="5524DDFE" w14:textId="77777777" w:rsidR="00860F8E" w:rsidRPr="00E3350E" w:rsidRDefault="00860F8E" w:rsidP="00683E9C">
            <w:pPr>
              <w:keepNext/>
              <w:keepLines/>
              <w:jc w:val="right"/>
              <w:rPr>
                <w:rFonts w:ascii="Arial Narrow" w:hAnsi="Arial Narrow" w:cs="Arial"/>
                <w:sz w:val="20"/>
                <w:lang w:val="en-AU"/>
              </w:rPr>
            </w:pPr>
            <w:r w:rsidRPr="00E3350E">
              <w:rPr>
                <w:rFonts w:ascii="Arial Narrow" w:hAnsi="Arial Narrow" w:cs="Arial"/>
                <w:sz w:val="20"/>
                <w:lang w:val="en-AU"/>
              </w:rPr>
              <w:t>1,544</w:t>
            </w:r>
          </w:p>
        </w:tc>
      </w:tr>
      <w:tr w:rsidR="00860F8E" w:rsidRPr="00E3350E" w14:paraId="3ABF2727" w14:textId="77777777" w:rsidTr="00FE5FDE">
        <w:tc>
          <w:tcPr>
            <w:tcW w:w="6046" w:type="dxa"/>
          </w:tcPr>
          <w:p w14:paraId="0060C5F6" w14:textId="77777777" w:rsidR="00860F8E" w:rsidRPr="00E3350E" w:rsidRDefault="00860F8E" w:rsidP="00683E9C">
            <w:pPr>
              <w:pStyle w:val="TableText"/>
              <w:keepLines/>
              <w:rPr>
                <w:lang w:val="en-AU"/>
              </w:rPr>
            </w:pPr>
            <w:r w:rsidRPr="00E3350E">
              <w:rPr>
                <w:lang w:val="en-AU"/>
              </w:rPr>
              <w:t>Green power purchased (kWh)</w:t>
            </w:r>
          </w:p>
        </w:tc>
        <w:tc>
          <w:tcPr>
            <w:tcW w:w="1469" w:type="dxa"/>
            <w:vAlign w:val="bottom"/>
          </w:tcPr>
          <w:p w14:paraId="1B971423"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52,838</w:t>
            </w:r>
          </w:p>
        </w:tc>
        <w:tc>
          <w:tcPr>
            <w:tcW w:w="1470" w:type="dxa"/>
            <w:vAlign w:val="bottom"/>
          </w:tcPr>
          <w:p w14:paraId="0DEC3BCF" w14:textId="77777777" w:rsidR="00860F8E" w:rsidRPr="00E3350E" w:rsidRDefault="00860F8E" w:rsidP="00683E9C">
            <w:pPr>
              <w:keepNext/>
              <w:keepLines/>
              <w:jc w:val="right"/>
              <w:rPr>
                <w:rFonts w:ascii="Arial Narrow" w:hAnsi="Arial Narrow" w:cs="Arial"/>
                <w:sz w:val="20"/>
                <w:lang w:val="en-AU"/>
              </w:rPr>
            </w:pPr>
            <w:r w:rsidRPr="00E3350E">
              <w:rPr>
                <w:rFonts w:ascii="Arial Narrow" w:hAnsi="Arial Narrow" w:cs="Arial"/>
                <w:sz w:val="20"/>
                <w:lang w:val="en-AU"/>
              </w:rPr>
              <w:t>55,444</w:t>
            </w:r>
          </w:p>
        </w:tc>
      </w:tr>
      <w:tr w:rsidR="00860F8E" w:rsidRPr="00E3350E" w14:paraId="55146A5A" w14:textId="77777777" w:rsidTr="00FE5FDE">
        <w:tc>
          <w:tcPr>
            <w:tcW w:w="6046" w:type="dxa"/>
            <w:shd w:val="clear" w:color="auto" w:fill="E7E6E6"/>
          </w:tcPr>
          <w:p w14:paraId="524DCA6D" w14:textId="77777777" w:rsidR="00860F8E" w:rsidRPr="00E3350E" w:rsidRDefault="00860F8E" w:rsidP="00683E9C">
            <w:pPr>
              <w:pStyle w:val="TableText"/>
              <w:keepLines/>
              <w:rPr>
                <w:b/>
                <w:lang w:val="en-AU"/>
              </w:rPr>
            </w:pPr>
            <w:r w:rsidRPr="00E3350E">
              <w:rPr>
                <w:b/>
                <w:lang w:val="en-AU"/>
              </w:rPr>
              <w:t>Vehicle fleet</w:t>
            </w:r>
          </w:p>
        </w:tc>
        <w:tc>
          <w:tcPr>
            <w:tcW w:w="1469" w:type="dxa"/>
            <w:shd w:val="clear" w:color="auto" w:fill="E7E6E6"/>
            <w:vAlign w:val="bottom"/>
          </w:tcPr>
          <w:p w14:paraId="0D5B877A" w14:textId="77777777" w:rsidR="00860F8E" w:rsidRPr="00E3350E" w:rsidRDefault="00860F8E" w:rsidP="00683E9C">
            <w:pPr>
              <w:pStyle w:val="TableText"/>
              <w:keepLines/>
              <w:jc w:val="right"/>
              <w:rPr>
                <w:b/>
                <w:lang w:val="en-AU"/>
              </w:rPr>
            </w:pPr>
          </w:p>
        </w:tc>
        <w:tc>
          <w:tcPr>
            <w:tcW w:w="1470" w:type="dxa"/>
            <w:shd w:val="clear" w:color="auto" w:fill="E7E6E6"/>
            <w:vAlign w:val="bottom"/>
          </w:tcPr>
          <w:p w14:paraId="0B68F890" w14:textId="77777777" w:rsidR="00860F8E" w:rsidRPr="00E3350E" w:rsidRDefault="00860F8E" w:rsidP="00683E9C">
            <w:pPr>
              <w:pStyle w:val="TableText"/>
              <w:keepLines/>
              <w:jc w:val="right"/>
              <w:rPr>
                <w:b/>
                <w:lang w:val="en-AU"/>
              </w:rPr>
            </w:pPr>
          </w:p>
        </w:tc>
      </w:tr>
      <w:tr w:rsidR="00860F8E" w:rsidRPr="00E3350E" w14:paraId="3D5767A4" w14:textId="77777777" w:rsidTr="00FE5FDE">
        <w:tc>
          <w:tcPr>
            <w:tcW w:w="6046" w:type="dxa"/>
          </w:tcPr>
          <w:p w14:paraId="0B40E7D3" w14:textId="77777777" w:rsidR="00860F8E" w:rsidRPr="00E3350E" w:rsidRDefault="00860F8E" w:rsidP="00683E9C">
            <w:pPr>
              <w:pStyle w:val="CASAChapterText"/>
              <w:keepNext/>
              <w:keepLines/>
              <w:rPr>
                <w:rFonts w:ascii="Arial Narrow" w:hAnsi="Arial Narrow"/>
                <w:sz w:val="20"/>
                <w:szCs w:val="20"/>
              </w:rPr>
            </w:pPr>
            <w:r w:rsidRPr="00E3350E">
              <w:rPr>
                <w:rFonts w:ascii="Arial Narrow" w:hAnsi="Arial Narrow"/>
                <w:sz w:val="20"/>
                <w:szCs w:val="20"/>
              </w:rPr>
              <w:t>Total number of fleet vehicles</w:t>
            </w:r>
          </w:p>
        </w:tc>
        <w:tc>
          <w:tcPr>
            <w:tcW w:w="1469" w:type="dxa"/>
            <w:vAlign w:val="bottom"/>
          </w:tcPr>
          <w:p w14:paraId="540A370F" w14:textId="77777777" w:rsidR="00860F8E" w:rsidRPr="00E3350E" w:rsidRDefault="00860F8E" w:rsidP="00683E9C">
            <w:pPr>
              <w:keepNext/>
              <w:keepLines/>
              <w:jc w:val="right"/>
              <w:rPr>
                <w:rFonts w:ascii="Arial Narrow" w:hAnsi="Arial Narrow"/>
                <w:sz w:val="20"/>
                <w:lang w:val="en-AU"/>
              </w:rPr>
            </w:pPr>
            <w:r w:rsidRPr="00E3350E">
              <w:rPr>
                <w:rFonts w:ascii="Arial Narrow" w:hAnsi="Arial Narrow"/>
                <w:sz w:val="20"/>
                <w:lang w:val="en-AU"/>
              </w:rPr>
              <w:t>36</w:t>
            </w:r>
          </w:p>
        </w:tc>
        <w:tc>
          <w:tcPr>
            <w:tcW w:w="1470" w:type="dxa"/>
            <w:vAlign w:val="bottom"/>
          </w:tcPr>
          <w:p w14:paraId="26EF1723" w14:textId="77777777" w:rsidR="00860F8E" w:rsidRPr="00E3350E" w:rsidRDefault="00860F8E" w:rsidP="00683E9C">
            <w:pPr>
              <w:keepNext/>
              <w:keepLines/>
              <w:jc w:val="right"/>
              <w:rPr>
                <w:rFonts w:ascii="Arial Narrow" w:hAnsi="Arial Narrow" w:cs="Arial"/>
                <w:sz w:val="20"/>
                <w:lang w:val="en-AU"/>
              </w:rPr>
            </w:pPr>
            <w:r w:rsidRPr="00E3350E">
              <w:rPr>
                <w:rFonts w:ascii="Arial Narrow" w:hAnsi="Arial Narrow" w:cs="Arial"/>
                <w:sz w:val="20"/>
                <w:lang w:val="en-AU"/>
              </w:rPr>
              <w:t>35</w:t>
            </w:r>
          </w:p>
        </w:tc>
      </w:tr>
      <w:tr w:rsidR="00860F8E" w:rsidRPr="00E3350E" w14:paraId="4F1203F5" w14:textId="77777777" w:rsidTr="00FE5FDE">
        <w:tc>
          <w:tcPr>
            <w:tcW w:w="6046" w:type="dxa"/>
          </w:tcPr>
          <w:p w14:paraId="5D2FD4D2" w14:textId="77777777" w:rsidR="00860F8E" w:rsidRPr="00E3350E" w:rsidRDefault="00860F8E" w:rsidP="00683E9C">
            <w:pPr>
              <w:pStyle w:val="CASAChapterText"/>
              <w:keepNext/>
              <w:keepLines/>
              <w:rPr>
                <w:rFonts w:ascii="Arial Narrow" w:hAnsi="Arial Narrow"/>
                <w:b/>
                <w:sz w:val="20"/>
                <w:szCs w:val="20"/>
              </w:rPr>
            </w:pPr>
            <w:r w:rsidRPr="00E3350E">
              <w:rPr>
                <w:rFonts w:ascii="Arial Narrow" w:hAnsi="Arial Narrow"/>
                <w:sz w:val="20"/>
                <w:szCs w:val="20"/>
              </w:rPr>
              <w:t>Number of vehicles under 1</w:t>
            </w:r>
            <w:r w:rsidR="008E0F22">
              <w:rPr>
                <w:rFonts w:ascii="Arial Narrow" w:hAnsi="Arial Narrow"/>
                <w:sz w:val="20"/>
                <w:szCs w:val="20"/>
              </w:rPr>
              <w:t>,</w:t>
            </w:r>
            <w:r w:rsidRPr="00E3350E">
              <w:rPr>
                <w:rFonts w:ascii="Arial Narrow" w:hAnsi="Arial Narrow"/>
                <w:sz w:val="20"/>
                <w:szCs w:val="20"/>
              </w:rPr>
              <w:t>80</w:t>
            </w:r>
            <w:r w:rsidR="000D7CE7">
              <w:rPr>
                <w:rFonts w:ascii="Arial Narrow" w:hAnsi="Arial Narrow"/>
                <w:sz w:val="20"/>
                <w:szCs w:val="20"/>
              </w:rPr>
              <w:t>0</w:t>
            </w:r>
            <w:r>
              <w:rPr>
                <w:rFonts w:ascii="Arial Narrow" w:hAnsi="Arial Narrow"/>
                <w:sz w:val="20"/>
                <w:szCs w:val="20"/>
              </w:rPr>
              <w:t> </w:t>
            </w:r>
            <w:r w:rsidRPr="00E3350E">
              <w:rPr>
                <w:rFonts w:ascii="Arial Narrow" w:hAnsi="Arial Narrow"/>
                <w:sz w:val="20"/>
                <w:szCs w:val="20"/>
              </w:rPr>
              <w:t>cc or hybrid</w:t>
            </w:r>
          </w:p>
        </w:tc>
        <w:tc>
          <w:tcPr>
            <w:tcW w:w="1469" w:type="dxa"/>
            <w:vAlign w:val="bottom"/>
          </w:tcPr>
          <w:p w14:paraId="0F0458C1"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13</w:t>
            </w:r>
          </w:p>
        </w:tc>
        <w:tc>
          <w:tcPr>
            <w:tcW w:w="1470" w:type="dxa"/>
            <w:vAlign w:val="bottom"/>
          </w:tcPr>
          <w:p w14:paraId="34CD9D22"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11</w:t>
            </w:r>
          </w:p>
        </w:tc>
      </w:tr>
      <w:tr w:rsidR="00860F8E" w:rsidRPr="00E3350E" w14:paraId="0835927E" w14:textId="77777777" w:rsidTr="00FE5FDE">
        <w:tc>
          <w:tcPr>
            <w:tcW w:w="6046" w:type="dxa"/>
          </w:tcPr>
          <w:p w14:paraId="012EA958" w14:textId="77777777" w:rsidR="00860F8E" w:rsidRPr="00E3350E" w:rsidRDefault="00860F8E" w:rsidP="00683E9C">
            <w:pPr>
              <w:pStyle w:val="CASAChapterText"/>
              <w:keepNext/>
              <w:keepLines/>
              <w:rPr>
                <w:rFonts w:ascii="Arial Narrow" w:hAnsi="Arial Narrow"/>
                <w:sz w:val="20"/>
                <w:szCs w:val="20"/>
              </w:rPr>
            </w:pPr>
            <w:r w:rsidRPr="00E3350E">
              <w:rPr>
                <w:rFonts w:ascii="Arial Narrow" w:hAnsi="Arial Narrow"/>
                <w:sz w:val="20"/>
                <w:szCs w:val="20"/>
              </w:rPr>
              <w:t>Total fuel used (litres)</w:t>
            </w:r>
          </w:p>
        </w:tc>
        <w:tc>
          <w:tcPr>
            <w:tcW w:w="1469" w:type="dxa"/>
            <w:vAlign w:val="bottom"/>
          </w:tcPr>
          <w:p w14:paraId="7623588D"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31,909</w:t>
            </w:r>
          </w:p>
        </w:tc>
        <w:tc>
          <w:tcPr>
            <w:tcW w:w="1470" w:type="dxa"/>
            <w:vAlign w:val="bottom"/>
          </w:tcPr>
          <w:p w14:paraId="45091348"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28,861</w:t>
            </w:r>
          </w:p>
        </w:tc>
      </w:tr>
      <w:tr w:rsidR="00860F8E" w:rsidRPr="00E3350E" w14:paraId="3D2B82C8" w14:textId="77777777" w:rsidTr="00FE5FDE">
        <w:tc>
          <w:tcPr>
            <w:tcW w:w="6046" w:type="dxa"/>
          </w:tcPr>
          <w:p w14:paraId="0A419D61" w14:textId="77777777" w:rsidR="00860F8E" w:rsidRPr="00E3350E" w:rsidRDefault="00860F8E" w:rsidP="00683E9C">
            <w:pPr>
              <w:pStyle w:val="CASAChapterText"/>
              <w:keepNext/>
              <w:keepLines/>
              <w:rPr>
                <w:rFonts w:ascii="Arial Narrow" w:hAnsi="Arial Narrow"/>
                <w:sz w:val="20"/>
                <w:szCs w:val="20"/>
              </w:rPr>
            </w:pPr>
            <w:r w:rsidRPr="00E3350E">
              <w:rPr>
                <w:rFonts w:ascii="Arial Narrow" w:hAnsi="Arial Narrow"/>
                <w:sz w:val="20"/>
                <w:szCs w:val="20"/>
              </w:rPr>
              <w:t xml:space="preserve">Total distance travelled (km)  </w:t>
            </w:r>
          </w:p>
        </w:tc>
        <w:tc>
          <w:tcPr>
            <w:tcW w:w="1469" w:type="dxa"/>
            <w:vAlign w:val="bottom"/>
          </w:tcPr>
          <w:p w14:paraId="123F4F28"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400,768</w:t>
            </w:r>
          </w:p>
        </w:tc>
        <w:tc>
          <w:tcPr>
            <w:tcW w:w="1470" w:type="dxa"/>
            <w:vAlign w:val="bottom"/>
          </w:tcPr>
          <w:p w14:paraId="21CC7EDC"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380,134</w:t>
            </w:r>
          </w:p>
        </w:tc>
      </w:tr>
      <w:tr w:rsidR="00860F8E" w:rsidRPr="00E3350E" w14:paraId="7CEF1A93" w14:textId="77777777" w:rsidTr="00FE5FDE">
        <w:tc>
          <w:tcPr>
            <w:tcW w:w="6046" w:type="dxa"/>
          </w:tcPr>
          <w:p w14:paraId="494509B9" w14:textId="77777777" w:rsidR="00860F8E" w:rsidRPr="00E3350E" w:rsidRDefault="00860F8E" w:rsidP="00683E9C">
            <w:pPr>
              <w:pStyle w:val="CASAChapterText"/>
              <w:keepNext/>
              <w:keepLines/>
              <w:rPr>
                <w:rFonts w:ascii="Arial Narrow" w:hAnsi="Arial Narrow"/>
                <w:sz w:val="20"/>
                <w:szCs w:val="20"/>
              </w:rPr>
            </w:pPr>
            <w:r w:rsidRPr="00E3350E">
              <w:rPr>
                <w:rFonts w:ascii="Arial Narrow" w:hAnsi="Arial Narrow"/>
                <w:sz w:val="20"/>
                <w:szCs w:val="20"/>
              </w:rPr>
              <w:t>Average fuel consumption of fleet vehicles per 100 kilometres (litres)</w:t>
            </w:r>
          </w:p>
        </w:tc>
        <w:tc>
          <w:tcPr>
            <w:tcW w:w="1469" w:type="dxa"/>
            <w:vAlign w:val="bottom"/>
          </w:tcPr>
          <w:p w14:paraId="7892DA97"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8.0</w:t>
            </w:r>
          </w:p>
        </w:tc>
        <w:tc>
          <w:tcPr>
            <w:tcW w:w="1470" w:type="dxa"/>
            <w:vAlign w:val="bottom"/>
          </w:tcPr>
          <w:p w14:paraId="34D8D1A3"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7.</w:t>
            </w:r>
            <w:r w:rsidR="00683E9C">
              <w:rPr>
                <w:rFonts w:ascii="Arial Narrow" w:hAnsi="Arial Narrow"/>
                <w:sz w:val="20"/>
                <w:szCs w:val="20"/>
              </w:rPr>
              <w:t>6</w:t>
            </w:r>
          </w:p>
        </w:tc>
      </w:tr>
      <w:tr w:rsidR="00860F8E" w:rsidRPr="00E3350E" w14:paraId="45411A52" w14:textId="77777777" w:rsidTr="00FE5FDE">
        <w:tc>
          <w:tcPr>
            <w:tcW w:w="6046" w:type="dxa"/>
          </w:tcPr>
          <w:p w14:paraId="7BDB7ABA" w14:textId="77777777" w:rsidR="00860F8E" w:rsidRPr="00E3350E" w:rsidRDefault="00860F8E" w:rsidP="00683E9C">
            <w:pPr>
              <w:pStyle w:val="CASAChapterText"/>
              <w:keepNext/>
              <w:keepLines/>
              <w:rPr>
                <w:rFonts w:ascii="Arial Narrow" w:hAnsi="Arial Narrow"/>
                <w:sz w:val="20"/>
                <w:szCs w:val="20"/>
              </w:rPr>
            </w:pPr>
            <w:r w:rsidRPr="00E3350E">
              <w:rPr>
                <w:rFonts w:ascii="Arial Narrow" w:hAnsi="Arial Narrow"/>
                <w:sz w:val="20"/>
                <w:szCs w:val="20"/>
              </w:rPr>
              <w:t xml:space="preserve">Total greenhouse </w:t>
            </w:r>
            <w:r>
              <w:rPr>
                <w:rFonts w:ascii="Arial Narrow" w:hAnsi="Arial Narrow"/>
                <w:sz w:val="20"/>
                <w:szCs w:val="20"/>
              </w:rPr>
              <w:t xml:space="preserve">gas </w:t>
            </w:r>
            <w:r w:rsidRPr="00E3350E">
              <w:rPr>
                <w:rFonts w:ascii="Arial Narrow" w:hAnsi="Arial Narrow"/>
                <w:sz w:val="20"/>
                <w:szCs w:val="20"/>
              </w:rPr>
              <w:t>emissions attributed to motor vehicle fleet usage (tonnes C</w:t>
            </w:r>
            <w:r>
              <w:rPr>
                <w:rFonts w:ascii="Arial Narrow" w:hAnsi="Arial Narrow"/>
                <w:sz w:val="20"/>
                <w:szCs w:val="20"/>
              </w:rPr>
              <w:t>O</w:t>
            </w:r>
            <w:r w:rsidRPr="004525B3">
              <w:rPr>
                <w:rFonts w:ascii="Arial Narrow" w:hAnsi="Arial Narrow"/>
                <w:sz w:val="20"/>
                <w:szCs w:val="20"/>
                <w:vertAlign w:val="subscript"/>
              </w:rPr>
              <w:t>2</w:t>
            </w:r>
            <w:r w:rsidRPr="00E3350E">
              <w:rPr>
                <w:rFonts w:ascii="Arial Narrow" w:hAnsi="Arial Narrow"/>
                <w:sz w:val="20"/>
                <w:szCs w:val="20"/>
              </w:rPr>
              <w:t>-e)</w:t>
            </w:r>
          </w:p>
        </w:tc>
        <w:tc>
          <w:tcPr>
            <w:tcW w:w="1469" w:type="dxa"/>
            <w:vAlign w:val="bottom"/>
          </w:tcPr>
          <w:p w14:paraId="2E001F31"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77</w:t>
            </w:r>
            <w:r>
              <w:rPr>
                <w:rFonts w:ascii="Arial Narrow" w:hAnsi="Arial Narrow"/>
                <w:sz w:val="20"/>
                <w:szCs w:val="20"/>
              </w:rPr>
              <w:t>.0</w:t>
            </w:r>
          </w:p>
        </w:tc>
        <w:tc>
          <w:tcPr>
            <w:tcW w:w="1470" w:type="dxa"/>
            <w:vAlign w:val="bottom"/>
          </w:tcPr>
          <w:p w14:paraId="55B96AC0"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74.5</w:t>
            </w:r>
          </w:p>
        </w:tc>
      </w:tr>
      <w:tr w:rsidR="00860F8E" w:rsidRPr="00E3350E" w14:paraId="0272E130" w14:textId="77777777" w:rsidTr="00FE5FDE">
        <w:tc>
          <w:tcPr>
            <w:tcW w:w="6046" w:type="dxa"/>
            <w:shd w:val="clear" w:color="auto" w:fill="E7E6E6"/>
          </w:tcPr>
          <w:p w14:paraId="6D9B9C12" w14:textId="77777777" w:rsidR="00860F8E" w:rsidRPr="00E3350E" w:rsidRDefault="00860F8E" w:rsidP="00683E9C">
            <w:pPr>
              <w:pStyle w:val="TableText"/>
              <w:keepLines/>
              <w:rPr>
                <w:b/>
                <w:lang w:val="en-AU"/>
              </w:rPr>
            </w:pPr>
            <w:r w:rsidRPr="00E3350E">
              <w:rPr>
                <w:b/>
                <w:lang w:val="en-AU"/>
              </w:rPr>
              <w:t>Air travel</w:t>
            </w:r>
          </w:p>
        </w:tc>
        <w:tc>
          <w:tcPr>
            <w:tcW w:w="1469" w:type="dxa"/>
            <w:shd w:val="clear" w:color="auto" w:fill="E7E6E6"/>
            <w:vAlign w:val="bottom"/>
          </w:tcPr>
          <w:p w14:paraId="05BF480B" w14:textId="77777777" w:rsidR="00860F8E" w:rsidRPr="00E3350E" w:rsidRDefault="00860F8E" w:rsidP="00683E9C">
            <w:pPr>
              <w:pStyle w:val="TableText"/>
              <w:keepLines/>
              <w:jc w:val="right"/>
              <w:rPr>
                <w:b/>
                <w:lang w:val="en-AU"/>
              </w:rPr>
            </w:pPr>
          </w:p>
        </w:tc>
        <w:tc>
          <w:tcPr>
            <w:tcW w:w="1470" w:type="dxa"/>
            <w:shd w:val="clear" w:color="auto" w:fill="E7E6E6"/>
            <w:vAlign w:val="bottom"/>
          </w:tcPr>
          <w:p w14:paraId="163B77E2" w14:textId="77777777" w:rsidR="00860F8E" w:rsidRPr="00E3350E" w:rsidRDefault="00860F8E" w:rsidP="00683E9C">
            <w:pPr>
              <w:pStyle w:val="TableText"/>
              <w:keepLines/>
              <w:jc w:val="right"/>
              <w:rPr>
                <w:b/>
                <w:lang w:val="en-AU"/>
              </w:rPr>
            </w:pPr>
          </w:p>
        </w:tc>
      </w:tr>
      <w:tr w:rsidR="00860F8E" w:rsidRPr="00E3350E" w14:paraId="2F165670" w14:textId="77777777" w:rsidTr="00FE5FDE">
        <w:tc>
          <w:tcPr>
            <w:tcW w:w="6046" w:type="dxa"/>
          </w:tcPr>
          <w:p w14:paraId="0C3597E0" w14:textId="77777777" w:rsidR="00860F8E" w:rsidRPr="00E3350E" w:rsidRDefault="00860F8E" w:rsidP="00683E9C">
            <w:pPr>
              <w:pStyle w:val="CASAChapterText"/>
              <w:keepNext/>
              <w:keepLines/>
              <w:rPr>
                <w:rFonts w:ascii="Arial Narrow" w:hAnsi="Arial Narrow"/>
                <w:sz w:val="20"/>
                <w:szCs w:val="20"/>
              </w:rPr>
            </w:pPr>
            <w:r w:rsidRPr="00E3350E">
              <w:rPr>
                <w:rFonts w:ascii="Arial Narrow" w:hAnsi="Arial Narrow"/>
                <w:sz w:val="20"/>
                <w:szCs w:val="20"/>
              </w:rPr>
              <w:t>Total number of flights</w:t>
            </w:r>
          </w:p>
        </w:tc>
        <w:tc>
          <w:tcPr>
            <w:tcW w:w="1469" w:type="dxa"/>
            <w:vAlign w:val="bottom"/>
          </w:tcPr>
          <w:p w14:paraId="7F103102"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8,082</w:t>
            </w:r>
          </w:p>
        </w:tc>
        <w:tc>
          <w:tcPr>
            <w:tcW w:w="1470" w:type="dxa"/>
            <w:vAlign w:val="bottom"/>
          </w:tcPr>
          <w:p w14:paraId="2B35193F"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10,691</w:t>
            </w:r>
          </w:p>
        </w:tc>
      </w:tr>
      <w:tr w:rsidR="00860F8E" w:rsidRPr="00E3350E" w14:paraId="2073F9CC" w14:textId="77777777" w:rsidTr="00FE5FDE">
        <w:tc>
          <w:tcPr>
            <w:tcW w:w="6046" w:type="dxa"/>
          </w:tcPr>
          <w:p w14:paraId="06FEC448" w14:textId="77777777" w:rsidR="00860F8E" w:rsidRPr="00E3350E" w:rsidRDefault="00860F8E" w:rsidP="00683E9C">
            <w:pPr>
              <w:pStyle w:val="CASAChapterText"/>
              <w:keepNext/>
              <w:keepLines/>
              <w:rPr>
                <w:rFonts w:ascii="Arial Narrow" w:hAnsi="Arial Narrow"/>
                <w:b/>
                <w:sz w:val="20"/>
                <w:szCs w:val="20"/>
              </w:rPr>
            </w:pPr>
            <w:r w:rsidRPr="00E3350E">
              <w:rPr>
                <w:rFonts w:ascii="Arial Narrow" w:hAnsi="Arial Narrow"/>
                <w:sz w:val="20"/>
                <w:szCs w:val="20"/>
              </w:rPr>
              <w:t>Total number of kilometres flown</w:t>
            </w:r>
          </w:p>
        </w:tc>
        <w:tc>
          <w:tcPr>
            <w:tcW w:w="1469" w:type="dxa"/>
            <w:vAlign w:val="bottom"/>
          </w:tcPr>
          <w:p w14:paraId="76BCBD78" w14:textId="77777777" w:rsidR="00860F8E" w:rsidRPr="00E3350E" w:rsidRDefault="00860F8E" w:rsidP="00683E9C">
            <w:pPr>
              <w:pStyle w:val="CASAChapterText"/>
              <w:keepNext/>
              <w:keepLines/>
              <w:jc w:val="right"/>
              <w:rPr>
                <w:rFonts w:ascii="Arial Narrow" w:hAnsi="Arial Narrow"/>
                <w:b/>
                <w:sz w:val="20"/>
                <w:szCs w:val="20"/>
              </w:rPr>
            </w:pPr>
            <w:r w:rsidRPr="00E3350E">
              <w:rPr>
                <w:rFonts w:ascii="Arial Narrow" w:hAnsi="Arial Narrow"/>
                <w:sz w:val="20"/>
                <w:szCs w:val="20"/>
              </w:rPr>
              <w:t>17,564,863</w:t>
            </w:r>
          </w:p>
        </w:tc>
        <w:tc>
          <w:tcPr>
            <w:tcW w:w="1470" w:type="dxa"/>
            <w:vAlign w:val="bottom"/>
          </w:tcPr>
          <w:p w14:paraId="41BD9117"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15,675,996</w:t>
            </w:r>
          </w:p>
        </w:tc>
      </w:tr>
      <w:tr w:rsidR="00860F8E" w:rsidRPr="00E3350E" w14:paraId="6C8C9978" w14:textId="77777777" w:rsidTr="00FE5FDE">
        <w:tc>
          <w:tcPr>
            <w:tcW w:w="6046" w:type="dxa"/>
          </w:tcPr>
          <w:p w14:paraId="1C42C3CE" w14:textId="77777777" w:rsidR="00860F8E" w:rsidRPr="00E3350E" w:rsidRDefault="00860F8E" w:rsidP="00683E9C">
            <w:pPr>
              <w:pStyle w:val="CASAChapterText"/>
              <w:keepNext/>
              <w:keepLines/>
              <w:rPr>
                <w:rFonts w:ascii="Arial Narrow" w:hAnsi="Arial Narrow"/>
                <w:sz w:val="20"/>
                <w:szCs w:val="20"/>
              </w:rPr>
            </w:pPr>
            <w:r w:rsidRPr="00E3350E">
              <w:rPr>
                <w:rFonts w:ascii="Arial Narrow" w:hAnsi="Arial Narrow"/>
                <w:sz w:val="20"/>
                <w:szCs w:val="20"/>
              </w:rPr>
              <w:t>Kilometres flown per head count</w:t>
            </w:r>
          </w:p>
        </w:tc>
        <w:tc>
          <w:tcPr>
            <w:tcW w:w="1469" w:type="dxa"/>
            <w:vAlign w:val="bottom"/>
          </w:tcPr>
          <w:p w14:paraId="485E6E42"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19,365</w:t>
            </w:r>
          </w:p>
        </w:tc>
        <w:tc>
          <w:tcPr>
            <w:tcW w:w="1470" w:type="dxa"/>
            <w:vAlign w:val="bottom"/>
          </w:tcPr>
          <w:p w14:paraId="69B8AB32"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17,713</w:t>
            </w:r>
          </w:p>
        </w:tc>
      </w:tr>
      <w:tr w:rsidR="00860F8E" w:rsidRPr="00E3350E" w14:paraId="0112AF0A" w14:textId="77777777" w:rsidTr="00FE5FDE">
        <w:tc>
          <w:tcPr>
            <w:tcW w:w="6046" w:type="dxa"/>
          </w:tcPr>
          <w:p w14:paraId="68E8778B" w14:textId="77777777" w:rsidR="00860F8E" w:rsidRPr="00E3350E" w:rsidRDefault="00860F8E" w:rsidP="00683E9C">
            <w:pPr>
              <w:pStyle w:val="CASAChapterText"/>
              <w:keepNext/>
              <w:keepLines/>
              <w:rPr>
                <w:rFonts w:ascii="Arial Narrow" w:hAnsi="Arial Narrow"/>
                <w:sz w:val="20"/>
                <w:szCs w:val="20"/>
              </w:rPr>
            </w:pPr>
            <w:r w:rsidRPr="00E3350E">
              <w:rPr>
                <w:rFonts w:ascii="Arial Narrow" w:hAnsi="Arial Narrow"/>
                <w:sz w:val="20"/>
                <w:szCs w:val="20"/>
              </w:rPr>
              <w:t xml:space="preserve">Total greenhouse </w:t>
            </w:r>
            <w:r>
              <w:rPr>
                <w:rFonts w:ascii="Arial Narrow" w:hAnsi="Arial Narrow"/>
                <w:sz w:val="20"/>
                <w:szCs w:val="20"/>
              </w:rPr>
              <w:t xml:space="preserve">gas </w:t>
            </w:r>
            <w:r w:rsidRPr="00E3350E">
              <w:rPr>
                <w:rFonts w:ascii="Arial Narrow" w:hAnsi="Arial Narrow"/>
                <w:sz w:val="20"/>
                <w:szCs w:val="20"/>
              </w:rPr>
              <w:t>emissions attributed to air travel (CO</w:t>
            </w:r>
            <w:r w:rsidRPr="004525B3">
              <w:rPr>
                <w:rFonts w:ascii="Arial Narrow" w:hAnsi="Arial Narrow"/>
                <w:sz w:val="20"/>
                <w:szCs w:val="20"/>
                <w:vertAlign w:val="subscript"/>
              </w:rPr>
              <w:t>2</w:t>
            </w:r>
            <w:r w:rsidRPr="00C1207C">
              <w:rPr>
                <w:rFonts w:ascii="Arial Narrow" w:hAnsi="Arial Narrow"/>
              </w:rPr>
              <w:t>-</w:t>
            </w:r>
            <w:r w:rsidRPr="00E3350E">
              <w:rPr>
                <w:rFonts w:ascii="Arial Narrow" w:hAnsi="Arial Narrow"/>
                <w:sz w:val="20"/>
                <w:szCs w:val="20"/>
              </w:rPr>
              <w:t>e kg)</w:t>
            </w:r>
          </w:p>
        </w:tc>
        <w:tc>
          <w:tcPr>
            <w:tcW w:w="1469" w:type="dxa"/>
            <w:vAlign w:val="bottom"/>
          </w:tcPr>
          <w:p w14:paraId="393EFF84"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2,246,103</w:t>
            </w:r>
          </w:p>
        </w:tc>
        <w:tc>
          <w:tcPr>
            <w:tcW w:w="1470" w:type="dxa"/>
            <w:vAlign w:val="bottom"/>
          </w:tcPr>
          <w:p w14:paraId="40DD33A2"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1,505,311</w:t>
            </w:r>
          </w:p>
        </w:tc>
      </w:tr>
      <w:tr w:rsidR="00860F8E" w:rsidRPr="00E3350E" w14:paraId="73F1AB93" w14:textId="77777777" w:rsidTr="00FE5FDE">
        <w:tc>
          <w:tcPr>
            <w:tcW w:w="6046" w:type="dxa"/>
            <w:shd w:val="clear" w:color="auto" w:fill="E7E6E6"/>
          </w:tcPr>
          <w:p w14:paraId="44D1B64C" w14:textId="77777777" w:rsidR="00860F8E" w:rsidRPr="00E3350E" w:rsidRDefault="00860F8E" w:rsidP="00683E9C">
            <w:pPr>
              <w:pStyle w:val="TableText"/>
              <w:keepLines/>
              <w:rPr>
                <w:b/>
                <w:lang w:val="en-AU"/>
              </w:rPr>
            </w:pPr>
            <w:r w:rsidRPr="00E3350E">
              <w:rPr>
                <w:b/>
                <w:lang w:val="en-AU"/>
              </w:rPr>
              <w:t>Resource efficiency and waste</w:t>
            </w:r>
          </w:p>
        </w:tc>
        <w:tc>
          <w:tcPr>
            <w:tcW w:w="1469" w:type="dxa"/>
            <w:shd w:val="clear" w:color="auto" w:fill="E7E6E6"/>
            <w:vAlign w:val="bottom"/>
          </w:tcPr>
          <w:p w14:paraId="3C4B6D22" w14:textId="77777777" w:rsidR="00860F8E" w:rsidRPr="00E3350E" w:rsidRDefault="00860F8E" w:rsidP="00683E9C">
            <w:pPr>
              <w:pStyle w:val="TableText"/>
              <w:keepLines/>
              <w:jc w:val="right"/>
              <w:rPr>
                <w:b/>
                <w:lang w:val="en-AU"/>
              </w:rPr>
            </w:pPr>
          </w:p>
        </w:tc>
        <w:tc>
          <w:tcPr>
            <w:tcW w:w="1470" w:type="dxa"/>
            <w:shd w:val="clear" w:color="auto" w:fill="E7E6E6"/>
            <w:vAlign w:val="bottom"/>
          </w:tcPr>
          <w:p w14:paraId="34A68965" w14:textId="77777777" w:rsidR="00860F8E" w:rsidRPr="00E3350E" w:rsidRDefault="00860F8E" w:rsidP="00683E9C">
            <w:pPr>
              <w:pStyle w:val="TableText"/>
              <w:keepLines/>
              <w:jc w:val="right"/>
              <w:rPr>
                <w:b/>
                <w:lang w:val="en-AU"/>
              </w:rPr>
            </w:pPr>
          </w:p>
        </w:tc>
      </w:tr>
      <w:tr w:rsidR="00860F8E" w:rsidRPr="00E3350E" w14:paraId="1AC0F182" w14:textId="77777777" w:rsidTr="00FE5FDE">
        <w:tc>
          <w:tcPr>
            <w:tcW w:w="6046" w:type="dxa"/>
          </w:tcPr>
          <w:p w14:paraId="195015F9" w14:textId="77777777" w:rsidR="00860F8E" w:rsidRPr="00E3350E" w:rsidRDefault="00860F8E" w:rsidP="00683E9C">
            <w:pPr>
              <w:pStyle w:val="CASAChapterText"/>
              <w:keepNext/>
              <w:keepLines/>
              <w:rPr>
                <w:rFonts w:ascii="Arial Narrow" w:hAnsi="Arial Narrow"/>
                <w:sz w:val="20"/>
                <w:szCs w:val="20"/>
              </w:rPr>
            </w:pPr>
            <w:r w:rsidRPr="00E3350E">
              <w:rPr>
                <w:rFonts w:ascii="Arial Narrow" w:hAnsi="Arial Narrow"/>
                <w:sz w:val="20"/>
                <w:szCs w:val="20"/>
              </w:rPr>
              <w:t xml:space="preserve">Total office paper purchased </w:t>
            </w:r>
            <w:r>
              <w:rPr>
                <w:rFonts w:ascii="Arial Narrow" w:hAnsi="Arial Narrow"/>
                <w:sz w:val="20"/>
                <w:szCs w:val="20"/>
              </w:rPr>
              <w:t>(</w:t>
            </w:r>
            <w:r w:rsidRPr="00E3350E">
              <w:rPr>
                <w:rFonts w:ascii="Arial Narrow" w:hAnsi="Arial Narrow"/>
                <w:sz w:val="20"/>
                <w:szCs w:val="20"/>
              </w:rPr>
              <w:t>reams</w:t>
            </w:r>
            <w:r>
              <w:rPr>
                <w:rFonts w:ascii="Arial Narrow" w:hAnsi="Arial Narrow"/>
                <w:sz w:val="20"/>
                <w:szCs w:val="20"/>
              </w:rPr>
              <w:t xml:space="preserve"> A4</w:t>
            </w:r>
            <w:r w:rsidRPr="00E3350E">
              <w:rPr>
                <w:rFonts w:ascii="Arial Narrow" w:hAnsi="Arial Narrow"/>
                <w:sz w:val="20"/>
                <w:szCs w:val="20"/>
              </w:rPr>
              <w:t xml:space="preserve"> per head</w:t>
            </w:r>
            <w:r>
              <w:rPr>
                <w:rFonts w:ascii="Arial Narrow" w:hAnsi="Arial Narrow"/>
                <w:sz w:val="20"/>
                <w:szCs w:val="20"/>
              </w:rPr>
              <w:t>)</w:t>
            </w:r>
          </w:p>
        </w:tc>
        <w:tc>
          <w:tcPr>
            <w:tcW w:w="1469" w:type="dxa"/>
            <w:vAlign w:val="bottom"/>
          </w:tcPr>
          <w:p w14:paraId="3067B6C4"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7.2</w:t>
            </w:r>
          </w:p>
        </w:tc>
        <w:tc>
          <w:tcPr>
            <w:tcW w:w="1470" w:type="dxa"/>
            <w:vAlign w:val="bottom"/>
          </w:tcPr>
          <w:p w14:paraId="15DB57B8"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6</w:t>
            </w:r>
            <w:r>
              <w:rPr>
                <w:rFonts w:ascii="Arial Narrow" w:hAnsi="Arial Narrow"/>
                <w:sz w:val="20"/>
                <w:szCs w:val="20"/>
              </w:rPr>
              <w:t>.0</w:t>
            </w:r>
          </w:p>
        </w:tc>
      </w:tr>
      <w:tr w:rsidR="00860F8E" w:rsidRPr="00E3350E" w14:paraId="2D6CD84B" w14:textId="77777777" w:rsidTr="00FE5FDE">
        <w:tc>
          <w:tcPr>
            <w:tcW w:w="6046" w:type="dxa"/>
          </w:tcPr>
          <w:p w14:paraId="76FDBC86" w14:textId="77777777" w:rsidR="00860F8E" w:rsidRPr="00E3350E" w:rsidRDefault="00860F8E" w:rsidP="00683E9C">
            <w:pPr>
              <w:pStyle w:val="CASAChapterText"/>
              <w:keepNext/>
              <w:keepLines/>
              <w:rPr>
                <w:rFonts w:ascii="Arial Narrow" w:hAnsi="Arial Narrow"/>
                <w:b/>
                <w:sz w:val="20"/>
                <w:szCs w:val="20"/>
              </w:rPr>
            </w:pPr>
            <w:r w:rsidRPr="00E3350E">
              <w:rPr>
                <w:rFonts w:ascii="Arial Narrow" w:hAnsi="Arial Narrow"/>
                <w:sz w:val="20"/>
                <w:szCs w:val="20"/>
              </w:rPr>
              <w:t>As above</w:t>
            </w:r>
            <w:r>
              <w:rPr>
                <w:rFonts w:ascii="Arial Narrow" w:hAnsi="Arial Narrow"/>
                <w:sz w:val="20"/>
                <w:szCs w:val="20"/>
              </w:rPr>
              <w:t>,</w:t>
            </w:r>
            <w:r w:rsidRPr="00E3350E">
              <w:rPr>
                <w:rFonts w:ascii="Arial Narrow" w:hAnsi="Arial Narrow"/>
                <w:sz w:val="20"/>
                <w:szCs w:val="20"/>
              </w:rPr>
              <w:t xml:space="preserve"> but percentage using more than 50% recycled content</w:t>
            </w:r>
          </w:p>
        </w:tc>
        <w:tc>
          <w:tcPr>
            <w:tcW w:w="1469" w:type="dxa"/>
            <w:vAlign w:val="bottom"/>
          </w:tcPr>
          <w:p w14:paraId="7F3658A3"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85%</w:t>
            </w:r>
            <w:r w:rsidR="000D7CE7">
              <w:rPr>
                <w:rFonts w:ascii="Arial Narrow" w:hAnsi="Arial Narrow"/>
                <w:sz w:val="20"/>
                <w:szCs w:val="20"/>
                <w:vertAlign w:val="superscript"/>
              </w:rPr>
              <w:t>d</w:t>
            </w:r>
          </w:p>
        </w:tc>
        <w:tc>
          <w:tcPr>
            <w:tcW w:w="1470" w:type="dxa"/>
            <w:vAlign w:val="bottom"/>
          </w:tcPr>
          <w:p w14:paraId="62F35E13"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98%</w:t>
            </w:r>
          </w:p>
        </w:tc>
      </w:tr>
      <w:tr w:rsidR="00860F8E" w:rsidRPr="00E3350E" w14:paraId="2060A79A" w14:textId="77777777" w:rsidTr="00FE5FDE">
        <w:tc>
          <w:tcPr>
            <w:tcW w:w="6046" w:type="dxa"/>
          </w:tcPr>
          <w:p w14:paraId="43B28379" w14:textId="77777777" w:rsidR="00860F8E" w:rsidRPr="00E3350E" w:rsidRDefault="00860F8E" w:rsidP="00683E9C">
            <w:pPr>
              <w:pStyle w:val="CASAChapterText"/>
              <w:keepNext/>
              <w:keepLines/>
              <w:rPr>
                <w:rFonts w:ascii="Arial Narrow" w:hAnsi="Arial Narrow"/>
                <w:sz w:val="20"/>
                <w:szCs w:val="20"/>
              </w:rPr>
            </w:pPr>
            <w:r w:rsidRPr="00E3350E">
              <w:rPr>
                <w:rFonts w:ascii="Arial Narrow" w:hAnsi="Arial Narrow"/>
                <w:sz w:val="20"/>
                <w:szCs w:val="20"/>
              </w:rPr>
              <w:t>Office paper recycled (tonnes)</w:t>
            </w:r>
          </w:p>
        </w:tc>
        <w:tc>
          <w:tcPr>
            <w:tcW w:w="1469" w:type="dxa"/>
            <w:vAlign w:val="bottom"/>
          </w:tcPr>
          <w:p w14:paraId="326A84B6"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46</w:t>
            </w:r>
            <w:r>
              <w:rPr>
                <w:rFonts w:ascii="Arial Narrow" w:hAnsi="Arial Narrow"/>
                <w:sz w:val="20"/>
                <w:szCs w:val="20"/>
              </w:rPr>
              <w:t>.0</w:t>
            </w:r>
          </w:p>
        </w:tc>
        <w:tc>
          <w:tcPr>
            <w:tcW w:w="1470" w:type="dxa"/>
            <w:vAlign w:val="bottom"/>
          </w:tcPr>
          <w:p w14:paraId="3B720618"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37.4</w:t>
            </w:r>
          </w:p>
        </w:tc>
      </w:tr>
      <w:tr w:rsidR="00860F8E" w:rsidRPr="00E3350E" w14:paraId="20400122" w14:textId="77777777" w:rsidTr="00FE5FDE">
        <w:tc>
          <w:tcPr>
            <w:tcW w:w="6046" w:type="dxa"/>
          </w:tcPr>
          <w:p w14:paraId="370A9377" w14:textId="77777777" w:rsidR="00860F8E" w:rsidRPr="00E3350E" w:rsidRDefault="00860F8E" w:rsidP="00683E9C">
            <w:pPr>
              <w:pStyle w:val="CASAChapterText"/>
              <w:keepNext/>
              <w:keepLines/>
              <w:rPr>
                <w:rFonts w:ascii="Arial Narrow" w:hAnsi="Arial Narrow"/>
                <w:sz w:val="20"/>
                <w:szCs w:val="20"/>
              </w:rPr>
            </w:pPr>
            <w:r w:rsidRPr="00E3350E">
              <w:rPr>
                <w:rFonts w:ascii="Arial Narrow" w:hAnsi="Arial Narrow"/>
                <w:sz w:val="20"/>
                <w:szCs w:val="20"/>
              </w:rPr>
              <w:t>Total waste produced (tonnes)</w:t>
            </w:r>
          </w:p>
        </w:tc>
        <w:tc>
          <w:tcPr>
            <w:tcW w:w="1469" w:type="dxa"/>
            <w:vAlign w:val="bottom"/>
          </w:tcPr>
          <w:p w14:paraId="2BC811E0"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66</w:t>
            </w:r>
            <w:r>
              <w:rPr>
                <w:rFonts w:ascii="Arial Narrow" w:hAnsi="Arial Narrow"/>
                <w:sz w:val="20"/>
                <w:szCs w:val="20"/>
              </w:rPr>
              <w:t>.0</w:t>
            </w:r>
          </w:p>
        </w:tc>
        <w:tc>
          <w:tcPr>
            <w:tcW w:w="1470" w:type="dxa"/>
            <w:vAlign w:val="bottom"/>
          </w:tcPr>
          <w:p w14:paraId="35628974"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 xml:space="preserve">63.3 </w:t>
            </w:r>
          </w:p>
        </w:tc>
      </w:tr>
      <w:tr w:rsidR="00860F8E" w:rsidRPr="00E3350E" w14:paraId="671BC75A" w14:textId="77777777" w:rsidTr="00FE5FDE">
        <w:tc>
          <w:tcPr>
            <w:tcW w:w="6046" w:type="dxa"/>
          </w:tcPr>
          <w:p w14:paraId="52782E99" w14:textId="77777777" w:rsidR="00860F8E" w:rsidRPr="00E3350E" w:rsidRDefault="00860F8E" w:rsidP="00683E9C">
            <w:pPr>
              <w:pStyle w:val="CASAChapterText"/>
              <w:keepNext/>
              <w:keepLines/>
              <w:rPr>
                <w:rFonts w:ascii="Arial Narrow" w:hAnsi="Arial Narrow"/>
                <w:sz w:val="20"/>
                <w:szCs w:val="20"/>
              </w:rPr>
            </w:pPr>
            <w:r w:rsidRPr="00E3350E">
              <w:rPr>
                <w:rFonts w:ascii="Arial Narrow" w:hAnsi="Arial Narrow"/>
                <w:sz w:val="20"/>
                <w:szCs w:val="20"/>
              </w:rPr>
              <w:lastRenderedPageBreak/>
              <w:t>Total waste produced (kilograms</w:t>
            </w:r>
            <w:r>
              <w:rPr>
                <w:rFonts w:ascii="Arial Narrow" w:hAnsi="Arial Narrow"/>
                <w:sz w:val="20"/>
                <w:szCs w:val="20"/>
              </w:rPr>
              <w:t xml:space="preserve"> per </w:t>
            </w:r>
            <w:r w:rsidRPr="00E3350E">
              <w:rPr>
                <w:rFonts w:ascii="Arial Narrow" w:hAnsi="Arial Narrow"/>
                <w:sz w:val="20"/>
                <w:szCs w:val="20"/>
              </w:rPr>
              <w:t>head)</w:t>
            </w:r>
          </w:p>
        </w:tc>
        <w:tc>
          <w:tcPr>
            <w:tcW w:w="1469" w:type="dxa"/>
            <w:vAlign w:val="bottom"/>
          </w:tcPr>
          <w:p w14:paraId="67A074BA"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73</w:t>
            </w:r>
            <w:r>
              <w:rPr>
                <w:rFonts w:ascii="Arial Narrow" w:hAnsi="Arial Narrow"/>
                <w:sz w:val="20"/>
                <w:szCs w:val="20"/>
              </w:rPr>
              <w:t>.0</w:t>
            </w:r>
          </w:p>
        </w:tc>
        <w:tc>
          <w:tcPr>
            <w:tcW w:w="1470" w:type="dxa"/>
            <w:vAlign w:val="bottom"/>
          </w:tcPr>
          <w:p w14:paraId="11AAF8E9"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71.6</w:t>
            </w:r>
          </w:p>
        </w:tc>
      </w:tr>
      <w:tr w:rsidR="00860F8E" w:rsidRPr="00E3350E" w14:paraId="241BF5E1" w14:textId="77777777" w:rsidTr="00FE5FDE">
        <w:tc>
          <w:tcPr>
            <w:tcW w:w="6046" w:type="dxa"/>
          </w:tcPr>
          <w:p w14:paraId="2FBBB731" w14:textId="77777777" w:rsidR="00860F8E" w:rsidRPr="00E3350E" w:rsidRDefault="00860F8E" w:rsidP="00683E9C">
            <w:pPr>
              <w:pStyle w:val="CASAChapterText"/>
              <w:keepNext/>
              <w:keepLines/>
              <w:rPr>
                <w:rFonts w:ascii="Arial Narrow" w:hAnsi="Arial Narrow"/>
                <w:sz w:val="20"/>
                <w:szCs w:val="20"/>
              </w:rPr>
            </w:pPr>
            <w:r w:rsidRPr="00E3350E">
              <w:rPr>
                <w:rFonts w:ascii="Arial Narrow" w:hAnsi="Arial Narrow"/>
                <w:sz w:val="20"/>
                <w:szCs w:val="20"/>
              </w:rPr>
              <w:t>Percentage of waste diverted from landfill (tonnes)</w:t>
            </w:r>
          </w:p>
        </w:tc>
        <w:tc>
          <w:tcPr>
            <w:tcW w:w="1469" w:type="dxa"/>
            <w:vAlign w:val="bottom"/>
          </w:tcPr>
          <w:p w14:paraId="4F6F9111"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80% (53 tonnes)</w:t>
            </w:r>
          </w:p>
        </w:tc>
        <w:tc>
          <w:tcPr>
            <w:tcW w:w="1470" w:type="dxa"/>
            <w:vAlign w:val="bottom"/>
          </w:tcPr>
          <w:p w14:paraId="061D10D9" w14:textId="77777777" w:rsidR="00860F8E" w:rsidRPr="00E3350E" w:rsidRDefault="00860F8E" w:rsidP="00683E9C">
            <w:pPr>
              <w:pStyle w:val="CASAChapterText"/>
              <w:keepNext/>
              <w:keepLines/>
              <w:jc w:val="right"/>
              <w:rPr>
                <w:rFonts w:ascii="Arial Narrow" w:hAnsi="Arial Narrow"/>
                <w:sz w:val="20"/>
                <w:szCs w:val="20"/>
              </w:rPr>
            </w:pPr>
            <w:r w:rsidRPr="00E3350E">
              <w:rPr>
                <w:rFonts w:ascii="Arial Narrow" w:hAnsi="Arial Narrow"/>
                <w:sz w:val="20"/>
                <w:szCs w:val="20"/>
              </w:rPr>
              <w:t>79% (</w:t>
            </w:r>
            <w:r w:rsidR="00683E9C">
              <w:rPr>
                <w:rFonts w:ascii="Arial Narrow" w:hAnsi="Arial Narrow"/>
                <w:sz w:val="20"/>
                <w:szCs w:val="20"/>
              </w:rPr>
              <w:t>50</w:t>
            </w:r>
            <w:r>
              <w:rPr>
                <w:rFonts w:ascii="Arial Narrow" w:hAnsi="Arial Narrow"/>
                <w:sz w:val="20"/>
                <w:szCs w:val="20"/>
              </w:rPr>
              <w:t> </w:t>
            </w:r>
            <w:r w:rsidRPr="00E3350E">
              <w:rPr>
                <w:rFonts w:ascii="Arial Narrow" w:hAnsi="Arial Narrow"/>
                <w:sz w:val="20"/>
                <w:szCs w:val="20"/>
              </w:rPr>
              <w:t>tonnes)</w:t>
            </w:r>
          </w:p>
        </w:tc>
      </w:tr>
    </w:tbl>
    <w:p w14:paraId="5FB4702F" w14:textId="77777777" w:rsidR="00860F8E" w:rsidRPr="00E3350E" w:rsidRDefault="00860F8E" w:rsidP="00860F8E">
      <w:pPr>
        <w:pStyle w:val="TableNotes"/>
        <w:rPr>
          <w:lang w:val="en-AU"/>
        </w:rPr>
      </w:pPr>
      <w:r w:rsidRPr="00E3350E">
        <w:rPr>
          <w:lang w:val="en-AU"/>
        </w:rPr>
        <w:t>CO</w:t>
      </w:r>
      <w:r w:rsidRPr="00E3350E">
        <w:rPr>
          <w:vertAlign w:val="subscript"/>
          <w:lang w:val="en-AU"/>
        </w:rPr>
        <w:t>2</w:t>
      </w:r>
      <w:r w:rsidRPr="00E3350E">
        <w:rPr>
          <w:lang w:val="en-AU"/>
        </w:rPr>
        <w:t>-e = carbon dioxide equivalent</w:t>
      </w:r>
      <w:r>
        <w:rPr>
          <w:lang w:val="en-AU"/>
        </w:rPr>
        <w:t>,</w:t>
      </w:r>
      <w:r w:rsidRPr="00E3350E">
        <w:rPr>
          <w:lang w:val="en-AU"/>
        </w:rPr>
        <w:t xml:space="preserve"> kWh = kilowatt hour</w:t>
      </w:r>
      <w:r>
        <w:rPr>
          <w:lang w:val="en-AU"/>
        </w:rPr>
        <w:t>,</w:t>
      </w:r>
      <w:r w:rsidRPr="00E3350E">
        <w:rPr>
          <w:lang w:val="en-AU"/>
        </w:rPr>
        <w:t xml:space="preserve"> MJ = megajoule.</w:t>
      </w:r>
    </w:p>
    <w:p w14:paraId="2840A4CD" w14:textId="77777777" w:rsidR="00860F8E" w:rsidRPr="003B70FB" w:rsidRDefault="00860F8E" w:rsidP="00860F8E">
      <w:pPr>
        <w:pStyle w:val="TableNotes"/>
        <w:rPr>
          <w:rFonts w:cs="Arial"/>
          <w:szCs w:val="16"/>
          <w:lang w:val="en-AU"/>
        </w:rPr>
      </w:pPr>
      <w:r>
        <w:rPr>
          <w:rFonts w:cs="Arial"/>
          <w:szCs w:val="16"/>
          <w:lang w:val="en-AU"/>
        </w:rPr>
        <w:t>a</w:t>
      </w:r>
      <w:r>
        <w:rPr>
          <w:rFonts w:cs="Arial"/>
          <w:szCs w:val="16"/>
          <w:lang w:val="en-AU"/>
        </w:rPr>
        <w:tab/>
      </w:r>
      <w:r w:rsidR="003B70FB" w:rsidRPr="003B70FB">
        <w:rPr>
          <w:rFonts w:cs="Arial"/>
          <w:iCs/>
          <w:szCs w:val="16"/>
        </w:rPr>
        <w:t xml:space="preserve">Increased energy usage in server room </w:t>
      </w:r>
      <w:r w:rsidR="0044040E">
        <w:rPr>
          <w:rFonts w:cs="Arial"/>
          <w:iCs/>
          <w:szCs w:val="16"/>
        </w:rPr>
        <w:t>attrib</w:t>
      </w:r>
      <w:r w:rsidR="003B70FB" w:rsidRPr="003B70FB">
        <w:rPr>
          <w:rFonts w:cs="Arial"/>
          <w:iCs/>
          <w:szCs w:val="16"/>
        </w:rPr>
        <w:t>utable to extra servers being run during data migration.</w:t>
      </w:r>
    </w:p>
    <w:p w14:paraId="52FF0B43" w14:textId="77777777" w:rsidR="00860F8E" w:rsidRDefault="00860F8E" w:rsidP="00860F8E">
      <w:pPr>
        <w:pStyle w:val="TableNotes"/>
        <w:rPr>
          <w:rFonts w:cs="Arial"/>
          <w:szCs w:val="16"/>
          <w:lang w:val="en-AU"/>
        </w:rPr>
      </w:pPr>
      <w:r>
        <w:rPr>
          <w:rFonts w:cs="Arial"/>
          <w:szCs w:val="16"/>
          <w:lang w:val="en-AU"/>
        </w:rPr>
        <w:t>b</w:t>
      </w:r>
      <w:r>
        <w:rPr>
          <w:rFonts w:cs="Arial"/>
          <w:szCs w:val="16"/>
          <w:lang w:val="en-AU"/>
        </w:rPr>
        <w:tab/>
      </w:r>
      <w:r w:rsidR="000D7CE7">
        <w:rPr>
          <w:rFonts w:cs="Arial"/>
          <w:szCs w:val="16"/>
          <w:lang w:val="en-AU"/>
        </w:rPr>
        <w:t>H</w:t>
      </w:r>
      <w:r w:rsidR="000D7CE7" w:rsidRPr="00E3350E">
        <w:rPr>
          <w:rFonts w:cs="Arial"/>
          <w:szCs w:val="16"/>
          <w:lang w:val="en-AU"/>
        </w:rPr>
        <w:t>ead count inclu</w:t>
      </w:r>
      <w:r w:rsidR="000D7CE7">
        <w:rPr>
          <w:rFonts w:cs="Arial"/>
          <w:szCs w:val="16"/>
          <w:lang w:val="en-AU"/>
        </w:rPr>
        <w:t>des</w:t>
      </w:r>
      <w:r w:rsidR="000D7CE7" w:rsidRPr="00E3350E">
        <w:rPr>
          <w:rFonts w:cs="Arial"/>
          <w:szCs w:val="16"/>
          <w:lang w:val="en-AU"/>
        </w:rPr>
        <w:t xml:space="preserve"> full</w:t>
      </w:r>
      <w:r w:rsidR="000D7CE7">
        <w:rPr>
          <w:rFonts w:cs="Arial"/>
          <w:szCs w:val="16"/>
          <w:lang w:val="en-AU"/>
        </w:rPr>
        <w:t>-</w:t>
      </w:r>
      <w:r w:rsidR="000D7CE7" w:rsidRPr="00E3350E">
        <w:rPr>
          <w:rFonts w:cs="Arial"/>
          <w:szCs w:val="16"/>
          <w:lang w:val="en-AU"/>
        </w:rPr>
        <w:t>time equivalent staff (832) and contractors (53)</w:t>
      </w:r>
      <w:r w:rsidR="000D7CE7">
        <w:rPr>
          <w:rFonts w:cs="Arial"/>
          <w:szCs w:val="16"/>
          <w:lang w:val="en-AU"/>
        </w:rPr>
        <w:t>,</w:t>
      </w:r>
      <w:r w:rsidR="000D7CE7" w:rsidRPr="00E3350E">
        <w:rPr>
          <w:rFonts w:cs="Arial"/>
          <w:szCs w:val="16"/>
          <w:lang w:val="en-AU"/>
        </w:rPr>
        <w:t xml:space="preserve"> making a total of 885.</w:t>
      </w:r>
    </w:p>
    <w:p w14:paraId="1D5FEB6C" w14:textId="77777777" w:rsidR="00860F8E" w:rsidRDefault="00860F8E" w:rsidP="00860F8E">
      <w:pPr>
        <w:pStyle w:val="TableNotes"/>
        <w:rPr>
          <w:szCs w:val="16"/>
          <w:lang w:val="en-AU"/>
        </w:rPr>
      </w:pPr>
      <w:r>
        <w:rPr>
          <w:szCs w:val="16"/>
          <w:lang w:val="en-AU"/>
        </w:rPr>
        <w:t>c</w:t>
      </w:r>
      <w:r>
        <w:rPr>
          <w:szCs w:val="16"/>
          <w:lang w:val="en-AU"/>
        </w:rPr>
        <w:tab/>
      </w:r>
      <w:r w:rsidR="000D7CE7" w:rsidRPr="00E3350E">
        <w:rPr>
          <w:rFonts w:cs="Arial"/>
          <w:szCs w:val="16"/>
          <w:lang w:val="en-AU"/>
        </w:rPr>
        <w:t>Total office space = 19,149 m</w:t>
      </w:r>
      <w:r w:rsidR="000D7CE7" w:rsidRPr="004525B3">
        <w:rPr>
          <w:rFonts w:cs="Arial"/>
          <w:szCs w:val="16"/>
          <w:vertAlign w:val="superscript"/>
          <w:lang w:val="en-AU"/>
        </w:rPr>
        <w:t>2</w:t>
      </w:r>
      <w:r w:rsidR="000D7CE7">
        <w:rPr>
          <w:rFonts w:cs="Arial"/>
          <w:szCs w:val="16"/>
          <w:lang w:val="en-AU"/>
        </w:rPr>
        <w:t>.</w:t>
      </w:r>
    </w:p>
    <w:p w14:paraId="03D75F29" w14:textId="77777777" w:rsidR="000D7CE7" w:rsidRPr="00E3350E" w:rsidRDefault="000D7CE7" w:rsidP="00860F8E">
      <w:pPr>
        <w:pStyle w:val="TableNotes"/>
        <w:rPr>
          <w:szCs w:val="16"/>
          <w:lang w:val="en-AU"/>
        </w:rPr>
      </w:pPr>
      <w:r>
        <w:rPr>
          <w:szCs w:val="16"/>
          <w:lang w:val="en-AU"/>
        </w:rPr>
        <w:t>d</w:t>
      </w:r>
      <w:r>
        <w:rPr>
          <w:szCs w:val="16"/>
          <w:lang w:val="en-AU"/>
        </w:rPr>
        <w:tab/>
        <w:t xml:space="preserve">In Table 16 of the </w:t>
      </w:r>
      <w:r w:rsidRPr="004E77A7">
        <w:t>2016–17</w:t>
      </w:r>
      <w:r>
        <w:t xml:space="preserve"> annual report, this result was shown as </w:t>
      </w:r>
      <w:r>
        <w:rPr>
          <w:szCs w:val="16"/>
          <w:lang w:val="en-AU"/>
        </w:rPr>
        <w:t>7.2 due to a transcription error.</w:t>
      </w:r>
    </w:p>
    <w:p w14:paraId="786A61F6" w14:textId="77777777" w:rsidR="00860F8E" w:rsidRPr="00E3350E" w:rsidRDefault="00860F8E" w:rsidP="00860F8E">
      <w:pPr>
        <w:pStyle w:val="Heading3"/>
        <w:rPr>
          <w:lang w:val="en-AU"/>
        </w:rPr>
      </w:pPr>
      <w:bookmarkStart w:id="124" w:name="_Hlk521394640"/>
      <w:r w:rsidRPr="00E3350E">
        <w:rPr>
          <w:lang w:val="en-AU"/>
        </w:rPr>
        <w:t>Office energy use</w:t>
      </w:r>
    </w:p>
    <w:p w14:paraId="243D11CE" w14:textId="77777777" w:rsidR="00860F8E" w:rsidRPr="00E3350E" w:rsidRDefault="00860F8E" w:rsidP="00860F8E">
      <w:pPr>
        <w:rPr>
          <w:lang w:val="en-AU"/>
        </w:rPr>
      </w:pPr>
      <w:r w:rsidRPr="00E3350E">
        <w:rPr>
          <w:iCs/>
          <w:lang w:val="en-AU"/>
        </w:rPr>
        <w:t xml:space="preserve">CASA has in place an energy management plan aimed at minimising its use of energy in office buildings. When choosing and fitting out new office accommodation, </w:t>
      </w:r>
      <w:r>
        <w:rPr>
          <w:iCs/>
          <w:lang w:val="en-AU"/>
        </w:rPr>
        <w:t>we</w:t>
      </w:r>
      <w:r w:rsidRPr="00E3350E">
        <w:rPr>
          <w:iCs/>
          <w:lang w:val="en-AU"/>
        </w:rPr>
        <w:t xml:space="preserve"> attempt to minimise </w:t>
      </w:r>
      <w:r>
        <w:rPr>
          <w:iCs/>
          <w:lang w:val="en-AU"/>
        </w:rPr>
        <w:t>our</w:t>
      </w:r>
      <w:r w:rsidRPr="00E3350E">
        <w:rPr>
          <w:iCs/>
          <w:lang w:val="en-AU"/>
        </w:rPr>
        <w:t xml:space="preserve"> environmental footprint by including energy-efficient features. </w:t>
      </w:r>
    </w:p>
    <w:p w14:paraId="55E0D3FE" w14:textId="77777777" w:rsidR="00860F8E" w:rsidRPr="00E3350E" w:rsidRDefault="00860F8E" w:rsidP="00860F8E">
      <w:pPr>
        <w:pStyle w:val="Heading3"/>
        <w:rPr>
          <w:lang w:val="en-AU"/>
        </w:rPr>
      </w:pPr>
      <w:r w:rsidRPr="00E3350E">
        <w:rPr>
          <w:lang w:val="en-AU"/>
        </w:rPr>
        <w:t>Motor vehicle fleet</w:t>
      </w:r>
    </w:p>
    <w:p w14:paraId="2D318E0B" w14:textId="77777777" w:rsidR="00860F8E" w:rsidRPr="00E3350E" w:rsidRDefault="00860F8E" w:rsidP="00860F8E">
      <w:pPr>
        <w:rPr>
          <w:rFonts w:ascii="Calibri" w:hAnsi="Calibri"/>
          <w:iCs/>
          <w:sz w:val="22"/>
          <w:lang w:val="en-AU"/>
        </w:rPr>
      </w:pPr>
      <w:r w:rsidRPr="00E3350E">
        <w:rPr>
          <w:iCs/>
          <w:lang w:val="en-AU"/>
        </w:rPr>
        <w:t xml:space="preserve">CASA has a policy of selecting motor vehicles that are fit for purpose and, where operationally practical, leases small, fuel-efficient vehicles. During 2017–18, </w:t>
      </w:r>
      <w:r>
        <w:rPr>
          <w:iCs/>
          <w:lang w:val="en-AU"/>
        </w:rPr>
        <w:t>we</w:t>
      </w:r>
      <w:r w:rsidRPr="00E3350E">
        <w:rPr>
          <w:iCs/>
          <w:lang w:val="en-AU"/>
        </w:rPr>
        <w:t xml:space="preserve"> operated a vehicle fleet consisting of 35 vehicles</w:t>
      </w:r>
      <w:r>
        <w:rPr>
          <w:iCs/>
          <w:lang w:val="en-AU"/>
        </w:rPr>
        <w:t>,</w:t>
      </w:r>
      <w:r w:rsidRPr="00E3350E">
        <w:rPr>
          <w:iCs/>
          <w:lang w:val="en-AU"/>
        </w:rPr>
        <w:t xml:space="preserve"> of which 32 per cent had engine capacit</w:t>
      </w:r>
      <w:r>
        <w:rPr>
          <w:iCs/>
          <w:lang w:val="en-AU"/>
        </w:rPr>
        <w:t xml:space="preserve">ies under </w:t>
      </w:r>
      <w:r w:rsidRPr="00E3350E">
        <w:rPr>
          <w:iCs/>
          <w:lang w:val="en-AU"/>
        </w:rPr>
        <w:t>1,80</w:t>
      </w:r>
      <w:r w:rsidR="00C74B1D">
        <w:rPr>
          <w:iCs/>
          <w:lang w:val="en-AU"/>
        </w:rPr>
        <w:t>0</w:t>
      </w:r>
      <w:r w:rsidRPr="00E3350E">
        <w:rPr>
          <w:iCs/>
          <w:lang w:val="en-AU"/>
        </w:rPr>
        <w:t xml:space="preserve"> cubic centimetres or were hybrid vehicles. Since 2010, the CASA fleet has reduced in size by 15 vehicles.</w:t>
      </w:r>
    </w:p>
    <w:p w14:paraId="6122FC82" w14:textId="77777777" w:rsidR="00860F8E" w:rsidRPr="00E3350E" w:rsidRDefault="00860F8E" w:rsidP="00860F8E">
      <w:pPr>
        <w:pStyle w:val="Heading3"/>
        <w:rPr>
          <w:lang w:val="en-AU"/>
        </w:rPr>
      </w:pPr>
      <w:r w:rsidRPr="00E3350E">
        <w:rPr>
          <w:lang w:val="en-AU"/>
        </w:rPr>
        <w:t>Waste management and resource efficiency</w:t>
      </w:r>
    </w:p>
    <w:p w14:paraId="163DF021" w14:textId="77777777" w:rsidR="00860F8E" w:rsidRPr="00E3350E" w:rsidRDefault="00860F8E" w:rsidP="00860F8E">
      <w:pPr>
        <w:rPr>
          <w:rFonts w:ascii="Calibri" w:hAnsi="Calibri"/>
          <w:iCs/>
          <w:sz w:val="22"/>
          <w:lang w:val="en-AU"/>
        </w:rPr>
      </w:pPr>
      <w:r w:rsidRPr="00E3350E">
        <w:rPr>
          <w:iCs/>
          <w:lang w:val="en-AU"/>
        </w:rPr>
        <w:t>CASA’s main offices provide a range of recycling opportunities</w:t>
      </w:r>
      <w:r>
        <w:rPr>
          <w:iCs/>
          <w:lang w:val="en-AU"/>
        </w:rPr>
        <w:t xml:space="preserve">. </w:t>
      </w:r>
      <w:r w:rsidR="004E77A7">
        <w:rPr>
          <w:iCs/>
          <w:lang w:val="en-AU"/>
        </w:rPr>
        <w:t>Through</w:t>
      </w:r>
      <w:r w:rsidR="004E77A7" w:rsidRPr="00E3350E">
        <w:rPr>
          <w:iCs/>
          <w:lang w:val="en-AU"/>
        </w:rPr>
        <w:t xml:space="preserve"> </w:t>
      </w:r>
      <w:r w:rsidRPr="00E3350E">
        <w:rPr>
          <w:iCs/>
          <w:lang w:val="en-AU"/>
        </w:rPr>
        <w:t>improved recycling signage and recycling awareness campaigns</w:t>
      </w:r>
      <w:r>
        <w:rPr>
          <w:iCs/>
          <w:lang w:val="en-AU"/>
        </w:rPr>
        <w:t>, CASA is</w:t>
      </w:r>
      <w:r w:rsidRPr="00E3350E">
        <w:rPr>
          <w:iCs/>
          <w:lang w:val="en-AU"/>
        </w:rPr>
        <w:t xml:space="preserve"> diverting </w:t>
      </w:r>
      <w:r>
        <w:rPr>
          <w:iCs/>
          <w:lang w:val="en-AU"/>
        </w:rPr>
        <w:t>as much waste as possible from l</w:t>
      </w:r>
      <w:r w:rsidRPr="00E3350E">
        <w:rPr>
          <w:iCs/>
          <w:lang w:val="en-AU"/>
        </w:rPr>
        <w:t>andfill</w:t>
      </w:r>
      <w:r>
        <w:rPr>
          <w:iCs/>
          <w:lang w:val="en-AU"/>
        </w:rPr>
        <w:t xml:space="preserve"> to recycling</w:t>
      </w:r>
      <w:r w:rsidRPr="00E3350E">
        <w:rPr>
          <w:iCs/>
          <w:lang w:val="en-AU"/>
        </w:rPr>
        <w:t>. Stationery recycling stores operate in Brisbane and Canberra</w:t>
      </w:r>
      <w:r>
        <w:rPr>
          <w:iCs/>
          <w:lang w:val="en-AU"/>
        </w:rPr>
        <w:t>,</w:t>
      </w:r>
      <w:r w:rsidRPr="00E3350E">
        <w:rPr>
          <w:iCs/>
          <w:lang w:val="en-AU"/>
        </w:rPr>
        <w:t xml:space="preserve"> allowing staff to place surplus stationery in a central location for use by other teams. In Canberra, CASA remains accredited under the </w:t>
      </w:r>
      <w:r>
        <w:rPr>
          <w:iCs/>
          <w:lang w:val="en-AU"/>
        </w:rPr>
        <w:t>ACT</w:t>
      </w:r>
      <w:r w:rsidRPr="00E3350E">
        <w:rPr>
          <w:iCs/>
          <w:lang w:val="en-AU"/>
        </w:rPr>
        <w:t xml:space="preserve"> Government recycling program. </w:t>
      </w:r>
      <w:r>
        <w:rPr>
          <w:iCs/>
          <w:lang w:val="en-AU"/>
        </w:rPr>
        <w:t xml:space="preserve">Of paper used by CASA, </w:t>
      </w:r>
      <w:r w:rsidRPr="00E3350E">
        <w:rPr>
          <w:iCs/>
          <w:lang w:val="en-AU"/>
        </w:rPr>
        <w:t>9</w:t>
      </w:r>
      <w:r>
        <w:rPr>
          <w:iCs/>
          <w:lang w:val="en-AU"/>
        </w:rPr>
        <w:t>8</w:t>
      </w:r>
      <w:r w:rsidRPr="00E3350E">
        <w:rPr>
          <w:iCs/>
          <w:lang w:val="en-AU"/>
        </w:rPr>
        <w:t xml:space="preserve"> per cent has a recycled content of more than 50 per cent.</w:t>
      </w:r>
    </w:p>
    <w:p w14:paraId="6131E0DA" w14:textId="77777777" w:rsidR="00860F8E" w:rsidRPr="00E3350E" w:rsidRDefault="00860F8E" w:rsidP="00860F8E">
      <w:pPr>
        <w:pStyle w:val="Heading1"/>
        <w:rPr>
          <w:lang w:val="en-AU"/>
        </w:rPr>
      </w:pPr>
      <w:bookmarkStart w:id="125" w:name="_Toc522537167"/>
      <w:bookmarkStart w:id="126" w:name="_Toc523924891"/>
      <w:r w:rsidRPr="005937C4">
        <w:rPr>
          <w:lang w:val="en-AU"/>
        </w:rPr>
        <w:t>Purchasing</w:t>
      </w:r>
      <w:bookmarkEnd w:id="118"/>
      <w:bookmarkEnd w:id="119"/>
      <w:bookmarkEnd w:id="120"/>
      <w:bookmarkEnd w:id="125"/>
      <w:bookmarkEnd w:id="126"/>
    </w:p>
    <w:p w14:paraId="518BF43E" w14:textId="77777777" w:rsidR="00860F8E" w:rsidRPr="005937C4" w:rsidRDefault="00860F8E" w:rsidP="00860F8E">
      <w:bookmarkStart w:id="127" w:name="_Toc522537168"/>
      <w:bookmarkEnd w:id="124"/>
      <w:r w:rsidRPr="005937C4">
        <w:t xml:space="preserve">CASA’s procurement framework is consistent with the </w:t>
      </w:r>
      <w:r w:rsidRPr="005937C4">
        <w:rPr>
          <w:iCs/>
        </w:rPr>
        <w:t>Commonwealth Procurement Rules</w:t>
      </w:r>
      <w:r w:rsidRPr="005937C4">
        <w:t xml:space="preserve"> and reflects value for money – th</w:t>
      </w:r>
      <w:r w:rsidRPr="005937C4">
        <w:rPr>
          <w:rFonts w:ascii="Calibri" w:hAnsi="Calibri"/>
        </w:rPr>
        <w:t xml:space="preserve">e </w:t>
      </w:r>
      <w:r w:rsidRPr="005937C4">
        <w:t>core principle governing Australian Government procurement. CASA applies the rules to its activities through a policy notice by the CEO/DAS and supporting operational procedures.</w:t>
      </w:r>
    </w:p>
    <w:p w14:paraId="0125E1B1" w14:textId="77777777" w:rsidR="00860F8E" w:rsidRPr="005937C4" w:rsidRDefault="00860F8E" w:rsidP="00860F8E">
      <w:r w:rsidRPr="005937C4">
        <w:t>The organisation’s procurement policies help to ensure that it undertakes competitive, non-discriminatory procurement processes; uses its resources efficiently, effectively and ethically; and makes decisions in an accountable and transparent manner.</w:t>
      </w:r>
    </w:p>
    <w:p w14:paraId="254FFDBF" w14:textId="77777777" w:rsidR="00860F8E" w:rsidRPr="005937C4" w:rsidRDefault="00860F8E" w:rsidP="00860F8E">
      <w:r w:rsidRPr="005937C4">
        <w:t>CASA has standard tendering and contracting documentation to ensure that consistent procurement practices are employed across the organisation. As part of those arrangements, CASA includes standard access clauses in its tender documents and contracts to provide it and the Auditor-General with access to contractors’ premises.</w:t>
      </w:r>
    </w:p>
    <w:p w14:paraId="08C655F1" w14:textId="77777777" w:rsidR="00860F8E" w:rsidRPr="00E3350E" w:rsidRDefault="00860F8E" w:rsidP="00860F8E">
      <w:pPr>
        <w:pStyle w:val="Heading1"/>
        <w:rPr>
          <w:lang w:val="en-AU"/>
        </w:rPr>
      </w:pPr>
      <w:bookmarkStart w:id="128" w:name="_Toc523924892"/>
      <w:r w:rsidRPr="00546E02">
        <w:rPr>
          <w:lang w:val="en-AU"/>
        </w:rPr>
        <w:lastRenderedPageBreak/>
        <w:t>Advertising</w:t>
      </w:r>
      <w:bookmarkEnd w:id="127"/>
      <w:bookmarkEnd w:id="128"/>
      <w:r w:rsidRPr="00E3350E">
        <w:rPr>
          <w:lang w:val="en-AU"/>
        </w:rPr>
        <w:t xml:space="preserve"> </w:t>
      </w:r>
    </w:p>
    <w:p w14:paraId="3BDBBD74" w14:textId="77777777" w:rsidR="00860F8E" w:rsidRPr="00A33C51" w:rsidRDefault="00860F8E" w:rsidP="00860F8E">
      <w:r w:rsidRPr="00A33C51">
        <w:t xml:space="preserve">Section 311A of the </w:t>
      </w:r>
      <w:r w:rsidRPr="00A33C51">
        <w:rPr>
          <w:i/>
          <w:iCs/>
        </w:rPr>
        <w:t>Commonwealth Electoral Act 1918</w:t>
      </w:r>
      <w:r w:rsidRPr="00A33C51">
        <w:t xml:space="preserve"> requires Australian Government departments and agencies to set out in their annual reports details of amounts greater than $13,200 (inclusive of GST) paid by or on behalf of them during the year to advertising agencies, market research organisations, polling organisations, direct mail organisations and media advertising organisations.</w:t>
      </w:r>
    </w:p>
    <w:p w14:paraId="77FFE47D" w14:textId="77777777" w:rsidR="00860F8E" w:rsidRPr="00A33C51" w:rsidRDefault="00860F8E" w:rsidP="00860F8E">
      <w:r w:rsidRPr="00A33C51">
        <w:t>During 2017–18, a cinema advertising campaign on drones was undertaken by CASA.</w:t>
      </w:r>
    </w:p>
    <w:p w14:paraId="2EED93BC" w14:textId="77777777" w:rsidR="00860F8E" w:rsidRDefault="00860F8E" w:rsidP="00860F8E">
      <w:r w:rsidRPr="00A33C51">
        <w:t xml:space="preserve">The amounts </w:t>
      </w:r>
      <w:r w:rsidR="004E77A7">
        <w:t xml:space="preserve">that </w:t>
      </w:r>
      <w:r w:rsidRPr="00A33C51">
        <w:t>CASA paid to media, advertising and direct mail organisations in 2017–18 are detailed in Table B.13 in Appendix B.</w:t>
      </w:r>
    </w:p>
    <w:p w14:paraId="6B4964BE" w14:textId="77777777" w:rsidR="00860F8E" w:rsidRPr="00E3350E" w:rsidRDefault="00860F8E" w:rsidP="00860F8E">
      <w:pPr>
        <w:pStyle w:val="Heading1"/>
        <w:rPr>
          <w:lang w:val="en-AU"/>
        </w:rPr>
      </w:pPr>
      <w:bookmarkStart w:id="129" w:name="_Toc522537169"/>
      <w:bookmarkStart w:id="130" w:name="_Toc523924893"/>
      <w:bookmarkStart w:id="131" w:name="_Toc267471741"/>
      <w:bookmarkStart w:id="132" w:name="_Toc267485903"/>
      <w:bookmarkStart w:id="133" w:name="_Toc268006411"/>
      <w:r w:rsidRPr="00E3350E">
        <w:rPr>
          <w:lang w:val="en-AU"/>
        </w:rPr>
        <w:t>Sponsorships and grants</w:t>
      </w:r>
      <w:bookmarkEnd w:id="129"/>
      <w:bookmarkEnd w:id="130"/>
    </w:p>
    <w:p w14:paraId="79AAB7DE" w14:textId="77777777" w:rsidR="00860F8E" w:rsidRPr="00E3350E" w:rsidRDefault="00860F8E" w:rsidP="00860F8E">
      <w:pPr>
        <w:rPr>
          <w:lang w:val="en-AU"/>
        </w:rPr>
      </w:pPr>
      <w:bookmarkStart w:id="134" w:name="_Toc365737729"/>
      <w:bookmarkStart w:id="135" w:name="_Toc365794482"/>
      <w:r w:rsidRPr="00E3350E">
        <w:rPr>
          <w:lang w:val="en-AU"/>
        </w:rPr>
        <w:t xml:space="preserve">CASA provides sponsorship support to aviation-related organisations and events to help improve and promote aviation safety. </w:t>
      </w:r>
    </w:p>
    <w:p w14:paraId="255CC0C0" w14:textId="77777777" w:rsidR="00860F8E" w:rsidRPr="00E3350E" w:rsidRDefault="00860F8E" w:rsidP="00860F8E">
      <w:pPr>
        <w:rPr>
          <w:lang w:val="en-AU"/>
        </w:rPr>
      </w:pPr>
      <w:r w:rsidRPr="00E3350E">
        <w:rPr>
          <w:rFonts w:cs="Geometric415BT-LiteA"/>
          <w:color w:val="000000"/>
          <w:lang w:val="en-AU"/>
        </w:rPr>
        <w:t xml:space="preserve">Clear sponsorship guidelines, along with </w:t>
      </w:r>
      <w:r>
        <w:rPr>
          <w:rFonts w:cs="Geometric415BT-LiteA"/>
          <w:color w:val="000000"/>
          <w:lang w:val="en-AU"/>
        </w:rPr>
        <w:t>our</w:t>
      </w:r>
      <w:r w:rsidRPr="00E3350E">
        <w:rPr>
          <w:rFonts w:cs="Geometric415BT-LiteA"/>
          <w:color w:val="000000"/>
          <w:lang w:val="en-AU"/>
        </w:rPr>
        <w:t xml:space="preserve"> current safety promotion priorities, are available on </w:t>
      </w:r>
      <w:r>
        <w:rPr>
          <w:rFonts w:cs="Geometric415BT-LiteA"/>
          <w:color w:val="000000"/>
          <w:lang w:val="en-AU"/>
        </w:rPr>
        <w:t>our</w:t>
      </w:r>
      <w:r w:rsidRPr="00E3350E">
        <w:rPr>
          <w:rFonts w:cs="Geometric415BT-LiteA"/>
          <w:color w:val="000000"/>
          <w:lang w:val="en-AU"/>
        </w:rPr>
        <w:t xml:space="preserve"> website.</w:t>
      </w:r>
    </w:p>
    <w:p w14:paraId="725B5E63" w14:textId="77777777" w:rsidR="00860F8E" w:rsidRPr="00E3350E" w:rsidRDefault="00860F8E" w:rsidP="00860F8E">
      <w:pPr>
        <w:rPr>
          <w:lang w:val="en-AU"/>
        </w:rPr>
      </w:pPr>
      <w:r w:rsidRPr="00E3350E">
        <w:rPr>
          <w:lang w:val="en-AU"/>
        </w:rPr>
        <w:t xml:space="preserve">Table </w:t>
      </w:r>
      <w:r w:rsidR="00683E9C">
        <w:rPr>
          <w:lang w:val="en-AU"/>
        </w:rPr>
        <w:t>1</w:t>
      </w:r>
      <w:r w:rsidR="00BF2702">
        <w:rPr>
          <w:lang w:val="en-AU"/>
        </w:rPr>
        <w:t>8</w:t>
      </w:r>
      <w:r w:rsidR="00683E9C" w:rsidRPr="00E3350E">
        <w:rPr>
          <w:lang w:val="en-AU"/>
        </w:rPr>
        <w:t xml:space="preserve"> </w:t>
      </w:r>
      <w:r w:rsidRPr="00E3350E">
        <w:rPr>
          <w:lang w:val="en-AU"/>
        </w:rPr>
        <w:t xml:space="preserve">shows the value of CASA’s sponsorships and grants and the numbers of organisations or events assisted in recent years. </w:t>
      </w:r>
    </w:p>
    <w:p w14:paraId="3640F799" w14:textId="77777777" w:rsidR="00860F8E" w:rsidRPr="00E3350E" w:rsidRDefault="00860F8E" w:rsidP="00860F8E">
      <w:pPr>
        <w:pStyle w:val="TableName"/>
        <w:rPr>
          <w:rFonts w:ascii="Calibri" w:hAnsi="Calibri"/>
          <w:lang w:val="en-AU"/>
        </w:rPr>
      </w:pPr>
      <w:r w:rsidRPr="00E3350E">
        <w:rPr>
          <w:lang w:val="en-AU"/>
        </w:rPr>
        <w:t xml:space="preserve">Table </w:t>
      </w:r>
      <w:r w:rsidR="00683E9C">
        <w:rPr>
          <w:lang w:val="en-AU"/>
        </w:rPr>
        <w:t>1</w:t>
      </w:r>
      <w:r w:rsidR="00BF2702">
        <w:rPr>
          <w:lang w:val="en-AU"/>
        </w:rPr>
        <w:t>8</w:t>
      </w:r>
      <w:r w:rsidRPr="00E3350E">
        <w:rPr>
          <w:lang w:val="en-AU"/>
        </w:rPr>
        <w:tab/>
        <w:t>Sponsorships and grants</w:t>
      </w:r>
      <w:bookmarkEnd w:id="134"/>
      <w:bookmarkEnd w:id="135"/>
      <w:r w:rsidRPr="00E3350E">
        <w:rPr>
          <w:lang w:val="en-AU"/>
        </w:rPr>
        <w:t>, 2013–14 to 2017–18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2"/>
        <w:gridCol w:w="2883"/>
      </w:tblGrid>
      <w:tr w:rsidR="00860F8E" w:rsidRPr="00E3350E" w14:paraId="26028971" w14:textId="77777777" w:rsidTr="008E2A9C">
        <w:trPr>
          <w:tblHeader/>
        </w:trPr>
        <w:tc>
          <w:tcPr>
            <w:tcW w:w="2882" w:type="dxa"/>
            <w:shd w:val="clear" w:color="auto" w:fill="auto"/>
          </w:tcPr>
          <w:p w14:paraId="75677754" w14:textId="77777777" w:rsidR="00860F8E" w:rsidRPr="00E3350E" w:rsidRDefault="00860F8E" w:rsidP="00EF6063">
            <w:pPr>
              <w:pStyle w:val="TableHeading"/>
              <w:rPr>
                <w:lang w:val="en-AU"/>
              </w:rPr>
            </w:pPr>
            <w:r w:rsidRPr="00E3350E">
              <w:rPr>
                <w:lang w:val="en-AU"/>
              </w:rPr>
              <w:t>Financial year</w:t>
            </w:r>
          </w:p>
        </w:tc>
        <w:tc>
          <w:tcPr>
            <w:tcW w:w="2882" w:type="dxa"/>
            <w:shd w:val="clear" w:color="auto" w:fill="auto"/>
          </w:tcPr>
          <w:p w14:paraId="1D59CE0D" w14:textId="77777777" w:rsidR="00860F8E" w:rsidRPr="00E3350E" w:rsidRDefault="00860F8E" w:rsidP="00EF6063">
            <w:pPr>
              <w:pStyle w:val="TableHeading"/>
              <w:jc w:val="right"/>
              <w:rPr>
                <w:lang w:val="en-AU"/>
              </w:rPr>
            </w:pPr>
            <w:r w:rsidRPr="00E3350E">
              <w:rPr>
                <w:lang w:val="en-AU"/>
              </w:rPr>
              <w:t>Total funds</w:t>
            </w:r>
          </w:p>
        </w:tc>
        <w:tc>
          <w:tcPr>
            <w:tcW w:w="2883" w:type="dxa"/>
            <w:shd w:val="clear" w:color="auto" w:fill="auto"/>
          </w:tcPr>
          <w:p w14:paraId="19427801" w14:textId="77777777" w:rsidR="00860F8E" w:rsidRPr="00E3350E" w:rsidRDefault="00860F8E" w:rsidP="00EF6063">
            <w:pPr>
              <w:pStyle w:val="TableHeading"/>
              <w:jc w:val="right"/>
              <w:rPr>
                <w:lang w:val="en-AU"/>
              </w:rPr>
            </w:pPr>
            <w:r w:rsidRPr="00E3350E">
              <w:rPr>
                <w:lang w:val="en-AU"/>
              </w:rPr>
              <w:t>No. of organisations/events</w:t>
            </w:r>
          </w:p>
        </w:tc>
      </w:tr>
      <w:tr w:rsidR="00860F8E" w:rsidRPr="00E3350E" w14:paraId="1A69C176" w14:textId="77777777" w:rsidTr="008E2A9C">
        <w:tc>
          <w:tcPr>
            <w:tcW w:w="2882" w:type="dxa"/>
            <w:shd w:val="clear" w:color="auto" w:fill="auto"/>
          </w:tcPr>
          <w:p w14:paraId="4A5F8E0A" w14:textId="77777777" w:rsidR="00860F8E" w:rsidRPr="00E3350E" w:rsidRDefault="00860F8E" w:rsidP="00EF6063">
            <w:pPr>
              <w:pStyle w:val="TableText"/>
              <w:rPr>
                <w:lang w:val="en-AU"/>
              </w:rPr>
            </w:pPr>
            <w:r w:rsidRPr="00E3350E">
              <w:rPr>
                <w:lang w:val="en-AU"/>
              </w:rPr>
              <w:t>2013–14</w:t>
            </w:r>
          </w:p>
        </w:tc>
        <w:tc>
          <w:tcPr>
            <w:tcW w:w="2882" w:type="dxa"/>
            <w:shd w:val="clear" w:color="auto" w:fill="auto"/>
          </w:tcPr>
          <w:p w14:paraId="4ED8F53E" w14:textId="77777777" w:rsidR="00860F8E" w:rsidRPr="00E3350E" w:rsidRDefault="00860F8E" w:rsidP="00EF6063">
            <w:pPr>
              <w:pStyle w:val="TableText"/>
              <w:jc w:val="right"/>
              <w:rPr>
                <w:lang w:val="en-AU"/>
              </w:rPr>
            </w:pPr>
            <w:r w:rsidRPr="00E3350E">
              <w:rPr>
                <w:lang w:val="en-AU"/>
              </w:rPr>
              <w:t>$236,459</w:t>
            </w:r>
          </w:p>
        </w:tc>
        <w:tc>
          <w:tcPr>
            <w:tcW w:w="2883" w:type="dxa"/>
            <w:shd w:val="clear" w:color="auto" w:fill="auto"/>
          </w:tcPr>
          <w:p w14:paraId="74451CAB" w14:textId="77777777" w:rsidR="00860F8E" w:rsidRPr="00E3350E" w:rsidRDefault="00860F8E" w:rsidP="00EF6063">
            <w:pPr>
              <w:pStyle w:val="TableText"/>
              <w:jc w:val="right"/>
              <w:rPr>
                <w:lang w:val="en-AU"/>
              </w:rPr>
            </w:pPr>
            <w:r w:rsidRPr="00E3350E">
              <w:rPr>
                <w:lang w:val="en-AU"/>
              </w:rPr>
              <w:t>23</w:t>
            </w:r>
          </w:p>
        </w:tc>
      </w:tr>
      <w:tr w:rsidR="00860F8E" w:rsidRPr="00E3350E" w14:paraId="0348275D" w14:textId="77777777" w:rsidTr="008E2A9C">
        <w:tc>
          <w:tcPr>
            <w:tcW w:w="2882" w:type="dxa"/>
            <w:shd w:val="clear" w:color="auto" w:fill="auto"/>
          </w:tcPr>
          <w:p w14:paraId="662F90B9" w14:textId="77777777" w:rsidR="00860F8E" w:rsidRPr="00E3350E" w:rsidRDefault="00860F8E" w:rsidP="00EF6063">
            <w:pPr>
              <w:pStyle w:val="TableText"/>
              <w:rPr>
                <w:lang w:val="en-AU"/>
              </w:rPr>
            </w:pPr>
            <w:r w:rsidRPr="00E3350E">
              <w:rPr>
                <w:lang w:val="en-AU"/>
              </w:rPr>
              <w:t>2014–15</w:t>
            </w:r>
          </w:p>
        </w:tc>
        <w:tc>
          <w:tcPr>
            <w:tcW w:w="2882" w:type="dxa"/>
            <w:shd w:val="clear" w:color="auto" w:fill="auto"/>
          </w:tcPr>
          <w:p w14:paraId="49D006A3" w14:textId="77777777" w:rsidR="00860F8E" w:rsidRPr="00E3350E" w:rsidRDefault="00860F8E" w:rsidP="00EF6063">
            <w:pPr>
              <w:pStyle w:val="TableText"/>
              <w:jc w:val="right"/>
              <w:rPr>
                <w:lang w:val="en-AU"/>
              </w:rPr>
            </w:pPr>
            <w:r w:rsidRPr="00E3350E">
              <w:rPr>
                <w:lang w:val="en-AU"/>
              </w:rPr>
              <w:t>$205,349</w:t>
            </w:r>
          </w:p>
        </w:tc>
        <w:tc>
          <w:tcPr>
            <w:tcW w:w="2883" w:type="dxa"/>
            <w:shd w:val="clear" w:color="auto" w:fill="auto"/>
          </w:tcPr>
          <w:p w14:paraId="4C9B779A" w14:textId="77777777" w:rsidR="00860F8E" w:rsidRPr="00E3350E" w:rsidRDefault="00860F8E" w:rsidP="00EF6063">
            <w:pPr>
              <w:pStyle w:val="TableText"/>
              <w:jc w:val="right"/>
              <w:rPr>
                <w:lang w:val="en-AU"/>
              </w:rPr>
            </w:pPr>
            <w:r w:rsidRPr="00E3350E">
              <w:rPr>
                <w:lang w:val="en-AU"/>
              </w:rPr>
              <w:t>18</w:t>
            </w:r>
          </w:p>
        </w:tc>
      </w:tr>
      <w:tr w:rsidR="00860F8E" w:rsidRPr="00E3350E" w14:paraId="31C8C814" w14:textId="77777777" w:rsidTr="008E2A9C">
        <w:tc>
          <w:tcPr>
            <w:tcW w:w="2882" w:type="dxa"/>
            <w:shd w:val="clear" w:color="auto" w:fill="auto"/>
          </w:tcPr>
          <w:p w14:paraId="021ADB27" w14:textId="77777777" w:rsidR="00860F8E" w:rsidRPr="00E3350E" w:rsidRDefault="00860F8E" w:rsidP="00EF6063">
            <w:pPr>
              <w:pStyle w:val="TableText"/>
              <w:rPr>
                <w:lang w:val="en-AU"/>
              </w:rPr>
            </w:pPr>
            <w:r w:rsidRPr="00E3350E">
              <w:rPr>
                <w:lang w:val="en-AU"/>
              </w:rPr>
              <w:t>2015–16</w:t>
            </w:r>
          </w:p>
        </w:tc>
        <w:tc>
          <w:tcPr>
            <w:tcW w:w="2882" w:type="dxa"/>
            <w:shd w:val="clear" w:color="auto" w:fill="auto"/>
          </w:tcPr>
          <w:p w14:paraId="5B561BC5" w14:textId="77777777" w:rsidR="00860F8E" w:rsidRPr="00E3350E" w:rsidRDefault="00860F8E" w:rsidP="00EF6063">
            <w:pPr>
              <w:pStyle w:val="TableText"/>
              <w:jc w:val="right"/>
              <w:rPr>
                <w:lang w:val="en-AU"/>
              </w:rPr>
            </w:pPr>
            <w:r w:rsidRPr="00E3350E">
              <w:rPr>
                <w:lang w:val="en-AU"/>
              </w:rPr>
              <w:t>$194,584</w:t>
            </w:r>
          </w:p>
        </w:tc>
        <w:tc>
          <w:tcPr>
            <w:tcW w:w="2883" w:type="dxa"/>
            <w:shd w:val="clear" w:color="auto" w:fill="auto"/>
          </w:tcPr>
          <w:p w14:paraId="117432AD" w14:textId="77777777" w:rsidR="00860F8E" w:rsidRPr="00E3350E" w:rsidRDefault="00860F8E" w:rsidP="00EF6063">
            <w:pPr>
              <w:pStyle w:val="TableText"/>
              <w:jc w:val="right"/>
              <w:rPr>
                <w:lang w:val="en-AU"/>
              </w:rPr>
            </w:pPr>
            <w:r w:rsidRPr="00E3350E">
              <w:rPr>
                <w:lang w:val="en-AU"/>
              </w:rPr>
              <w:t>34</w:t>
            </w:r>
          </w:p>
        </w:tc>
      </w:tr>
      <w:tr w:rsidR="00860F8E" w:rsidRPr="00E3350E" w14:paraId="03B28444" w14:textId="77777777" w:rsidTr="008E2A9C">
        <w:tc>
          <w:tcPr>
            <w:tcW w:w="2882" w:type="dxa"/>
            <w:shd w:val="clear" w:color="auto" w:fill="auto"/>
          </w:tcPr>
          <w:p w14:paraId="7EB067B3" w14:textId="77777777" w:rsidR="00860F8E" w:rsidRPr="00E3350E" w:rsidRDefault="00860F8E" w:rsidP="00EF6063">
            <w:pPr>
              <w:pStyle w:val="TableText"/>
              <w:rPr>
                <w:lang w:val="en-AU"/>
              </w:rPr>
            </w:pPr>
            <w:r w:rsidRPr="00E3350E">
              <w:rPr>
                <w:lang w:val="en-AU"/>
              </w:rPr>
              <w:t>2016–17</w:t>
            </w:r>
          </w:p>
        </w:tc>
        <w:tc>
          <w:tcPr>
            <w:tcW w:w="2882" w:type="dxa"/>
            <w:shd w:val="clear" w:color="auto" w:fill="auto"/>
          </w:tcPr>
          <w:p w14:paraId="50874652" w14:textId="77777777" w:rsidR="00860F8E" w:rsidRPr="00E3350E" w:rsidRDefault="00860F8E" w:rsidP="00EF6063">
            <w:pPr>
              <w:pStyle w:val="TableText"/>
              <w:jc w:val="right"/>
              <w:rPr>
                <w:lang w:val="en-AU"/>
              </w:rPr>
            </w:pPr>
            <w:r w:rsidRPr="00E3350E">
              <w:rPr>
                <w:lang w:val="en-AU"/>
              </w:rPr>
              <w:t>$205,546</w:t>
            </w:r>
          </w:p>
        </w:tc>
        <w:tc>
          <w:tcPr>
            <w:tcW w:w="2883" w:type="dxa"/>
            <w:shd w:val="clear" w:color="auto" w:fill="auto"/>
          </w:tcPr>
          <w:p w14:paraId="70A1A136" w14:textId="77777777" w:rsidR="00860F8E" w:rsidRPr="00E3350E" w:rsidRDefault="00860F8E" w:rsidP="00EF6063">
            <w:pPr>
              <w:pStyle w:val="TableText"/>
              <w:jc w:val="right"/>
              <w:rPr>
                <w:lang w:val="en-AU"/>
              </w:rPr>
            </w:pPr>
            <w:r w:rsidRPr="00E3350E">
              <w:rPr>
                <w:lang w:val="en-AU"/>
              </w:rPr>
              <w:t>31</w:t>
            </w:r>
          </w:p>
        </w:tc>
      </w:tr>
      <w:tr w:rsidR="00860F8E" w:rsidRPr="00E3350E" w14:paraId="0004BFBF" w14:textId="77777777" w:rsidTr="008E2A9C">
        <w:tc>
          <w:tcPr>
            <w:tcW w:w="2882" w:type="dxa"/>
            <w:shd w:val="clear" w:color="auto" w:fill="auto"/>
          </w:tcPr>
          <w:p w14:paraId="7288CAB0" w14:textId="77777777" w:rsidR="00860F8E" w:rsidRPr="00E3350E" w:rsidRDefault="00860F8E" w:rsidP="00EF6063">
            <w:pPr>
              <w:pStyle w:val="TableText"/>
              <w:rPr>
                <w:lang w:val="en-AU"/>
              </w:rPr>
            </w:pPr>
            <w:r w:rsidRPr="00E3350E">
              <w:rPr>
                <w:lang w:val="en-AU"/>
              </w:rPr>
              <w:t>2017–18</w:t>
            </w:r>
          </w:p>
        </w:tc>
        <w:tc>
          <w:tcPr>
            <w:tcW w:w="2882" w:type="dxa"/>
            <w:shd w:val="clear" w:color="auto" w:fill="auto"/>
          </w:tcPr>
          <w:p w14:paraId="04D4C5AA" w14:textId="77777777" w:rsidR="00860F8E" w:rsidRPr="00E3350E" w:rsidRDefault="00860F8E" w:rsidP="00EF6063">
            <w:pPr>
              <w:pStyle w:val="TableText"/>
              <w:jc w:val="right"/>
              <w:rPr>
                <w:lang w:val="en-AU"/>
              </w:rPr>
            </w:pPr>
            <w:r w:rsidRPr="00E3350E">
              <w:rPr>
                <w:lang w:val="en-AU"/>
              </w:rPr>
              <w:t>$117,652</w:t>
            </w:r>
          </w:p>
        </w:tc>
        <w:tc>
          <w:tcPr>
            <w:tcW w:w="2883" w:type="dxa"/>
            <w:shd w:val="clear" w:color="auto" w:fill="auto"/>
          </w:tcPr>
          <w:p w14:paraId="71AFCAD2" w14:textId="77777777" w:rsidR="00860F8E" w:rsidRPr="00E3350E" w:rsidRDefault="00860F8E" w:rsidP="00EF6063">
            <w:pPr>
              <w:pStyle w:val="TableText"/>
              <w:jc w:val="right"/>
              <w:rPr>
                <w:lang w:val="en-AU"/>
              </w:rPr>
            </w:pPr>
            <w:r w:rsidRPr="00E3350E">
              <w:rPr>
                <w:lang w:val="en-AU"/>
              </w:rPr>
              <w:t>21</w:t>
            </w:r>
          </w:p>
        </w:tc>
      </w:tr>
    </w:tbl>
    <w:p w14:paraId="513CB3C4" w14:textId="77777777" w:rsidR="00860F8E" w:rsidRPr="00E3350E" w:rsidRDefault="00860F8E" w:rsidP="00860F8E">
      <w:pPr>
        <w:rPr>
          <w:lang w:val="en-AU"/>
        </w:rPr>
      </w:pPr>
    </w:p>
    <w:p w14:paraId="20C93495" w14:textId="77777777" w:rsidR="00860F8E" w:rsidRPr="00AA6995" w:rsidRDefault="00860F8E" w:rsidP="00AA6995">
      <w:pPr>
        <w:pStyle w:val="Heading1"/>
      </w:pPr>
      <w:bookmarkStart w:id="136" w:name="_Toc523924894"/>
      <w:bookmarkStart w:id="137" w:name="_Toc522537170"/>
      <w:bookmarkStart w:id="138" w:name="_Hlk521660113"/>
      <w:r w:rsidRPr="00AA6995">
        <w:t>Co</w:t>
      </w:r>
      <w:bookmarkEnd w:id="131"/>
      <w:bookmarkEnd w:id="132"/>
      <w:bookmarkEnd w:id="133"/>
      <w:r w:rsidRPr="00AA6995">
        <w:t>nsultancy services</w:t>
      </w:r>
      <w:bookmarkEnd w:id="136"/>
      <w:r w:rsidRPr="00AA6995">
        <w:t xml:space="preserve"> </w:t>
      </w:r>
      <w:bookmarkEnd w:id="137"/>
    </w:p>
    <w:p w14:paraId="61F2F951" w14:textId="77777777" w:rsidR="00860F8E" w:rsidRPr="00427B16" w:rsidRDefault="00860F8E" w:rsidP="00860F8E">
      <w:bookmarkStart w:id="139" w:name="_Toc522537171"/>
      <w:bookmarkEnd w:id="121"/>
      <w:bookmarkEnd w:id="122"/>
      <w:bookmarkEnd w:id="123"/>
      <w:r w:rsidRPr="00427B16">
        <w:t>Annual reports contain information about actual expenditure on contracts for consultancies. Information on the value of contracts and consultancies is available on the CASA website.</w:t>
      </w:r>
    </w:p>
    <w:p w14:paraId="41537350" w14:textId="77777777" w:rsidR="00860F8E" w:rsidRPr="00427B16" w:rsidRDefault="00860F8E" w:rsidP="00860F8E">
      <w:r w:rsidRPr="00427B16">
        <w:t>The total cost of consultancies to CASA in 2017–18 was $2,167,392</w:t>
      </w:r>
      <w:r w:rsidR="003C53A8">
        <w:t>.</w:t>
      </w:r>
    </w:p>
    <w:p w14:paraId="397BAA91" w14:textId="77777777" w:rsidR="00860F8E" w:rsidRPr="00E3350E" w:rsidRDefault="00860F8E" w:rsidP="00860F8E">
      <w:pPr>
        <w:pStyle w:val="Heading1"/>
        <w:rPr>
          <w:lang w:val="en-AU"/>
        </w:rPr>
      </w:pPr>
      <w:bookmarkStart w:id="140" w:name="_Toc523924895"/>
      <w:r w:rsidRPr="00E3350E">
        <w:rPr>
          <w:lang w:val="en-AU"/>
        </w:rPr>
        <w:t>Related entity transactions</w:t>
      </w:r>
      <w:bookmarkEnd w:id="139"/>
      <w:bookmarkEnd w:id="140"/>
      <w:r w:rsidRPr="00E3350E">
        <w:rPr>
          <w:lang w:val="en-AU"/>
        </w:rPr>
        <w:t xml:space="preserve"> </w:t>
      </w:r>
    </w:p>
    <w:p w14:paraId="584B42BC" w14:textId="77777777" w:rsidR="00860F8E" w:rsidRPr="00A51BDF" w:rsidRDefault="00860F8E" w:rsidP="00860F8E">
      <w:bookmarkStart w:id="141" w:name="_Toc522537172"/>
      <w:bookmarkEnd w:id="138"/>
      <w:r w:rsidRPr="00A51BDF">
        <w:t xml:space="preserve">In 2017–18, there were no transactions for goods and services or provisions of grants to any entity in which a director of CASA was also a director. </w:t>
      </w:r>
    </w:p>
    <w:p w14:paraId="5A4BF9C4" w14:textId="77777777" w:rsidR="00860F8E" w:rsidRPr="00E3350E" w:rsidRDefault="00860F8E" w:rsidP="00860F8E">
      <w:pPr>
        <w:pStyle w:val="Heading1"/>
        <w:rPr>
          <w:lang w:val="en-AU"/>
        </w:rPr>
      </w:pPr>
      <w:bookmarkStart w:id="142" w:name="_Toc523924896"/>
      <w:r w:rsidRPr="00E3350E">
        <w:rPr>
          <w:lang w:val="en-AU"/>
        </w:rPr>
        <w:t>Insurance and indemnities</w:t>
      </w:r>
      <w:bookmarkEnd w:id="141"/>
      <w:bookmarkEnd w:id="142"/>
    </w:p>
    <w:p w14:paraId="2FB9BB61" w14:textId="77777777" w:rsidR="00860F8E" w:rsidRPr="00E3350E" w:rsidRDefault="00860F8E" w:rsidP="00860F8E">
      <w:pPr>
        <w:rPr>
          <w:sz w:val="22"/>
          <w:szCs w:val="22"/>
          <w:lang w:val="en-AU"/>
        </w:rPr>
      </w:pPr>
      <w:r w:rsidRPr="00E3350E">
        <w:rPr>
          <w:lang w:val="en-AU"/>
        </w:rPr>
        <w:t xml:space="preserve">The Commonwealth indemnified CASA in relation to liabilities associated with acts or omissions that occurred before the expiry of two deeds of indemnity in July and August 1998. </w:t>
      </w:r>
      <w:r w:rsidRPr="00E3350E">
        <w:rPr>
          <w:iCs/>
          <w:lang w:val="en-AU"/>
        </w:rPr>
        <w:t>Since then, CASA has arranged its own insurance for these risks through a Comcover policy</w:t>
      </w:r>
      <w:r w:rsidRPr="00E3350E">
        <w:rPr>
          <w:lang w:val="en-AU"/>
        </w:rPr>
        <w:t>.</w:t>
      </w:r>
    </w:p>
    <w:p w14:paraId="035656A7" w14:textId="77777777" w:rsidR="00860F8E" w:rsidRPr="00E3350E" w:rsidRDefault="00860F8E" w:rsidP="00860F8E">
      <w:pPr>
        <w:rPr>
          <w:lang w:val="en-AU"/>
        </w:rPr>
      </w:pPr>
      <w:r w:rsidRPr="00E3350E">
        <w:rPr>
          <w:lang w:val="en-AU"/>
        </w:rPr>
        <w:lastRenderedPageBreak/>
        <w:t xml:space="preserve">In 2017–18, </w:t>
      </w:r>
      <w:r>
        <w:rPr>
          <w:lang w:val="en-AU"/>
        </w:rPr>
        <w:t>we</w:t>
      </w:r>
      <w:r w:rsidRPr="00E3350E">
        <w:rPr>
          <w:lang w:val="en-AU"/>
        </w:rPr>
        <w:t xml:space="preserve"> held aviation and general liability, professional indemnity, directors’ and officers’ liability, and a range of other corporate insurance.</w:t>
      </w:r>
    </w:p>
    <w:p w14:paraId="2246F30D" w14:textId="77777777" w:rsidR="00860F8E" w:rsidRPr="00E3350E" w:rsidRDefault="00860F8E" w:rsidP="00860F8E">
      <w:pPr>
        <w:pStyle w:val="Heading2noTOC"/>
        <w:rPr>
          <w:lang w:val="en-AU"/>
        </w:rPr>
      </w:pPr>
      <w:r w:rsidRPr="00E3350E">
        <w:rPr>
          <w:lang w:val="en-AU"/>
        </w:rPr>
        <w:t>Aviation and general liability</w:t>
      </w:r>
    </w:p>
    <w:p w14:paraId="16E6FDE9" w14:textId="77777777" w:rsidR="00860F8E" w:rsidRPr="00E3350E" w:rsidRDefault="00860F8E" w:rsidP="00860F8E">
      <w:pPr>
        <w:rPr>
          <w:lang w:val="en-AU"/>
        </w:rPr>
      </w:pPr>
      <w:r w:rsidRPr="00E3350E">
        <w:rPr>
          <w:lang w:val="en-AU"/>
        </w:rPr>
        <w:t>Aviation and general liability insurance provides coverage for injuries caused to third parties or to the property of third parties as a result of negligence arising out of the performance of CASA’s functions under the Civil Aviation Act</w:t>
      </w:r>
      <w:r w:rsidRPr="00096610">
        <w:rPr>
          <w:lang w:val="en-AU"/>
        </w:rPr>
        <w:t>,</w:t>
      </w:r>
      <w:r w:rsidRPr="00E3350E">
        <w:rPr>
          <w:lang w:val="en-AU"/>
        </w:rPr>
        <w:t xml:space="preserve"> the </w:t>
      </w:r>
      <w:r w:rsidRPr="00DA615C">
        <w:rPr>
          <w:i/>
          <w:lang w:val="en-AU"/>
        </w:rPr>
        <w:t>Civil Aviation (Carriers’ Liability) Act 1959</w:t>
      </w:r>
      <w:r>
        <w:rPr>
          <w:lang w:val="en-AU"/>
        </w:rPr>
        <w:t xml:space="preserve"> </w:t>
      </w:r>
      <w:r w:rsidRPr="00E3350E">
        <w:rPr>
          <w:lang w:val="en-AU"/>
        </w:rPr>
        <w:t>and other applicable legislation.</w:t>
      </w:r>
    </w:p>
    <w:p w14:paraId="36A7925C" w14:textId="77777777" w:rsidR="00860F8E" w:rsidRPr="00E3350E" w:rsidRDefault="00860F8E" w:rsidP="00860F8E">
      <w:pPr>
        <w:pStyle w:val="Heading2noTOC"/>
        <w:rPr>
          <w:color w:val="auto"/>
          <w:lang w:val="en-AU"/>
        </w:rPr>
      </w:pPr>
      <w:r w:rsidRPr="00E3350E">
        <w:rPr>
          <w:lang w:val="en-AU"/>
        </w:rPr>
        <w:t>Professional indemnity</w:t>
      </w:r>
    </w:p>
    <w:p w14:paraId="55A6AE89" w14:textId="77777777" w:rsidR="00860F8E" w:rsidRPr="00E3350E" w:rsidRDefault="00860F8E" w:rsidP="00860F8E">
      <w:pPr>
        <w:rPr>
          <w:lang w:val="en-AU"/>
        </w:rPr>
      </w:pPr>
      <w:r w:rsidRPr="00E3350E">
        <w:rPr>
          <w:lang w:val="en-AU"/>
        </w:rPr>
        <w:t xml:space="preserve">CASA’s Comcover insurance policy covers liability arising from breaches of duty or negligence by a CASA officer. Further, the aviation liability component of the policy covers liability in respect </w:t>
      </w:r>
      <w:r>
        <w:rPr>
          <w:lang w:val="en-AU"/>
        </w:rPr>
        <w:t>of</w:t>
      </w:r>
      <w:r w:rsidRPr="00E3350E">
        <w:rPr>
          <w:lang w:val="en-AU"/>
        </w:rPr>
        <w:t xml:space="preserve"> the indemnity given to industry delegates and authorised persons. The policy is subject to exclusions.</w:t>
      </w:r>
    </w:p>
    <w:p w14:paraId="768292CF" w14:textId="77777777" w:rsidR="00860F8E" w:rsidRPr="00E3350E" w:rsidRDefault="00860F8E" w:rsidP="00860F8E">
      <w:pPr>
        <w:pStyle w:val="Heading2noTOC"/>
        <w:rPr>
          <w:lang w:val="en-AU"/>
        </w:rPr>
      </w:pPr>
      <w:r w:rsidRPr="00E3350E">
        <w:rPr>
          <w:lang w:val="en-AU"/>
        </w:rPr>
        <w:t>Directors’ and officers’ liability</w:t>
      </w:r>
    </w:p>
    <w:p w14:paraId="0A4715A0" w14:textId="77777777" w:rsidR="00860F8E" w:rsidRPr="00E3350E" w:rsidRDefault="00860F8E" w:rsidP="00860F8E">
      <w:pPr>
        <w:rPr>
          <w:lang w:val="en-AU"/>
        </w:rPr>
      </w:pPr>
      <w:r w:rsidRPr="00E3350E">
        <w:rPr>
          <w:lang w:val="en-AU"/>
        </w:rPr>
        <w:t>In 2017–18, CASA held insurance protecting directors and officers from liability for the consequences of wrongful acts, as defined in CASA’</w:t>
      </w:r>
      <w:r w:rsidRPr="00DA615C">
        <w:rPr>
          <w:lang w:val="en-AU"/>
        </w:rPr>
        <w:t>s Comcover policy.</w:t>
      </w:r>
    </w:p>
    <w:p w14:paraId="64154981" w14:textId="77777777" w:rsidR="00860F8E" w:rsidRPr="00053FD1" w:rsidRDefault="00860F8E" w:rsidP="00860F8E"/>
    <w:p w14:paraId="1FB1C46A" w14:textId="77777777" w:rsidR="00860F8E" w:rsidRPr="00053FD1" w:rsidRDefault="00860F8E" w:rsidP="00860F8E">
      <w:pPr>
        <w:pStyle w:val="Heading0noTOC"/>
        <w:sectPr w:rsidR="00860F8E" w:rsidRPr="00053FD1" w:rsidSect="0033583D">
          <w:headerReference w:type="even" r:id="rId37"/>
          <w:headerReference w:type="default" r:id="rId38"/>
          <w:pgSz w:w="11906" w:h="16838" w:code="9"/>
          <w:pgMar w:top="1440" w:right="1440" w:bottom="1440" w:left="1440" w:header="709" w:footer="709" w:gutter="0"/>
          <w:cols w:space="708"/>
          <w:docGrid w:linePitch="360"/>
        </w:sectPr>
      </w:pPr>
    </w:p>
    <w:p w14:paraId="01C8D53A" w14:textId="77777777" w:rsidR="00860F8E" w:rsidRPr="00053FD1" w:rsidRDefault="00860F8E" w:rsidP="00860F8E">
      <w:pPr>
        <w:pStyle w:val="Heading0Part"/>
      </w:pPr>
      <w:bookmarkStart w:id="143" w:name="_Toc267471751"/>
      <w:bookmarkStart w:id="144" w:name="_Toc267485937"/>
      <w:bookmarkStart w:id="145" w:name="_Toc306031132"/>
      <w:bookmarkStart w:id="146" w:name="_Toc522537173"/>
      <w:bookmarkStart w:id="147" w:name="_Toc523924897"/>
      <w:r w:rsidRPr="00053FD1">
        <w:lastRenderedPageBreak/>
        <w:t>Part 5: Financial statements</w:t>
      </w:r>
      <w:bookmarkEnd w:id="143"/>
      <w:bookmarkEnd w:id="144"/>
      <w:bookmarkEnd w:id="145"/>
      <w:bookmarkEnd w:id="146"/>
      <w:bookmarkEnd w:id="147"/>
    </w:p>
    <w:p w14:paraId="5423E36B" w14:textId="77777777" w:rsidR="00FE5FDE" w:rsidRPr="00450B11" w:rsidRDefault="00FE5FDE" w:rsidP="00FE5FDE">
      <w:pPr>
        <w:pStyle w:val="Bullet"/>
        <w:numPr>
          <w:ilvl w:val="0"/>
          <w:numId w:val="0"/>
        </w:numPr>
      </w:pPr>
      <w:r w:rsidRPr="00450B11">
        <w:t>Content under this heading has been removed in this version to meet accessibility standards.</w:t>
      </w:r>
    </w:p>
    <w:p w14:paraId="6EE730C4" w14:textId="77777777" w:rsidR="00FE5FDE" w:rsidRDefault="00FE5FDE" w:rsidP="00860F8E"/>
    <w:p w14:paraId="35E03B56" w14:textId="1FE6A8D2" w:rsidR="00860F8E" w:rsidRPr="006C0823" w:rsidRDefault="00860F8E" w:rsidP="00860F8E">
      <w:r w:rsidRPr="00053FD1">
        <w:t>This part of the report provides the entirety of CASA’s financial statements, audit opinion and explanatory notes for 2017–18. The Australian National Audit Office has performed an independent audit of, and expressed</w:t>
      </w:r>
      <w:r w:rsidRPr="006C0823">
        <w:t xml:space="preserve"> an unqualified opinion on, the financial statements.</w:t>
      </w:r>
    </w:p>
    <w:p w14:paraId="74592685" w14:textId="77777777" w:rsidR="00AA6995" w:rsidRDefault="00860F8E" w:rsidP="00AA6995">
      <w:r w:rsidRPr="006C0823">
        <w:t xml:space="preserve">In this part: </w:t>
      </w:r>
    </w:p>
    <w:p w14:paraId="21B64315" w14:textId="1637C3A4" w:rsidR="00860F8E" w:rsidRPr="006C0823" w:rsidRDefault="00860F8E" w:rsidP="00AA6995">
      <w:r w:rsidRPr="006C0823">
        <w:t>Independent auditor’s report</w:t>
      </w:r>
    </w:p>
    <w:p w14:paraId="683833B3" w14:textId="77777777" w:rsidR="00860F8E" w:rsidRPr="006C0823" w:rsidRDefault="00860F8E" w:rsidP="00860F8E">
      <w:pPr>
        <w:pStyle w:val="Bullet"/>
      </w:pPr>
      <w:r w:rsidRPr="006C0823">
        <w:t xml:space="preserve">Statement by the Chair of the Board, </w:t>
      </w:r>
      <w:r w:rsidR="0044040E">
        <w:t xml:space="preserve">Chief Executive Officer and </w:t>
      </w:r>
      <w:r w:rsidRPr="006C0823">
        <w:t>Director of Aviation Safety and Chief Financial Officer</w:t>
      </w:r>
    </w:p>
    <w:p w14:paraId="4F244746" w14:textId="77777777" w:rsidR="00860F8E" w:rsidRPr="006C0823" w:rsidRDefault="00860F8E" w:rsidP="00860F8E">
      <w:pPr>
        <w:pStyle w:val="Bullet"/>
      </w:pPr>
      <w:r w:rsidRPr="006C0823">
        <w:t>Statement of comprehensive income</w:t>
      </w:r>
    </w:p>
    <w:p w14:paraId="3DCF1BD3" w14:textId="77777777" w:rsidR="00860F8E" w:rsidRPr="006C0823" w:rsidRDefault="00860F8E" w:rsidP="00860F8E">
      <w:pPr>
        <w:pStyle w:val="Bullet"/>
      </w:pPr>
      <w:r w:rsidRPr="006C0823">
        <w:t>Balance sheet</w:t>
      </w:r>
    </w:p>
    <w:p w14:paraId="4D6B4DDC" w14:textId="77777777" w:rsidR="00860F8E" w:rsidRPr="006C0823" w:rsidRDefault="00860F8E" w:rsidP="00860F8E">
      <w:pPr>
        <w:pStyle w:val="Bullet"/>
      </w:pPr>
      <w:r w:rsidRPr="006C0823">
        <w:t>Statement of changes in equity</w:t>
      </w:r>
    </w:p>
    <w:p w14:paraId="2896D374" w14:textId="77777777" w:rsidR="00860F8E" w:rsidRPr="006C0823" w:rsidRDefault="00860F8E" w:rsidP="00860F8E">
      <w:pPr>
        <w:pStyle w:val="Bullet"/>
      </w:pPr>
      <w:r w:rsidRPr="006C0823">
        <w:t>Cash flow statement</w:t>
      </w:r>
    </w:p>
    <w:p w14:paraId="3D3ADD83" w14:textId="77777777" w:rsidR="00860F8E" w:rsidRPr="006C0823" w:rsidRDefault="00860F8E" w:rsidP="00860F8E">
      <w:pPr>
        <w:pStyle w:val="Bullet"/>
      </w:pPr>
      <w:r w:rsidRPr="006C0823">
        <w:t>Schedule of commitments</w:t>
      </w:r>
    </w:p>
    <w:p w14:paraId="1650B24D" w14:textId="77777777" w:rsidR="00860F8E" w:rsidRPr="006C0823" w:rsidRDefault="00860F8E" w:rsidP="00860F8E">
      <w:pPr>
        <w:pStyle w:val="Bullet"/>
      </w:pPr>
      <w:r w:rsidRPr="006C0823">
        <w:t>Schedule of contingencies</w:t>
      </w:r>
    </w:p>
    <w:p w14:paraId="30D4E0EE" w14:textId="77777777" w:rsidR="00860F8E" w:rsidRPr="006C0823" w:rsidRDefault="00860F8E" w:rsidP="00860F8E">
      <w:pPr>
        <w:pStyle w:val="Bullet"/>
      </w:pPr>
      <w:r w:rsidRPr="006C0823">
        <w:t>Schedule of asset additions</w:t>
      </w:r>
    </w:p>
    <w:p w14:paraId="71C5E3B3" w14:textId="2BDD7B89" w:rsidR="00860F8E" w:rsidRDefault="00860F8E" w:rsidP="00860F8E">
      <w:pPr>
        <w:pStyle w:val="BulletLast"/>
      </w:pPr>
      <w:r w:rsidRPr="006C0823">
        <w:t>Notes to and forming part of the financial statements</w:t>
      </w:r>
    </w:p>
    <w:p w14:paraId="4FBD30AE" w14:textId="77777777" w:rsidR="00860F8E" w:rsidRPr="006C0823" w:rsidRDefault="00860F8E" w:rsidP="00860F8E">
      <w:pPr>
        <w:pStyle w:val="Heading1"/>
        <w:rPr>
          <w:lang w:val="en-GB"/>
        </w:rPr>
      </w:pPr>
      <w:r w:rsidRPr="006C0823">
        <w:rPr>
          <w:lang w:val="en-GB"/>
        </w:rPr>
        <w:br w:type="page"/>
      </w:r>
      <w:bookmarkStart w:id="148" w:name="_Toc522537174"/>
      <w:bookmarkStart w:id="149" w:name="_Toc523924898"/>
      <w:bookmarkStart w:id="150" w:name="_Toc267471752"/>
      <w:bookmarkStart w:id="151" w:name="_Toc267485938"/>
      <w:r w:rsidRPr="006C0823">
        <w:rPr>
          <w:lang w:val="en-GB"/>
        </w:rPr>
        <w:lastRenderedPageBreak/>
        <w:t>Independent auditor’s report</w:t>
      </w:r>
      <w:bookmarkEnd w:id="148"/>
      <w:bookmarkEnd w:id="149"/>
    </w:p>
    <w:p w14:paraId="6B94C8CA" w14:textId="77777777" w:rsidR="00D94B82" w:rsidRPr="00450B11" w:rsidRDefault="00D94B82" w:rsidP="00D94B82">
      <w:pPr>
        <w:pStyle w:val="Bullet"/>
        <w:numPr>
          <w:ilvl w:val="0"/>
          <w:numId w:val="0"/>
        </w:numPr>
      </w:pPr>
      <w:r w:rsidRPr="00450B11">
        <w:t>Content under this heading has been removed in this version to meet accessibility standards.</w:t>
      </w:r>
    </w:p>
    <w:p w14:paraId="3164C564" w14:textId="0392AD64" w:rsidR="00860F8E" w:rsidRPr="006C0823" w:rsidRDefault="00860F8E" w:rsidP="00860F8E">
      <w:pPr>
        <w:pStyle w:val="Heading1"/>
        <w:rPr>
          <w:lang w:val="en-GB"/>
        </w:rPr>
      </w:pPr>
      <w:bookmarkStart w:id="152" w:name="_Toc522537175"/>
      <w:bookmarkStart w:id="153" w:name="_Toc523924899"/>
      <w:r w:rsidRPr="006C0823">
        <w:rPr>
          <w:lang w:val="en-GB"/>
        </w:rPr>
        <w:t>Statement by the Chair of the Board, Director of Aviation Safety and Chief Financial Officer</w:t>
      </w:r>
      <w:bookmarkEnd w:id="152"/>
      <w:bookmarkEnd w:id="153"/>
    </w:p>
    <w:p w14:paraId="516E1183" w14:textId="77777777" w:rsidR="00D94B82" w:rsidRPr="00450B11" w:rsidRDefault="00D94B82" w:rsidP="00D94B82">
      <w:pPr>
        <w:pStyle w:val="Bullet"/>
        <w:numPr>
          <w:ilvl w:val="0"/>
          <w:numId w:val="0"/>
        </w:numPr>
      </w:pPr>
      <w:bookmarkStart w:id="154" w:name="_Toc268006422"/>
      <w:bookmarkEnd w:id="150"/>
      <w:bookmarkEnd w:id="151"/>
      <w:r w:rsidRPr="00450B11">
        <w:t>Content under this heading has been removed in this version to meet accessibility standards.</w:t>
      </w:r>
    </w:p>
    <w:p w14:paraId="5927B9C7" w14:textId="77777777" w:rsidR="00860F8E" w:rsidRPr="006C0823" w:rsidRDefault="00860F8E" w:rsidP="00860F8E">
      <w:pPr>
        <w:pStyle w:val="Heading0Part"/>
      </w:pPr>
      <w:bookmarkStart w:id="155" w:name="_Toc522537176"/>
      <w:bookmarkStart w:id="156" w:name="_Toc523924900"/>
      <w:r w:rsidRPr="006C0823">
        <w:t>Part 6: Appendices and references</w:t>
      </w:r>
      <w:bookmarkEnd w:id="154"/>
      <w:bookmarkEnd w:id="155"/>
      <w:bookmarkEnd w:id="156"/>
    </w:p>
    <w:p w14:paraId="640EF49D" w14:textId="77777777" w:rsidR="00860F8E" w:rsidRPr="006C0823" w:rsidRDefault="00860F8E" w:rsidP="00860F8E">
      <w:r w:rsidRPr="006C0823">
        <w:t xml:space="preserve">This section contains appendices that provide details of CASA’s operations and address particular reporting requirements under the </w:t>
      </w:r>
      <w:r w:rsidRPr="006C0823">
        <w:rPr>
          <w:i/>
        </w:rPr>
        <w:t>Public Governance, Performance and Accountability Act 2013</w:t>
      </w:r>
      <w:r w:rsidRPr="006C0823">
        <w:t xml:space="preserve"> and other legislation.</w:t>
      </w:r>
    </w:p>
    <w:p w14:paraId="2CCB0566" w14:textId="77777777" w:rsidR="00860F8E" w:rsidRPr="006C0823" w:rsidRDefault="00860F8E" w:rsidP="00860F8E">
      <w:r w:rsidRPr="006C0823">
        <w:t>The appendices are followed by reference tools to help the reader to find and use information in the annual report.</w:t>
      </w:r>
    </w:p>
    <w:p w14:paraId="039AF625" w14:textId="77777777" w:rsidR="00860F8E" w:rsidRPr="006C0823" w:rsidRDefault="00860F8E" w:rsidP="00860F8E">
      <w:r w:rsidRPr="006C0823">
        <w:t>In this part:</w:t>
      </w:r>
    </w:p>
    <w:p w14:paraId="6AE1A5FB" w14:textId="77777777" w:rsidR="00860F8E" w:rsidRPr="006C0823" w:rsidRDefault="00860F8E" w:rsidP="00860F8E">
      <w:pPr>
        <w:pStyle w:val="Bullet"/>
      </w:pPr>
      <w:r w:rsidRPr="006C0823">
        <w:t>Appendix A: Operating statistics</w:t>
      </w:r>
    </w:p>
    <w:p w14:paraId="6DA98564" w14:textId="77777777" w:rsidR="00860F8E" w:rsidRPr="006C0823" w:rsidRDefault="00860F8E" w:rsidP="00860F8E">
      <w:pPr>
        <w:pStyle w:val="Bullet"/>
      </w:pPr>
      <w:r w:rsidRPr="006C0823">
        <w:t>Appendix B: Management and accountability data</w:t>
      </w:r>
    </w:p>
    <w:p w14:paraId="1B6F4D3C" w14:textId="77777777" w:rsidR="00860F8E" w:rsidRPr="006C0823" w:rsidRDefault="00860F8E" w:rsidP="00860F8E">
      <w:pPr>
        <w:pStyle w:val="Bullet"/>
      </w:pPr>
      <w:r w:rsidRPr="006C0823">
        <w:t>Abbreviations list</w:t>
      </w:r>
    </w:p>
    <w:p w14:paraId="17F2ACAC" w14:textId="77777777" w:rsidR="00860F8E" w:rsidRPr="006C0823" w:rsidRDefault="00860F8E" w:rsidP="00860F8E">
      <w:pPr>
        <w:pStyle w:val="Bullet"/>
      </w:pPr>
      <w:r w:rsidRPr="006C0823">
        <w:t>Compliance index</w:t>
      </w:r>
    </w:p>
    <w:p w14:paraId="53D70CF6" w14:textId="77777777" w:rsidR="00860F8E" w:rsidRPr="006C0823" w:rsidRDefault="00860F8E" w:rsidP="00860F8E">
      <w:pPr>
        <w:pStyle w:val="BulletLast"/>
      </w:pPr>
      <w:r w:rsidRPr="006C0823">
        <w:t>Alphabetical index</w:t>
      </w:r>
    </w:p>
    <w:p w14:paraId="1FCE67A8" w14:textId="77777777" w:rsidR="00860F8E" w:rsidRDefault="00860F8E" w:rsidP="00860F8E">
      <w:pPr>
        <w:pStyle w:val="Heading1"/>
        <w:rPr>
          <w:rStyle w:val="Heading1Char1"/>
          <w:b/>
          <w:bCs/>
          <w:lang w:val="en-GB"/>
        </w:rPr>
      </w:pPr>
      <w:bookmarkStart w:id="157" w:name="_Toc522537177"/>
      <w:bookmarkStart w:id="158" w:name="_Toc523924901"/>
      <w:bookmarkStart w:id="159" w:name="_Toc267471754"/>
      <w:bookmarkStart w:id="160" w:name="_Toc267485940"/>
      <w:bookmarkStart w:id="161" w:name="_Toc268006424"/>
      <w:r w:rsidRPr="006C0823">
        <w:rPr>
          <w:rStyle w:val="Heading1Char1"/>
          <w:b/>
          <w:bCs/>
          <w:lang w:val="en-GB"/>
        </w:rPr>
        <w:t>Appendix A: Operating statistics</w:t>
      </w:r>
      <w:bookmarkEnd w:id="157"/>
      <w:bookmarkEnd w:id="158"/>
    </w:p>
    <w:p w14:paraId="4C6B5CE4" w14:textId="77777777" w:rsidR="00860F8E" w:rsidRPr="00053FD1" w:rsidRDefault="00860F8E" w:rsidP="00860F8E">
      <w:pPr>
        <w:pStyle w:val="Heading2"/>
      </w:pPr>
      <w:bookmarkStart w:id="162" w:name="_Toc238803366"/>
      <w:r w:rsidRPr="00053FD1">
        <w:t>Flight operations</w:t>
      </w:r>
    </w:p>
    <w:p w14:paraId="4DD76DE5" w14:textId="77777777" w:rsidR="00860F8E" w:rsidRPr="00053FD1" w:rsidRDefault="00860F8E" w:rsidP="00860F8E">
      <w:pPr>
        <w:keepNext/>
        <w:spacing w:before="180" w:after="240"/>
        <w:ind w:left="1440" w:hanging="1440"/>
        <w:rPr>
          <w:rFonts w:ascii="Arial Narrow" w:hAnsi="Arial Narrow"/>
          <w:b/>
          <w:color w:val="0099CC"/>
          <w:sz w:val="22"/>
          <w:szCs w:val="22"/>
          <w:u w:color="0099CC"/>
        </w:rPr>
      </w:pPr>
      <w:r w:rsidRPr="00E35B2E">
        <w:rPr>
          <w:rFonts w:ascii="Arial Narrow" w:hAnsi="Arial Narrow"/>
          <w:b/>
          <w:color w:val="4472C4" w:themeColor="accent1"/>
          <w:sz w:val="22"/>
          <w:szCs w:val="22"/>
          <w:u w:color="0099CC"/>
        </w:rPr>
        <w:t>Table A.1</w:t>
      </w:r>
      <w:r w:rsidRPr="00E35B2E">
        <w:rPr>
          <w:rFonts w:ascii="Arial Narrow" w:hAnsi="Arial Narrow"/>
          <w:b/>
          <w:color w:val="4472C4" w:themeColor="accent1"/>
          <w:sz w:val="22"/>
          <w:szCs w:val="22"/>
          <w:u w:color="0099CC"/>
        </w:rPr>
        <w:tab/>
        <w:t xml:space="preserve">Air operator certificates, 2013–14 to 2017–18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192"/>
        <w:gridCol w:w="1190"/>
        <w:gridCol w:w="1190"/>
        <w:gridCol w:w="1191"/>
        <w:gridCol w:w="1191"/>
      </w:tblGrid>
      <w:tr w:rsidR="00860F8E" w:rsidRPr="00053FD1" w14:paraId="1AE9827C" w14:textId="77777777" w:rsidTr="008E2A9C">
        <w:trPr>
          <w:tblHeader/>
        </w:trPr>
        <w:tc>
          <w:tcPr>
            <w:tcW w:w="3178" w:type="dxa"/>
            <w:tcMar>
              <w:top w:w="0" w:type="dxa"/>
              <w:left w:w="108" w:type="dxa"/>
              <w:bottom w:w="0" w:type="dxa"/>
              <w:right w:w="108" w:type="dxa"/>
            </w:tcMar>
            <w:hideMark/>
          </w:tcPr>
          <w:p w14:paraId="5C9FC694" w14:textId="77777777" w:rsidR="00860F8E" w:rsidRPr="00053FD1" w:rsidRDefault="00860F8E" w:rsidP="00EF6063">
            <w:pPr>
              <w:keepNext/>
              <w:spacing w:before="80" w:after="80"/>
              <w:rPr>
                <w:rFonts w:ascii="Arial Narrow" w:hAnsi="Arial Narrow"/>
                <w:sz w:val="20"/>
              </w:rPr>
            </w:pPr>
            <w:r w:rsidRPr="00053FD1">
              <w:rPr>
                <w:rFonts w:ascii="Arial Narrow" w:hAnsi="Arial Narrow"/>
                <w:b/>
                <w:sz w:val="20"/>
              </w:rPr>
              <w:t>Type of application</w:t>
            </w:r>
          </w:p>
        </w:tc>
        <w:tc>
          <w:tcPr>
            <w:tcW w:w="1222" w:type="dxa"/>
          </w:tcPr>
          <w:p w14:paraId="7891F42E" w14:textId="77777777" w:rsidR="00860F8E" w:rsidRPr="00053FD1" w:rsidRDefault="00860F8E" w:rsidP="00EF6063">
            <w:pPr>
              <w:keepNext/>
              <w:spacing w:before="80" w:after="80"/>
              <w:jc w:val="right"/>
              <w:rPr>
                <w:rFonts w:ascii="Arial Narrow" w:hAnsi="Arial Narrow"/>
                <w:b/>
                <w:sz w:val="20"/>
              </w:rPr>
            </w:pPr>
            <w:r w:rsidRPr="00053FD1">
              <w:rPr>
                <w:rFonts w:ascii="Arial Narrow" w:hAnsi="Arial Narrow"/>
                <w:b/>
                <w:sz w:val="20"/>
              </w:rPr>
              <w:t>2013–14</w:t>
            </w:r>
          </w:p>
        </w:tc>
        <w:tc>
          <w:tcPr>
            <w:tcW w:w="1221" w:type="dxa"/>
            <w:tcMar>
              <w:top w:w="0" w:type="dxa"/>
              <w:left w:w="108" w:type="dxa"/>
              <w:bottom w:w="0" w:type="dxa"/>
              <w:right w:w="108" w:type="dxa"/>
            </w:tcMar>
          </w:tcPr>
          <w:p w14:paraId="12516F71" w14:textId="77777777" w:rsidR="00860F8E" w:rsidRPr="00053FD1" w:rsidRDefault="00860F8E" w:rsidP="00EF6063">
            <w:pPr>
              <w:keepNext/>
              <w:spacing w:before="80" w:after="80"/>
              <w:jc w:val="right"/>
              <w:rPr>
                <w:rFonts w:ascii="Arial Narrow" w:hAnsi="Arial Narrow"/>
                <w:b/>
                <w:sz w:val="20"/>
              </w:rPr>
            </w:pPr>
            <w:r w:rsidRPr="00053FD1">
              <w:rPr>
                <w:rFonts w:ascii="Arial Narrow" w:hAnsi="Arial Narrow"/>
                <w:b/>
                <w:sz w:val="20"/>
              </w:rPr>
              <w:t>2014–15</w:t>
            </w:r>
          </w:p>
        </w:tc>
        <w:tc>
          <w:tcPr>
            <w:tcW w:w="1221" w:type="dxa"/>
            <w:tcMar>
              <w:top w:w="0" w:type="dxa"/>
              <w:left w:w="108" w:type="dxa"/>
              <w:bottom w:w="0" w:type="dxa"/>
              <w:right w:w="108" w:type="dxa"/>
            </w:tcMar>
          </w:tcPr>
          <w:p w14:paraId="592CF6B9" w14:textId="77777777" w:rsidR="00860F8E" w:rsidRPr="00053FD1" w:rsidRDefault="00860F8E" w:rsidP="00EF6063">
            <w:pPr>
              <w:keepNext/>
              <w:spacing w:before="80" w:after="80"/>
              <w:jc w:val="right"/>
              <w:rPr>
                <w:rFonts w:ascii="Arial Narrow" w:hAnsi="Arial Narrow"/>
                <w:b/>
                <w:sz w:val="20"/>
              </w:rPr>
            </w:pPr>
            <w:r w:rsidRPr="00053FD1">
              <w:rPr>
                <w:rFonts w:ascii="Arial Narrow" w:hAnsi="Arial Narrow"/>
                <w:b/>
                <w:sz w:val="20"/>
              </w:rPr>
              <w:t>2015–16</w:t>
            </w:r>
          </w:p>
        </w:tc>
        <w:tc>
          <w:tcPr>
            <w:tcW w:w="1222" w:type="dxa"/>
            <w:tcMar>
              <w:top w:w="0" w:type="dxa"/>
              <w:left w:w="108" w:type="dxa"/>
              <w:bottom w:w="0" w:type="dxa"/>
              <w:right w:w="108" w:type="dxa"/>
            </w:tcMar>
          </w:tcPr>
          <w:p w14:paraId="2D020BA6"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2016–17</w:t>
            </w:r>
          </w:p>
        </w:tc>
        <w:tc>
          <w:tcPr>
            <w:tcW w:w="1222" w:type="dxa"/>
          </w:tcPr>
          <w:p w14:paraId="42859D1F"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2017–18</w:t>
            </w:r>
          </w:p>
        </w:tc>
      </w:tr>
      <w:tr w:rsidR="00860F8E" w:rsidRPr="00053FD1" w14:paraId="5980B44E" w14:textId="77777777" w:rsidTr="008E2A9C">
        <w:tc>
          <w:tcPr>
            <w:tcW w:w="3178" w:type="dxa"/>
            <w:tcMar>
              <w:top w:w="0" w:type="dxa"/>
              <w:left w:w="108" w:type="dxa"/>
              <w:bottom w:w="0" w:type="dxa"/>
              <w:right w:w="108" w:type="dxa"/>
            </w:tcMar>
            <w:hideMark/>
          </w:tcPr>
          <w:p w14:paraId="0B3F88D2" w14:textId="77777777" w:rsidR="00860F8E" w:rsidRPr="00053FD1" w:rsidRDefault="00860F8E" w:rsidP="00EF6063">
            <w:pPr>
              <w:spacing w:before="40" w:after="80"/>
              <w:rPr>
                <w:rFonts w:ascii="Arial Narrow" w:hAnsi="Arial Narrow"/>
                <w:sz w:val="20"/>
              </w:rPr>
            </w:pPr>
            <w:r w:rsidRPr="00053FD1">
              <w:rPr>
                <w:rFonts w:ascii="Arial Narrow" w:hAnsi="Arial Narrow"/>
                <w:sz w:val="20"/>
              </w:rPr>
              <w:t xml:space="preserve">Initial issue </w:t>
            </w:r>
          </w:p>
        </w:tc>
        <w:tc>
          <w:tcPr>
            <w:tcW w:w="1222" w:type="dxa"/>
            <w:tcMar>
              <w:top w:w="0" w:type="dxa"/>
              <w:left w:w="108" w:type="dxa"/>
              <w:bottom w:w="0" w:type="dxa"/>
              <w:right w:w="108" w:type="dxa"/>
            </w:tcMar>
          </w:tcPr>
          <w:p w14:paraId="1F70957E"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34</w:t>
            </w:r>
          </w:p>
        </w:tc>
        <w:tc>
          <w:tcPr>
            <w:tcW w:w="1221" w:type="dxa"/>
            <w:tcMar>
              <w:top w:w="0" w:type="dxa"/>
              <w:left w:w="108" w:type="dxa"/>
              <w:bottom w:w="0" w:type="dxa"/>
              <w:right w:w="108" w:type="dxa"/>
            </w:tcMar>
          </w:tcPr>
          <w:p w14:paraId="3D23B4E7"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39</w:t>
            </w:r>
          </w:p>
        </w:tc>
        <w:tc>
          <w:tcPr>
            <w:tcW w:w="1221" w:type="dxa"/>
            <w:tcMar>
              <w:top w:w="0" w:type="dxa"/>
              <w:left w:w="108" w:type="dxa"/>
              <w:bottom w:w="0" w:type="dxa"/>
              <w:right w:w="108" w:type="dxa"/>
            </w:tcMar>
          </w:tcPr>
          <w:p w14:paraId="1DDFC941"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41</w:t>
            </w:r>
          </w:p>
        </w:tc>
        <w:tc>
          <w:tcPr>
            <w:tcW w:w="1222" w:type="dxa"/>
            <w:tcMar>
              <w:top w:w="0" w:type="dxa"/>
              <w:left w:w="108" w:type="dxa"/>
              <w:bottom w:w="0" w:type="dxa"/>
              <w:right w:w="108" w:type="dxa"/>
            </w:tcMar>
          </w:tcPr>
          <w:p w14:paraId="2D387318"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44</w:t>
            </w:r>
          </w:p>
        </w:tc>
        <w:tc>
          <w:tcPr>
            <w:tcW w:w="1222" w:type="dxa"/>
          </w:tcPr>
          <w:p w14:paraId="69A42733"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55</w:t>
            </w:r>
          </w:p>
        </w:tc>
      </w:tr>
      <w:tr w:rsidR="00860F8E" w:rsidRPr="00053FD1" w14:paraId="5FF91CC7" w14:textId="77777777" w:rsidTr="008E2A9C">
        <w:tc>
          <w:tcPr>
            <w:tcW w:w="0" w:type="auto"/>
            <w:tcMar>
              <w:top w:w="0" w:type="dxa"/>
              <w:left w:w="108" w:type="dxa"/>
              <w:bottom w:w="0" w:type="dxa"/>
              <w:right w:w="108" w:type="dxa"/>
            </w:tcMar>
            <w:hideMark/>
          </w:tcPr>
          <w:p w14:paraId="3991F9F0" w14:textId="77777777" w:rsidR="00860F8E" w:rsidRPr="00053FD1" w:rsidRDefault="00860F8E" w:rsidP="00EF6063">
            <w:pPr>
              <w:spacing w:before="40" w:after="80"/>
              <w:rPr>
                <w:rFonts w:ascii="Arial Narrow" w:hAnsi="Arial Narrow"/>
                <w:sz w:val="20"/>
              </w:rPr>
            </w:pPr>
            <w:r w:rsidRPr="00053FD1">
              <w:rPr>
                <w:rFonts w:ascii="Arial Narrow" w:hAnsi="Arial Narrow"/>
                <w:sz w:val="20"/>
              </w:rPr>
              <w:t xml:space="preserve">Subsequent issue </w:t>
            </w:r>
          </w:p>
        </w:tc>
        <w:tc>
          <w:tcPr>
            <w:tcW w:w="1222" w:type="dxa"/>
            <w:tcMar>
              <w:top w:w="0" w:type="dxa"/>
              <w:left w:w="108" w:type="dxa"/>
              <w:bottom w:w="0" w:type="dxa"/>
              <w:right w:w="108" w:type="dxa"/>
            </w:tcMar>
          </w:tcPr>
          <w:p w14:paraId="302E51B7"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185</w:t>
            </w:r>
          </w:p>
        </w:tc>
        <w:tc>
          <w:tcPr>
            <w:tcW w:w="1221" w:type="dxa"/>
            <w:tcMar>
              <w:top w:w="0" w:type="dxa"/>
              <w:left w:w="108" w:type="dxa"/>
              <w:bottom w:w="0" w:type="dxa"/>
              <w:right w:w="108" w:type="dxa"/>
            </w:tcMar>
          </w:tcPr>
          <w:p w14:paraId="7C01B809"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355</w:t>
            </w:r>
          </w:p>
        </w:tc>
        <w:tc>
          <w:tcPr>
            <w:tcW w:w="1221" w:type="dxa"/>
            <w:tcMar>
              <w:top w:w="0" w:type="dxa"/>
              <w:left w:w="108" w:type="dxa"/>
              <w:bottom w:w="0" w:type="dxa"/>
              <w:right w:w="108" w:type="dxa"/>
            </w:tcMar>
          </w:tcPr>
          <w:p w14:paraId="68FE3A50"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267</w:t>
            </w:r>
          </w:p>
        </w:tc>
        <w:tc>
          <w:tcPr>
            <w:tcW w:w="1222" w:type="dxa"/>
            <w:tcMar>
              <w:top w:w="0" w:type="dxa"/>
              <w:left w:w="108" w:type="dxa"/>
              <w:bottom w:w="0" w:type="dxa"/>
              <w:right w:w="108" w:type="dxa"/>
            </w:tcMar>
          </w:tcPr>
          <w:p w14:paraId="7C0FF171"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198</w:t>
            </w:r>
          </w:p>
        </w:tc>
        <w:tc>
          <w:tcPr>
            <w:tcW w:w="1222" w:type="dxa"/>
          </w:tcPr>
          <w:p w14:paraId="0AAE68DA"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276</w:t>
            </w:r>
          </w:p>
        </w:tc>
      </w:tr>
      <w:tr w:rsidR="00860F8E" w:rsidRPr="00053FD1" w14:paraId="54276B3D" w14:textId="77777777" w:rsidTr="008E2A9C">
        <w:tc>
          <w:tcPr>
            <w:tcW w:w="0" w:type="auto"/>
            <w:tcMar>
              <w:top w:w="0" w:type="dxa"/>
              <w:left w:w="108" w:type="dxa"/>
              <w:bottom w:w="0" w:type="dxa"/>
              <w:right w:w="108" w:type="dxa"/>
            </w:tcMar>
            <w:hideMark/>
          </w:tcPr>
          <w:p w14:paraId="72D1F739" w14:textId="77777777" w:rsidR="00860F8E" w:rsidRPr="00053FD1" w:rsidRDefault="00860F8E" w:rsidP="00EF6063">
            <w:pPr>
              <w:spacing w:before="40" w:after="80"/>
              <w:rPr>
                <w:rFonts w:ascii="Arial Narrow" w:hAnsi="Arial Narrow"/>
                <w:sz w:val="20"/>
              </w:rPr>
            </w:pPr>
            <w:r w:rsidRPr="00053FD1">
              <w:rPr>
                <w:rFonts w:ascii="Arial Narrow" w:hAnsi="Arial Narrow"/>
                <w:sz w:val="20"/>
              </w:rPr>
              <w:t xml:space="preserve">Variation </w:t>
            </w:r>
          </w:p>
        </w:tc>
        <w:tc>
          <w:tcPr>
            <w:tcW w:w="1222" w:type="dxa"/>
            <w:tcMar>
              <w:top w:w="0" w:type="dxa"/>
              <w:left w:w="108" w:type="dxa"/>
              <w:bottom w:w="0" w:type="dxa"/>
              <w:right w:w="108" w:type="dxa"/>
            </w:tcMar>
          </w:tcPr>
          <w:p w14:paraId="7C064C5A"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286</w:t>
            </w:r>
          </w:p>
        </w:tc>
        <w:tc>
          <w:tcPr>
            <w:tcW w:w="1221" w:type="dxa"/>
            <w:tcMar>
              <w:top w:w="0" w:type="dxa"/>
              <w:left w:w="108" w:type="dxa"/>
              <w:bottom w:w="0" w:type="dxa"/>
              <w:right w:w="108" w:type="dxa"/>
            </w:tcMar>
          </w:tcPr>
          <w:p w14:paraId="18AC0246"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274</w:t>
            </w:r>
          </w:p>
        </w:tc>
        <w:tc>
          <w:tcPr>
            <w:tcW w:w="1221" w:type="dxa"/>
            <w:tcMar>
              <w:top w:w="0" w:type="dxa"/>
              <w:left w:w="108" w:type="dxa"/>
              <w:bottom w:w="0" w:type="dxa"/>
              <w:right w:w="108" w:type="dxa"/>
            </w:tcMar>
          </w:tcPr>
          <w:p w14:paraId="19DFE85C"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237</w:t>
            </w:r>
          </w:p>
        </w:tc>
        <w:tc>
          <w:tcPr>
            <w:tcW w:w="1222" w:type="dxa"/>
            <w:tcMar>
              <w:top w:w="0" w:type="dxa"/>
              <w:left w:w="108" w:type="dxa"/>
              <w:bottom w:w="0" w:type="dxa"/>
              <w:right w:w="108" w:type="dxa"/>
            </w:tcMar>
          </w:tcPr>
          <w:p w14:paraId="3DE1DC5A"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212</w:t>
            </w:r>
          </w:p>
        </w:tc>
        <w:tc>
          <w:tcPr>
            <w:tcW w:w="1222" w:type="dxa"/>
          </w:tcPr>
          <w:p w14:paraId="1CCF34C0"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214</w:t>
            </w:r>
          </w:p>
        </w:tc>
      </w:tr>
      <w:tr w:rsidR="00860F8E" w:rsidRPr="00053FD1" w14:paraId="226309C9" w14:textId="77777777" w:rsidTr="008E2A9C">
        <w:tc>
          <w:tcPr>
            <w:tcW w:w="0" w:type="auto"/>
            <w:tcMar>
              <w:top w:w="0" w:type="dxa"/>
              <w:left w:w="108" w:type="dxa"/>
              <w:bottom w:w="0" w:type="dxa"/>
              <w:right w:w="108" w:type="dxa"/>
            </w:tcMar>
            <w:hideMark/>
          </w:tcPr>
          <w:p w14:paraId="0749D390" w14:textId="77777777" w:rsidR="00860F8E" w:rsidRPr="00053FD1" w:rsidRDefault="00860F8E" w:rsidP="00EF6063">
            <w:pPr>
              <w:spacing w:before="40" w:after="80"/>
              <w:rPr>
                <w:rFonts w:ascii="Arial Narrow" w:hAnsi="Arial Narrow"/>
                <w:b/>
                <w:bCs/>
                <w:sz w:val="20"/>
              </w:rPr>
            </w:pPr>
            <w:r w:rsidRPr="00053FD1">
              <w:rPr>
                <w:rFonts w:ascii="Arial Narrow" w:hAnsi="Arial Narrow"/>
                <w:b/>
                <w:bCs/>
                <w:sz w:val="20"/>
              </w:rPr>
              <w:t xml:space="preserve">Total </w:t>
            </w:r>
          </w:p>
        </w:tc>
        <w:tc>
          <w:tcPr>
            <w:tcW w:w="1222" w:type="dxa"/>
            <w:tcMar>
              <w:top w:w="0" w:type="dxa"/>
              <w:left w:w="108" w:type="dxa"/>
              <w:bottom w:w="0" w:type="dxa"/>
              <w:right w:w="108" w:type="dxa"/>
            </w:tcMar>
          </w:tcPr>
          <w:p w14:paraId="3645EAF8" w14:textId="77777777" w:rsidR="00860F8E" w:rsidRPr="00053FD1" w:rsidRDefault="00860F8E" w:rsidP="00EF6063">
            <w:pPr>
              <w:spacing w:before="40" w:after="80"/>
              <w:jc w:val="right"/>
              <w:rPr>
                <w:rFonts w:ascii="Arial Narrow" w:hAnsi="Arial Narrow"/>
                <w:b/>
                <w:bCs/>
                <w:sz w:val="20"/>
              </w:rPr>
            </w:pPr>
            <w:r w:rsidRPr="00053FD1">
              <w:rPr>
                <w:rFonts w:ascii="Arial Narrow" w:hAnsi="Arial Narrow"/>
                <w:b/>
                <w:bCs/>
                <w:sz w:val="20"/>
              </w:rPr>
              <w:t>505</w:t>
            </w:r>
          </w:p>
        </w:tc>
        <w:tc>
          <w:tcPr>
            <w:tcW w:w="1221" w:type="dxa"/>
            <w:tcMar>
              <w:top w:w="0" w:type="dxa"/>
              <w:left w:w="108" w:type="dxa"/>
              <w:bottom w:w="0" w:type="dxa"/>
              <w:right w:w="108" w:type="dxa"/>
            </w:tcMar>
          </w:tcPr>
          <w:p w14:paraId="3353F3A7" w14:textId="77777777" w:rsidR="00860F8E" w:rsidRPr="00053FD1" w:rsidRDefault="00860F8E" w:rsidP="00EF6063">
            <w:pPr>
              <w:spacing w:before="40" w:after="80"/>
              <w:jc w:val="right"/>
              <w:rPr>
                <w:rFonts w:ascii="Arial Narrow" w:hAnsi="Arial Narrow"/>
                <w:b/>
                <w:bCs/>
                <w:sz w:val="20"/>
              </w:rPr>
            </w:pPr>
            <w:r w:rsidRPr="00053FD1">
              <w:rPr>
                <w:rFonts w:ascii="Arial Narrow" w:hAnsi="Arial Narrow"/>
                <w:b/>
                <w:bCs/>
                <w:sz w:val="20"/>
              </w:rPr>
              <w:t>668</w:t>
            </w:r>
          </w:p>
        </w:tc>
        <w:tc>
          <w:tcPr>
            <w:tcW w:w="1221" w:type="dxa"/>
            <w:tcMar>
              <w:top w:w="0" w:type="dxa"/>
              <w:left w:w="108" w:type="dxa"/>
              <w:bottom w:w="0" w:type="dxa"/>
              <w:right w:w="108" w:type="dxa"/>
            </w:tcMar>
          </w:tcPr>
          <w:p w14:paraId="36B7130D" w14:textId="77777777" w:rsidR="00860F8E" w:rsidRPr="00053FD1" w:rsidRDefault="00860F8E" w:rsidP="00EF6063">
            <w:pPr>
              <w:spacing w:before="40" w:after="80"/>
              <w:jc w:val="right"/>
              <w:rPr>
                <w:rFonts w:ascii="Arial Narrow" w:hAnsi="Arial Narrow"/>
                <w:b/>
                <w:bCs/>
                <w:sz w:val="20"/>
              </w:rPr>
            </w:pPr>
            <w:r w:rsidRPr="00053FD1">
              <w:rPr>
                <w:rFonts w:ascii="Arial Narrow" w:hAnsi="Arial Narrow"/>
                <w:b/>
                <w:bCs/>
                <w:sz w:val="20"/>
              </w:rPr>
              <w:t>545</w:t>
            </w:r>
          </w:p>
        </w:tc>
        <w:tc>
          <w:tcPr>
            <w:tcW w:w="1222" w:type="dxa"/>
            <w:tcMar>
              <w:top w:w="0" w:type="dxa"/>
              <w:left w:w="108" w:type="dxa"/>
              <w:bottom w:w="0" w:type="dxa"/>
              <w:right w:w="108" w:type="dxa"/>
            </w:tcMar>
          </w:tcPr>
          <w:p w14:paraId="2862BB35" w14:textId="77777777" w:rsidR="00860F8E" w:rsidRPr="00053FD1" w:rsidRDefault="00860F8E" w:rsidP="00EF6063">
            <w:pPr>
              <w:spacing w:before="40" w:after="80"/>
              <w:jc w:val="right"/>
              <w:rPr>
                <w:rFonts w:ascii="Arial Narrow" w:hAnsi="Arial Narrow"/>
                <w:b/>
                <w:bCs/>
                <w:sz w:val="20"/>
              </w:rPr>
            </w:pPr>
            <w:r w:rsidRPr="00053FD1">
              <w:rPr>
                <w:rFonts w:ascii="Arial Narrow" w:hAnsi="Arial Narrow"/>
                <w:b/>
                <w:bCs/>
                <w:sz w:val="20"/>
              </w:rPr>
              <w:t>454</w:t>
            </w:r>
          </w:p>
        </w:tc>
        <w:tc>
          <w:tcPr>
            <w:tcW w:w="1222" w:type="dxa"/>
          </w:tcPr>
          <w:p w14:paraId="6EB49FCA" w14:textId="77777777" w:rsidR="00860F8E" w:rsidRPr="00053FD1" w:rsidRDefault="00860F8E" w:rsidP="00EF6063">
            <w:pPr>
              <w:spacing w:before="40" w:after="80"/>
              <w:jc w:val="right"/>
              <w:rPr>
                <w:rFonts w:ascii="Arial Narrow" w:hAnsi="Arial Narrow"/>
                <w:b/>
                <w:bCs/>
                <w:sz w:val="20"/>
              </w:rPr>
            </w:pPr>
            <w:r w:rsidRPr="00053FD1">
              <w:rPr>
                <w:rFonts w:ascii="Arial Narrow" w:hAnsi="Arial Narrow"/>
                <w:b/>
                <w:bCs/>
                <w:sz w:val="20"/>
              </w:rPr>
              <w:t>545</w:t>
            </w:r>
          </w:p>
        </w:tc>
      </w:tr>
      <w:tr w:rsidR="00860F8E" w:rsidRPr="00053FD1" w14:paraId="38C5BAA3" w14:textId="77777777" w:rsidTr="008E2A9C">
        <w:tc>
          <w:tcPr>
            <w:tcW w:w="0" w:type="auto"/>
            <w:tcMar>
              <w:top w:w="0" w:type="dxa"/>
              <w:left w:w="108" w:type="dxa"/>
              <w:bottom w:w="0" w:type="dxa"/>
              <w:right w:w="108" w:type="dxa"/>
            </w:tcMar>
            <w:hideMark/>
          </w:tcPr>
          <w:p w14:paraId="4C7B322B" w14:textId="77777777" w:rsidR="00860F8E" w:rsidRPr="00053FD1" w:rsidRDefault="00860F8E" w:rsidP="00EF6063">
            <w:pPr>
              <w:spacing w:before="40" w:after="80"/>
              <w:rPr>
                <w:rFonts w:ascii="Arial Narrow" w:hAnsi="Arial Narrow"/>
                <w:sz w:val="20"/>
              </w:rPr>
            </w:pPr>
            <w:bookmarkStart w:id="163" w:name="_Hlk516561794"/>
            <w:r w:rsidRPr="00053FD1">
              <w:rPr>
                <w:rFonts w:ascii="Arial Narrow" w:hAnsi="Arial Narrow"/>
                <w:sz w:val="20"/>
              </w:rPr>
              <w:t>Current certificates at 30 June</w:t>
            </w:r>
          </w:p>
        </w:tc>
        <w:tc>
          <w:tcPr>
            <w:tcW w:w="1222" w:type="dxa"/>
            <w:tcMar>
              <w:top w:w="0" w:type="dxa"/>
              <w:left w:w="108" w:type="dxa"/>
              <w:bottom w:w="0" w:type="dxa"/>
              <w:right w:w="108" w:type="dxa"/>
            </w:tcMar>
            <w:hideMark/>
          </w:tcPr>
          <w:p w14:paraId="2D4086C5"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845</w:t>
            </w:r>
          </w:p>
        </w:tc>
        <w:tc>
          <w:tcPr>
            <w:tcW w:w="1221" w:type="dxa"/>
            <w:tcMar>
              <w:top w:w="0" w:type="dxa"/>
              <w:left w:w="108" w:type="dxa"/>
              <w:bottom w:w="0" w:type="dxa"/>
              <w:right w:w="108" w:type="dxa"/>
            </w:tcMar>
          </w:tcPr>
          <w:p w14:paraId="1F7F03AB"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824</w:t>
            </w:r>
          </w:p>
        </w:tc>
        <w:tc>
          <w:tcPr>
            <w:tcW w:w="1221" w:type="dxa"/>
            <w:shd w:val="clear" w:color="auto" w:fill="FFFFFF"/>
            <w:tcMar>
              <w:top w:w="0" w:type="dxa"/>
              <w:left w:w="108" w:type="dxa"/>
              <w:bottom w:w="0" w:type="dxa"/>
              <w:right w:w="108" w:type="dxa"/>
            </w:tcMar>
          </w:tcPr>
          <w:p w14:paraId="66BC7143"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908</w:t>
            </w:r>
            <w:r w:rsidRPr="00053FD1">
              <w:rPr>
                <w:rFonts w:ascii="Arial Narrow" w:hAnsi="Arial Narrow"/>
                <w:sz w:val="20"/>
                <w:vertAlign w:val="superscript"/>
              </w:rPr>
              <w:t>a</w:t>
            </w:r>
          </w:p>
        </w:tc>
        <w:tc>
          <w:tcPr>
            <w:tcW w:w="1222" w:type="dxa"/>
            <w:shd w:val="clear" w:color="auto" w:fill="FFFFFF"/>
            <w:tcMar>
              <w:top w:w="0" w:type="dxa"/>
              <w:left w:w="108" w:type="dxa"/>
              <w:bottom w:w="0" w:type="dxa"/>
              <w:right w:w="108" w:type="dxa"/>
            </w:tcMar>
          </w:tcPr>
          <w:p w14:paraId="665215BE"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864</w:t>
            </w:r>
            <w:r w:rsidRPr="00053FD1">
              <w:rPr>
                <w:rFonts w:ascii="Arial Narrow" w:hAnsi="Arial Narrow"/>
                <w:sz w:val="20"/>
                <w:vertAlign w:val="superscript"/>
              </w:rPr>
              <w:t>a, b</w:t>
            </w:r>
          </w:p>
        </w:tc>
        <w:tc>
          <w:tcPr>
            <w:tcW w:w="1222" w:type="dxa"/>
            <w:shd w:val="clear" w:color="auto" w:fill="FFFFFF"/>
          </w:tcPr>
          <w:p w14:paraId="76190445" w14:textId="77777777" w:rsidR="00860F8E" w:rsidRPr="00053FD1" w:rsidRDefault="00860F8E" w:rsidP="00EF6063">
            <w:pPr>
              <w:spacing w:before="40" w:after="80"/>
              <w:jc w:val="right"/>
              <w:rPr>
                <w:rFonts w:ascii="Arial Narrow" w:hAnsi="Arial Narrow"/>
                <w:sz w:val="20"/>
              </w:rPr>
            </w:pPr>
            <w:r w:rsidRPr="00053FD1">
              <w:rPr>
                <w:rFonts w:ascii="Arial Narrow" w:hAnsi="Arial Narrow"/>
                <w:sz w:val="20"/>
              </w:rPr>
              <w:t>793</w:t>
            </w:r>
          </w:p>
        </w:tc>
      </w:tr>
    </w:tbl>
    <w:bookmarkEnd w:id="163"/>
    <w:p w14:paraId="1495C487" w14:textId="77777777" w:rsidR="00860F8E" w:rsidRPr="00053FD1" w:rsidRDefault="00860F8E" w:rsidP="00860F8E">
      <w:pPr>
        <w:keepLines/>
        <w:tabs>
          <w:tab w:val="left" w:pos="284"/>
          <w:tab w:val="left" w:pos="567"/>
        </w:tabs>
        <w:spacing w:before="60" w:after="0"/>
        <w:rPr>
          <w:rFonts w:ascii="Arial Narrow" w:hAnsi="Arial Narrow"/>
          <w:sz w:val="16"/>
        </w:rPr>
      </w:pPr>
      <w:r w:rsidRPr="00053FD1">
        <w:rPr>
          <w:rFonts w:ascii="Arial Narrow" w:hAnsi="Arial Narrow"/>
          <w:b/>
          <w:sz w:val="16"/>
        </w:rPr>
        <w:t>Note</w:t>
      </w:r>
      <w:r w:rsidRPr="00860F8E">
        <w:rPr>
          <w:rFonts w:ascii="Arial Narrow" w:hAnsi="Arial Narrow"/>
          <w:sz w:val="16"/>
        </w:rPr>
        <w:t>:</w:t>
      </w:r>
      <w:r w:rsidRPr="00053FD1">
        <w:rPr>
          <w:rFonts w:ascii="Arial Narrow" w:hAnsi="Arial Narrow"/>
          <w:b/>
          <w:sz w:val="16"/>
        </w:rPr>
        <w:t xml:space="preserve"> </w:t>
      </w:r>
      <w:r w:rsidRPr="00053FD1">
        <w:rPr>
          <w:rFonts w:ascii="Arial Narrow" w:hAnsi="Arial Narrow"/>
          <w:sz w:val="16"/>
        </w:rPr>
        <w:t xml:space="preserve">Includes operators involved in one or more of aerial work, charter, charter (cargo), flying training, foreign aircraft (passengers and cargo), foreign aircraft (cargo), scheduled cargo services, and scheduled passenger services. </w:t>
      </w:r>
    </w:p>
    <w:p w14:paraId="50A12331" w14:textId="77777777" w:rsidR="00860F8E" w:rsidRPr="00053FD1" w:rsidRDefault="00860F8E" w:rsidP="00860F8E">
      <w:pPr>
        <w:keepLines/>
        <w:tabs>
          <w:tab w:val="left" w:pos="284"/>
          <w:tab w:val="left" w:pos="567"/>
        </w:tabs>
        <w:spacing w:before="60" w:after="0"/>
        <w:rPr>
          <w:rFonts w:ascii="Arial Narrow" w:hAnsi="Arial Narrow"/>
          <w:sz w:val="16"/>
        </w:rPr>
      </w:pPr>
      <w:r w:rsidRPr="00053FD1">
        <w:rPr>
          <w:rFonts w:ascii="Arial Narrow" w:hAnsi="Arial Narrow"/>
          <w:sz w:val="16"/>
        </w:rPr>
        <w:t>a</w:t>
      </w:r>
      <w:r w:rsidRPr="00053FD1">
        <w:rPr>
          <w:rFonts w:ascii="Arial Narrow" w:hAnsi="Arial Narrow"/>
          <w:sz w:val="16"/>
        </w:rPr>
        <w:tab/>
        <w:t>From 2015–16, current certificates at 30 June include foreign certificates, in addition to Australian and discrete certificates. The data for applications are for Australian and discrete certificates only.</w:t>
      </w:r>
    </w:p>
    <w:p w14:paraId="50CFF8D3" w14:textId="77777777" w:rsidR="00860F8E" w:rsidRPr="00053FD1" w:rsidRDefault="00860F8E" w:rsidP="00860F8E">
      <w:pPr>
        <w:keepLines/>
        <w:tabs>
          <w:tab w:val="left" w:pos="284"/>
          <w:tab w:val="left" w:pos="567"/>
        </w:tabs>
        <w:spacing w:before="60" w:after="0"/>
        <w:rPr>
          <w:rFonts w:ascii="Arial Narrow" w:hAnsi="Arial Narrow"/>
          <w:sz w:val="16"/>
        </w:rPr>
      </w:pPr>
      <w:r w:rsidRPr="00053FD1">
        <w:rPr>
          <w:rFonts w:ascii="Arial Narrow" w:hAnsi="Arial Narrow"/>
          <w:sz w:val="16"/>
        </w:rPr>
        <w:t>b</w:t>
      </w:r>
      <w:r w:rsidRPr="00053FD1">
        <w:rPr>
          <w:rFonts w:ascii="Arial Narrow" w:hAnsi="Arial Narrow"/>
          <w:sz w:val="16"/>
        </w:rPr>
        <w:tab/>
        <w:t>From 2016–17, cancelled and suspended certificates are not included in current certificates.</w:t>
      </w:r>
    </w:p>
    <w:p w14:paraId="55899151" w14:textId="77777777" w:rsidR="00860F8E" w:rsidRPr="00053FD1" w:rsidRDefault="00860F8E" w:rsidP="00860F8E">
      <w:pPr>
        <w:keepLines/>
        <w:tabs>
          <w:tab w:val="left" w:pos="284"/>
          <w:tab w:val="left" w:pos="567"/>
        </w:tabs>
        <w:spacing w:before="60" w:after="0"/>
        <w:rPr>
          <w:rFonts w:ascii="Arial Narrow" w:hAnsi="Arial Narrow"/>
          <w:sz w:val="16"/>
        </w:rPr>
      </w:pPr>
    </w:p>
    <w:p w14:paraId="1998A206" w14:textId="77777777" w:rsidR="00860F8E" w:rsidRPr="00053FD1" w:rsidRDefault="00860F8E" w:rsidP="00860F8E">
      <w:pPr>
        <w:keepNext/>
        <w:spacing w:before="180" w:after="240"/>
        <w:rPr>
          <w:rFonts w:ascii="Arial Narrow" w:hAnsi="Arial Narrow"/>
          <w:b/>
          <w:color w:val="0099CC"/>
          <w:sz w:val="22"/>
          <w:szCs w:val="22"/>
          <w:u w:color="0099CC"/>
        </w:rPr>
      </w:pPr>
      <w:r w:rsidRPr="00E35B2E">
        <w:rPr>
          <w:rFonts w:ascii="Arial Narrow" w:hAnsi="Arial Narrow"/>
          <w:b/>
          <w:color w:val="4472C4" w:themeColor="accent1"/>
          <w:sz w:val="22"/>
          <w:szCs w:val="22"/>
          <w:u w:color="0099CC"/>
        </w:rPr>
        <w:lastRenderedPageBreak/>
        <w:t>Table A.2</w:t>
      </w:r>
      <w:r w:rsidRPr="00E35B2E">
        <w:rPr>
          <w:rFonts w:ascii="Arial Narrow" w:hAnsi="Arial Narrow"/>
          <w:b/>
          <w:color w:val="4472C4" w:themeColor="accent1"/>
          <w:sz w:val="22"/>
          <w:szCs w:val="22"/>
          <w:u w:color="0099CC"/>
        </w:rPr>
        <w:tab/>
        <w:t>Remotely piloted aircraft operator certificates, 2002–13 to 2016–17</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3523"/>
        <w:gridCol w:w="1087"/>
        <w:gridCol w:w="1079"/>
        <w:gridCol w:w="1079"/>
        <w:gridCol w:w="1079"/>
        <w:gridCol w:w="1079"/>
      </w:tblGrid>
      <w:tr w:rsidR="00860F8E" w:rsidRPr="00053FD1" w14:paraId="5544D371" w14:textId="77777777" w:rsidTr="005D646B">
        <w:trPr>
          <w:tblHeader/>
        </w:trPr>
        <w:tc>
          <w:tcPr>
            <w:tcW w:w="3640" w:type="dxa"/>
            <w:hideMark/>
          </w:tcPr>
          <w:p w14:paraId="0F8C929B" w14:textId="77777777" w:rsidR="00860F8E" w:rsidRPr="00053FD1" w:rsidRDefault="00860F8E" w:rsidP="00EF6063">
            <w:pPr>
              <w:keepNext/>
              <w:tabs>
                <w:tab w:val="left" w:pos="2258"/>
              </w:tabs>
              <w:spacing w:before="80" w:after="80"/>
              <w:rPr>
                <w:rFonts w:ascii="Arial Narrow" w:hAnsi="Arial Narrow"/>
                <w:b/>
                <w:sz w:val="20"/>
              </w:rPr>
            </w:pPr>
            <w:r w:rsidRPr="00053FD1">
              <w:rPr>
                <w:rFonts w:ascii="Arial Narrow" w:hAnsi="Arial Narrow"/>
                <w:b/>
                <w:sz w:val="20"/>
              </w:rPr>
              <w:t>Type of application</w:t>
            </w:r>
          </w:p>
        </w:tc>
        <w:tc>
          <w:tcPr>
            <w:tcW w:w="1117" w:type="dxa"/>
            <w:hideMark/>
          </w:tcPr>
          <w:p w14:paraId="1EE0F04B" w14:textId="77777777" w:rsidR="00860F8E" w:rsidRPr="00053FD1" w:rsidRDefault="00860F8E" w:rsidP="00EF6063">
            <w:pPr>
              <w:keepNext/>
              <w:spacing w:before="80" w:after="80"/>
              <w:jc w:val="right"/>
              <w:rPr>
                <w:rFonts w:ascii="Arial Narrow" w:hAnsi="Arial Narrow"/>
                <w:b/>
                <w:sz w:val="20"/>
              </w:rPr>
            </w:pPr>
            <w:r w:rsidRPr="00053FD1">
              <w:rPr>
                <w:rFonts w:ascii="Arial Narrow" w:hAnsi="Arial Narrow"/>
                <w:b/>
                <w:sz w:val="20"/>
              </w:rPr>
              <w:t>2002–13</w:t>
            </w:r>
          </w:p>
        </w:tc>
        <w:tc>
          <w:tcPr>
            <w:tcW w:w="1109" w:type="dxa"/>
            <w:hideMark/>
          </w:tcPr>
          <w:p w14:paraId="366F38A0" w14:textId="77777777" w:rsidR="00860F8E" w:rsidRPr="00053FD1" w:rsidRDefault="00860F8E" w:rsidP="00EF6063">
            <w:pPr>
              <w:keepNext/>
              <w:spacing w:before="80" w:after="80"/>
              <w:jc w:val="right"/>
              <w:rPr>
                <w:rFonts w:ascii="Arial Narrow" w:hAnsi="Arial Narrow"/>
                <w:b/>
                <w:sz w:val="20"/>
              </w:rPr>
            </w:pPr>
            <w:r w:rsidRPr="00053FD1">
              <w:rPr>
                <w:rFonts w:ascii="Arial Narrow" w:hAnsi="Arial Narrow"/>
                <w:b/>
                <w:sz w:val="20"/>
              </w:rPr>
              <w:t>2014–15</w:t>
            </w:r>
          </w:p>
        </w:tc>
        <w:tc>
          <w:tcPr>
            <w:tcW w:w="1109" w:type="dxa"/>
          </w:tcPr>
          <w:p w14:paraId="63DC219F" w14:textId="77777777" w:rsidR="00860F8E" w:rsidRPr="00053FD1" w:rsidRDefault="00860F8E" w:rsidP="00EF6063">
            <w:pPr>
              <w:keepNext/>
              <w:spacing w:before="80" w:after="80"/>
              <w:jc w:val="right"/>
              <w:rPr>
                <w:rFonts w:ascii="Arial Narrow" w:hAnsi="Arial Narrow"/>
                <w:b/>
                <w:sz w:val="20"/>
              </w:rPr>
            </w:pPr>
            <w:r w:rsidRPr="00053FD1">
              <w:rPr>
                <w:rFonts w:ascii="Arial Narrow" w:hAnsi="Arial Narrow"/>
                <w:b/>
                <w:sz w:val="20"/>
              </w:rPr>
              <w:t>2015–16</w:t>
            </w:r>
          </w:p>
        </w:tc>
        <w:tc>
          <w:tcPr>
            <w:tcW w:w="1109" w:type="dxa"/>
          </w:tcPr>
          <w:p w14:paraId="0F02C641" w14:textId="77777777" w:rsidR="00860F8E" w:rsidRPr="00053FD1" w:rsidRDefault="00860F8E" w:rsidP="00EF6063">
            <w:pPr>
              <w:keepNext/>
              <w:spacing w:before="80" w:after="80"/>
              <w:jc w:val="right"/>
              <w:rPr>
                <w:rFonts w:ascii="Arial Narrow" w:hAnsi="Arial Narrow"/>
                <w:b/>
                <w:sz w:val="20"/>
              </w:rPr>
            </w:pPr>
            <w:r w:rsidRPr="00053FD1">
              <w:rPr>
                <w:rFonts w:ascii="Arial Narrow" w:hAnsi="Arial Narrow"/>
                <w:b/>
                <w:sz w:val="20"/>
              </w:rPr>
              <w:t>2016–17</w:t>
            </w:r>
          </w:p>
        </w:tc>
        <w:tc>
          <w:tcPr>
            <w:tcW w:w="1109" w:type="dxa"/>
          </w:tcPr>
          <w:p w14:paraId="787C57E5" w14:textId="77777777" w:rsidR="00860F8E" w:rsidRPr="00053FD1" w:rsidRDefault="00860F8E" w:rsidP="00EF6063">
            <w:pPr>
              <w:keepNext/>
              <w:spacing w:before="80" w:after="80"/>
              <w:jc w:val="right"/>
              <w:rPr>
                <w:rFonts w:ascii="Arial Narrow" w:hAnsi="Arial Narrow"/>
                <w:b/>
                <w:sz w:val="20"/>
              </w:rPr>
            </w:pPr>
            <w:r w:rsidRPr="00053FD1">
              <w:rPr>
                <w:rFonts w:ascii="Arial Narrow" w:hAnsi="Arial Narrow"/>
                <w:b/>
                <w:sz w:val="20"/>
              </w:rPr>
              <w:t>2017–18</w:t>
            </w:r>
          </w:p>
        </w:tc>
      </w:tr>
      <w:tr w:rsidR="00860F8E" w:rsidRPr="0086175C" w14:paraId="4FD04D9B" w14:textId="77777777" w:rsidTr="005D646B">
        <w:tc>
          <w:tcPr>
            <w:tcW w:w="3640" w:type="dxa"/>
            <w:hideMark/>
          </w:tcPr>
          <w:p w14:paraId="4C707B94"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Initial issue</w:t>
            </w:r>
          </w:p>
        </w:tc>
        <w:tc>
          <w:tcPr>
            <w:tcW w:w="1117" w:type="dxa"/>
            <w:hideMark/>
          </w:tcPr>
          <w:p w14:paraId="1241BB54"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51</w:t>
            </w:r>
          </w:p>
        </w:tc>
        <w:tc>
          <w:tcPr>
            <w:tcW w:w="1109" w:type="dxa"/>
          </w:tcPr>
          <w:p w14:paraId="7EBC41D4"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154</w:t>
            </w:r>
          </w:p>
        </w:tc>
        <w:tc>
          <w:tcPr>
            <w:tcW w:w="1109" w:type="dxa"/>
          </w:tcPr>
          <w:p w14:paraId="17366AB0"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419</w:t>
            </w:r>
          </w:p>
        </w:tc>
        <w:tc>
          <w:tcPr>
            <w:tcW w:w="1109" w:type="dxa"/>
          </w:tcPr>
          <w:p w14:paraId="1DA7A167" w14:textId="77777777" w:rsidR="00860F8E" w:rsidRPr="00053FD1" w:rsidRDefault="00860F8E" w:rsidP="00EF6063">
            <w:pPr>
              <w:keepNext/>
              <w:spacing w:before="80" w:after="80"/>
              <w:jc w:val="right"/>
              <w:rPr>
                <w:rFonts w:ascii="Arial Narrow" w:hAnsi="Arial Narrow"/>
                <w:sz w:val="20"/>
              </w:rPr>
            </w:pPr>
            <w:r w:rsidRPr="00053FD1">
              <w:rPr>
                <w:rFonts w:ascii="Arial Narrow" w:hAnsi="Arial Narrow"/>
                <w:sz w:val="20"/>
              </w:rPr>
              <w:t>474</w:t>
            </w:r>
            <w:r w:rsidRPr="00053FD1">
              <w:rPr>
                <w:rFonts w:ascii="Arial Narrow" w:hAnsi="Arial Narrow"/>
                <w:sz w:val="20"/>
                <w:vertAlign w:val="superscript"/>
              </w:rPr>
              <w:t>a</w:t>
            </w:r>
          </w:p>
        </w:tc>
        <w:tc>
          <w:tcPr>
            <w:tcW w:w="1109" w:type="dxa"/>
          </w:tcPr>
          <w:p w14:paraId="42E7C07D" w14:textId="77777777" w:rsidR="00860F8E" w:rsidRPr="005C3BD4" w:rsidRDefault="00860F8E" w:rsidP="00EF6063">
            <w:pPr>
              <w:keepNext/>
              <w:spacing w:before="80" w:after="80"/>
              <w:jc w:val="right"/>
              <w:rPr>
                <w:rFonts w:ascii="Arial Narrow" w:hAnsi="Arial Narrow"/>
                <w:sz w:val="20"/>
              </w:rPr>
            </w:pPr>
            <w:r w:rsidRPr="00053FD1">
              <w:rPr>
                <w:rFonts w:ascii="Arial Narrow" w:hAnsi="Arial Narrow"/>
                <w:sz w:val="20"/>
              </w:rPr>
              <w:t>332</w:t>
            </w:r>
            <w:r w:rsidRPr="00053FD1">
              <w:rPr>
                <w:rFonts w:ascii="Arial Narrow" w:hAnsi="Arial Narrow"/>
                <w:sz w:val="20"/>
                <w:vertAlign w:val="superscript"/>
              </w:rPr>
              <w:t xml:space="preserve"> a</w:t>
            </w:r>
          </w:p>
        </w:tc>
      </w:tr>
      <w:tr w:rsidR="00860F8E" w:rsidRPr="0086175C" w14:paraId="28170580" w14:textId="77777777" w:rsidTr="005D646B">
        <w:tc>
          <w:tcPr>
            <w:tcW w:w="3640" w:type="dxa"/>
            <w:hideMark/>
          </w:tcPr>
          <w:p w14:paraId="053E171E" w14:textId="77777777" w:rsidR="00860F8E" w:rsidRPr="0086175C" w:rsidRDefault="00860F8E" w:rsidP="00EF6063">
            <w:pPr>
              <w:keepNext/>
              <w:spacing w:before="80" w:after="80"/>
              <w:rPr>
                <w:rFonts w:ascii="Arial Narrow" w:hAnsi="Arial Narrow"/>
                <w:sz w:val="20"/>
              </w:rPr>
            </w:pPr>
            <w:r w:rsidRPr="0086175C">
              <w:rPr>
                <w:rFonts w:ascii="Arial Narrow" w:hAnsi="Arial Narrow"/>
                <w:sz w:val="20"/>
              </w:rPr>
              <w:t>Subsequent issue</w:t>
            </w:r>
          </w:p>
        </w:tc>
        <w:tc>
          <w:tcPr>
            <w:tcW w:w="1117" w:type="dxa"/>
            <w:hideMark/>
          </w:tcPr>
          <w:p w14:paraId="3A098B47" w14:textId="77777777" w:rsidR="00860F8E" w:rsidRPr="0086175C" w:rsidRDefault="00860F8E" w:rsidP="00EF6063">
            <w:pPr>
              <w:keepNext/>
              <w:spacing w:before="80" w:after="80"/>
              <w:jc w:val="right"/>
              <w:rPr>
                <w:rFonts w:ascii="Arial Narrow" w:hAnsi="Arial Narrow"/>
                <w:sz w:val="20"/>
              </w:rPr>
            </w:pPr>
            <w:r w:rsidRPr="0086175C">
              <w:rPr>
                <w:rFonts w:ascii="Arial Narrow" w:hAnsi="Arial Narrow"/>
                <w:sz w:val="20"/>
              </w:rPr>
              <w:t>n/a</w:t>
            </w:r>
          </w:p>
        </w:tc>
        <w:tc>
          <w:tcPr>
            <w:tcW w:w="1109" w:type="dxa"/>
          </w:tcPr>
          <w:p w14:paraId="1B30F12C" w14:textId="77777777" w:rsidR="00860F8E" w:rsidRPr="0086175C" w:rsidRDefault="00860F8E" w:rsidP="00EF6063">
            <w:pPr>
              <w:jc w:val="right"/>
            </w:pPr>
            <w:r w:rsidRPr="0086175C">
              <w:rPr>
                <w:rFonts w:ascii="Arial Narrow" w:hAnsi="Arial Narrow"/>
                <w:sz w:val="20"/>
              </w:rPr>
              <w:t>n/a</w:t>
            </w:r>
          </w:p>
        </w:tc>
        <w:tc>
          <w:tcPr>
            <w:tcW w:w="1109" w:type="dxa"/>
          </w:tcPr>
          <w:p w14:paraId="3FA0D850" w14:textId="77777777" w:rsidR="00860F8E" w:rsidRPr="0086175C" w:rsidRDefault="00860F8E" w:rsidP="00EF6063">
            <w:pPr>
              <w:keepNext/>
              <w:spacing w:before="80" w:after="80"/>
              <w:jc w:val="right"/>
              <w:rPr>
                <w:rFonts w:ascii="Arial Narrow" w:hAnsi="Arial Narrow"/>
                <w:sz w:val="20"/>
              </w:rPr>
            </w:pPr>
            <w:r w:rsidRPr="0086175C">
              <w:rPr>
                <w:rFonts w:ascii="Arial Narrow" w:hAnsi="Arial Narrow"/>
                <w:sz w:val="20"/>
              </w:rPr>
              <w:t>136</w:t>
            </w:r>
          </w:p>
        </w:tc>
        <w:tc>
          <w:tcPr>
            <w:tcW w:w="1109" w:type="dxa"/>
          </w:tcPr>
          <w:p w14:paraId="189738CD" w14:textId="77777777" w:rsidR="00860F8E" w:rsidRPr="0086175C" w:rsidRDefault="00860F8E" w:rsidP="00EF6063">
            <w:pPr>
              <w:keepNext/>
              <w:spacing w:before="80" w:after="80"/>
              <w:jc w:val="right"/>
              <w:rPr>
                <w:rFonts w:ascii="Arial Narrow" w:hAnsi="Arial Narrow"/>
                <w:sz w:val="20"/>
              </w:rPr>
            </w:pPr>
            <w:r w:rsidRPr="0086175C">
              <w:rPr>
                <w:rFonts w:ascii="Arial Narrow" w:hAnsi="Arial Narrow"/>
                <w:sz w:val="20"/>
              </w:rPr>
              <w:t>392</w:t>
            </w:r>
          </w:p>
        </w:tc>
        <w:tc>
          <w:tcPr>
            <w:tcW w:w="1109" w:type="dxa"/>
          </w:tcPr>
          <w:p w14:paraId="7C6ACBBD" w14:textId="77777777" w:rsidR="00860F8E" w:rsidRPr="005C3BD4" w:rsidRDefault="00860F8E" w:rsidP="00EF6063">
            <w:pPr>
              <w:keepNext/>
              <w:spacing w:before="80" w:after="80"/>
              <w:jc w:val="right"/>
              <w:rPr>
                <w:rFonts w:ascii="Arial Narrow" w:hAnsi="Arial Narrow"/>
                <w:sz w:val="20"/>
              </w:rPr>
            </w:pPr>
            <w:r w:rsidRPr="005C3BD4">
              <w:rPr>
                <w:rFonts w:ascii="Arial Narrow" w:hAnsi="Arial Narrow"/>
                <w:sz w:val="20"/>
              </w:rPr>
              <w:t>444</w:t>
            </w:r>
          </w:p>
        </w:tc>
      </w:tr>
      <w:tr w:rsidR="00860F8E" w:rsidRPr="0086175C" w14:paraId="2AE6E389" w14:textId="77777777" w:rsidTr="005D646B">
        <w:tc>
          <w:tcPr>
            <w:tcW w:w="3640" w:type="dxa"/>
            <w:hideMark/>
          </w:tcPr>
          <w:p w14:paraId="163AD273" w14:textId="77777777" w:rsidR="00860F8E" w:rsidRPr="0086175C" w:rsidRDefault="00860F8E" w:rsidP="00EF6063">
            <w:pPr>
              <w:keepNext/>
              <w:spacing w:before="80" w:after="80"/>
              <w:rPr>
                <w:rFonts w:ascii="Arial Narrow" w:hAnsi="Arial Narrow"/>
                <w:sz w:val="20"/>
              </w:rPr>
            </w:pPr>
            <w:r w:rsidRPr="0086175C">
              <w:rPr>
                <w:rFonts w:ascii="Arial Narrow" w:hAnsi="Arial Narrow"/>
                <w:sz w:val="20"/>
              </w:rPr>
              <w:t>Variation</w:t>
            </w:r>
          </w:p>
        </w:tc>
        <w:tc>
          <w:tcPr>
            <w:tcW w:w="1117" w:type="dxa"/>
            <w:hideMark/>
          </w:tcPr>
          <w:p w14:paraId="69A83C2C" w14:textId="77777777" w:rsidR="00860F8E" w:rsidRPr="0086175C" w:rsidRDefault="00860F8E" w:rsidP="00EF6063">
            <w:pPr>
              <w:jc w:val="right"/>
            </w:pPr>
            <w:r w:rsidRPr="0086175C">
              <w:rPr>
                <w:rFonts w:ascii="Arial Narrow" w:hAnsi="Arial Narrow"/>
                <w:sz w:val="20"/>
              </w:rPr>
              <w:t>n/a</w:t>
            </w:r>
          </w:p>
        </w:tc>
        <w:tc>
          <w:tcPr>
            <w:tcW w:w="1109" w:type="dxa"/>
          </w:tcPr>
          <w:p w14:paraId="76195F3D" w14:textId="77777777" w:rsidR="00860F8E" w:rsidRPr="0086175C" w:rsidRDefault="00860F8E" w:rsidP="00EF6063">
            <w:pPr>
              <w:jc w:val="right"/>
            </w:pPr>
            <w:r w:rsidRPr="0086175C">
              <w:rPr>
                <w:rFonts w:ascii="Arial Narrow" w:hAnsi="Arial Narrow"/>
                <w:sz w:val="20"/>
              </w:rPr>
              <w:t>n/a</w:t>
            </w:r>
          </w:p>
        </w:tc>
        <w:tc>
          <w:tcPr>
            <w:tcW w:w="1109" w:type="dxa"/>
          </w:tcPr>
          <w:p w14:paraId="46679FA5" w14:textId="77777777" w:rsidR="00860F8E" w:rsidRPr="0086175C" w:rsidRDefault="00860F8E" w:rsidP="00EF6063">
            <w:pPr>
              <w:keepNext/>
              <w:spacing w:before="80" w:after="80"/>
              <w:jc w:val="right"/>
              <w:rPr>
                <w:rFonts w:ascii="Arial Narrow" w:hAnsi="Arial Narrow"/>
                <w:sz w:val="20"/>
              </w:rPr>
            </w:pPr>
            <w:r w:rsidRPr="0086175C">
              <w:rPr>
                <w:rFonts w:ascii="Arial Narrow" w:hAnsi="Arial Narrow"/>
                <w:sz w:val="20"/>
              </w:rPr>
              <w:t>62</w:t>
            </w:r>
          </w:p>
        </w:tc>
        <w:tc>
          <w:tcPr>
            <w:tcW w:w="1109" w:type="dxa"/>
          </w:tcPr>
          <w:p w14:paraId="106459C8" w14:textId="77777777" w:rsidR="00860F8E" w:rsidRPr="0086175C" w:rsidRDefault="00860F8E" w:rsidP="00EF6063">
            <w:pPr>
              <w:keepNext/>
              <w:spacing w:before="80" w:after="80"/>
              <w:jc w:val="right"/>
              <w:rPr>
                <w:rFonts w:ascii="Arial Narrow" w:hAnsi="Arial Narrow"/>
                <w:sz w:val="20"/>
              </w:rPr>
            </w:pPr>
            <w:r w:rsidRPr="0086175C">
              <w:rPr>
                <w:rFonts w:ascii="Arial Narrow" w:hAnsi="Arial Narrow"/>
                <w:sz w:val="20"/>
              </w:rPr>
              <w:t>74</w:t>
            </w:r>
          </w:p>
        </w:tc>
        <w:tc>
          <w:tcPr>
            <w:tcW w:w="1109" w:type="dxa"/>
          </w:tcPr>
          <w:p w14:paraId="74D50327" w14:textId="77777777" w:rsidR="00860F8E" w:rsidRPr="005C3BD4" w:rsidRDefault="00860F8E" w:rsidP="00EF6063">
            <w:pPr>
              <w:keepNext/>
              <w:spacing w:before="80" w:after="80"/>
              <w:jc w:val="right"/>
              <w:rPr>
                <w:rFonts w:ascii="Arial Narrow" w:hAnsi="Arial Narrow"/>
                <w:sz w:val="20"/>
              </w:rPr>
            </w:pPr>
            <w:r w:rsidRPr="005C3BD4">
              <w:rPr>
                <w:rFonts w:ascii="Arial Narrow" w:hAnsi="Arial Narrow"/>
                <w:sz w:val="20"/>
              </w:rPr>
              <w:t>62</w:t>
            </w:r>
          </w:p>
        </w:tc>
      </w:tr>
      <w:tr w:rsidR="00860F8E" w:rsidRPr="0086175C" w14:paraId="30A832F8" w14:textId="77777777" w:rsidTr="005D646B">
        <w:tc>
          <w:tcPr>
            <w:tcW w:w="3640" w:type="dxa"/>
            <w:hideMark/>
          </w:tcPr>
          <w:p w14:paraId="76B3B5B0" w14:textId="77777777" w:rsidR="00860F8E" w:rsidRPr="0086175C" w:rsidRDefault="00860F8E" w:rsidP="00EF6063">
            <w:pPr>
              <w:keepNext/>
              <w:spacing w:before="80" w:after="80"/>
              <w:rPr>
                <w:rFonts w:ascii="Arial Narrow" w:hAnsi="Arial Narrow"/>
                <w:b/>
                <w:sz w:val="20"/>
              </w:rPr>
            </w:pPr>
            <w:r w:rsidRPr="0086175C">
              <w:rPr>
                <w:rFonts w:ascii="Arial Narrow" w:hAnsi="Arial Narrow"/>
                <w:b/>
                <w:sz w:val="20"/>
              </w:rPr>
              <w:t xml:space="preserve">Total </w:t>
            </w:r>
          </w:p>
        </w:tc>
        <w:tc>
          <w:tcPr>
            <w:tcW w:w="1117" w:type="dxa"/>
            <w:hideMark/>
          </w:tcPr>
          <w:p w14:paraId="674E269C" w14:textId="77777777" w:rsidR="00860F8E" w:rsidRPr="0086175C" w:rsidRDefault="00860F8E" w:rsidP="00EF6063">
            <w:pPr>
              <w:keepNext/>
              <w:spacing w:before="80" w:after="80"/>
              <w:jc w:val="right"/>
              <w:rPr>
                <w:rFonts w:ascii="Arial Narrow" w:hAnsi="Arial Narrow"/>
                <w:b/>
                <w:sz w:val="20"/>
              </w:rPr>
            </w:pPr>
            <w:r w:rsidRPr="0086175C">
              <w:rPr>
                <w:rFonts w:ascii="Arial Narrow" w:hAnsi="Arial Narrow"/>
                <w:b/>
                <w:sz w:val="20"/>
              </w:rPr>
              <w:t>n/a</w:t>
            </w:r>
          </w:p>
        </w:tc>
        <w:tc>
          <w:tcPr>
            <w:tcW w:w="1109" w:type="dxa"/>
          </w:tcPr>
          <w:p w14:paraId="3C2C0A4F" w14:textId="77777777" w:rsidR="00860F8E" w:rsidRPr="0086175C" w:rsidRDefault="00860F8E" w:rsidP="00EF6063">
            <w:pPr>
              <w:keepNext/>
              <w:spacing w:before="80" w:after="80"/>
              <w:jc w:val="right"/>
              <w:rPr>
                <w:rFonts w:ascii="Arial Narrow" w:hAnsi="Arial Narrow"/>
                <w:b/>
                <w:sz w:val="20"/>
              </w:rPr>
            </w:pPr>
            <w:r w:rsidRPr="0086175C">
              <w:rPr>
                <w:rFonts w:ascii="Arial Narrow" w:hAnsi="Arial Narrow"/>
                <w:b/>
                <w:sz w:val="20"/>
              </w:rPr>
              <w:t>n/a</w:t>
            </w:r>
          </w:p>
        </w:tc>
        <w:tc>
          <w:tcPr>
            <w:tcW w:w="1109" w:type="dxa"/>
          </w:tcPr>
          <w:p w14:paraId="00945829" w14:textId="77777777" w:rsidR="00860F8E" w:rsidRPr="0086175C" w:rsidRDefault="00860F8E" w:rsidP="00EF6063">
            <w:pPr>
              <w:keepNext/>
              <w:spacing w:before="80" w:after="80"/>
              <w:jc w:val="right"/>
              <w:rPr>
                <w:rFonts w:ascii="Arial Narrow" w:hAnsi="Arial Narrow"/>
                <w:b/>
                <w:sz w:val="20"/>
              </w:rPr>
            </w:pPr>
            <w:r w:rsidRPr="0086175C">
              <w:rPr>
                <w:rFonts w:ascii="Arial Narrow" w:hAnsi="Arial Narrow"/>
                <w:b/>
                <w:sz w:val="20"/>
              </w:rPr>
              <w:t>617</w:t>
            </w:r>
          </w:p>
        </w:tc>
        <w:tc>
          <w:tcPr>
            <w:tcW w:w="1109" w:type="dxa"/>
          </w:tcPr>
          <w:p w14:paraId="5606E01B" w14:textId="77777777" w:rsidR="00860F8E" w:rsidRPr="0086175C" w:rsidRDefault="00860F8E" w:rsidP="00EF6063">
            <w:pPr>
              <w:keepNext/>
              <w:spacing w:before="80" w:after="80"/>
              <w:jc w:val="right"/>
              <w:rPr>
                <w:rFonts w:ascii="Arial Narrow" w:hAnsi="Arial Narrow"/>
                <w:b/>
                <w:sz w:val="20"/>
              </w:rPr>
            </w:pPr>
            <w:r w:rsidRPr="0086175C">
              <w:rPr>
                <w:rFonts w:ascii="Arial Narrow" w:hAnsi="Arial Narrow"/>
                <w:b/>
                <w:sz w:val="20"/>
              </w:rPr>
              <w:t>940</w:t>
            </w:r>
          </w:p>
        </w:tc>
        <w:tc>
          <w:tcPr>
            <w:tcW w:w="1109" w:type="dxa"/>
          </w:tcPr>
          <w:p w14:paraId="60D04306" w14:textId="77777777" w:rsidR="00860F8E" w:rsidRPr="005C3BD4" w:rsidRDefault="00860F8E" w:rsidP="00EF6063">
            <w:pPr>
              <w:keepNext/>
              <w:spacing w:before="80" w:after="80"/>
              <w:jc w:val="right"/>
              <w:rPr>
                <w:rFonts w:ascii="Arial Narrow" w:hAnsi="Arial Narrow"/>
                <w:b/>
                <w:sz w:val="20"/>
              </w:rPr>
            </w:pPr>
            <w:r w:rsidRPr="005C3BD4">
              <w:rPr>
                <w:rFonts w:ascii="Arial Narrow" w:hAnsi="Arial Narrow"/>
                <w:b/>
                <w:sz w:val="20"/>
              </w:rPr>
              <w:t>838</w:t>
            </w:r>
          </w:p>
        </w:tc>
      </w:tr>
      <w:tr w:rsidR="00860F8E" w:rsidRPr="0086175C" w14:paraId="642E7001" w14:textId="77777777" w:rsidTr="005D646B">
        <w:tc>
          <w:tcPr>
            <w:tcW w:w="3640" w:type="dxa"/>
            <w:hideMark/>
          </w:tcPr>
          <w:p w14:paraId="3FB81C40" w14:textId="77777777" w:rsidR="00860F8E" w:rsidRPr="0086175C" w:rsidRDefault="00860F8E" w:rsidP="00EF6063">
            <w:pPr>
              <w:keepNext/>
              <w:spacing w:before="80" w:after="80"/>
              <w:rPr>
                <w:rFonts w:ascii="Arial Narrow" w:hAnsi="Arial Narrow"/>
                <w:b/>
                <w:sz w:val="20"/>
              </w:rPr>
            </w:pPr>
            <w:r w:rsidRPr="0086175C">
              <w:rPr>
                <w:rFonts w:ascii="Arial Narrow" w:hAnsi="Arial Narrow"/>
                <w:sz w:val="20"/>
              </w:rPr>
              <w:t>Current certificates at 30 June</w:t>
            </w:r>
          </w:p>
        </w:tc>
        <w:tc>
          <w:tcPr>
            <w:tcW w:w="1117" w:type="dxa"/>
            <w:hideMark/>
          </w:tcPr>
          <w:p w14:paraId="15209A05" w14:textId="77777777" w:rsidR="00860F8E" w:rsidRPr="0086175C" w:rsidRDefault="00860F8E" w:rsidP="00EF6063">
            <w:pPr>
              <w:keepNext/>
              <w:spacing w:before="80" w:after="80"/>
              <w:jc w:val="right"/>
              <w:rPr>
                <w:rFonts w:ascii="Arial Narrow" w:hAnsi="Arial Narrow"/>
                <w:sz w:val="20"/>
              </w:rPr>
            </w:pPr>
            <w:r w:rsidRPr="0086175C">
              <w:rPr>
                <w:rFonts w:ascii="Arial Narrow" w:hAnsi="Arial Narrow"/>
                <w:sz w:val="20"/>
              </w:rPr>
              <w:t>51</w:t>
            </w:r>
          </w:p>
        </w:tc>
        <w:tc>
          <w:tcPr>
            <w:tcW w:w="1109" w:type="dxa"/>
          </w:tcPr>
          <w:p w14:paraId="1EC17255" w14:textId="77777777" w:rsidR="00860F8E" w:rsidRPr="0086175C" w:rsidRDefault="00860F8E" w:rsidP="00EF6063">
            <w:pPr>
              <w:keepNext/>
              <w:spacing w:before="80" w:after="80"/>
              <w:jc w:val="right"/>
              <w:rPr>
                <w:rFonts w:ascii="Arial Narrow" w:hAnsi="Arial Narrow"/>
                <w:sz w:val="20"/>
              </w:rPr>
            </w:pPr>
            <w:r w:rsidRPr="0086175C">
              <w:rPr>
                <w:rFonts w:ascii="Arial Narrow" w:hAnsi="Arial Narrow"/>
                <w:sz w:val="20"/>
              </w:rPr>
              <w:t>256</w:t>
            </w:r>
          </w:p>
        </w:tc>
        <w:tc>
          <w:tcPr>
            <w:tcW w:w="1109" w:type="dxa"/>
          </w:tcPr>
          <w:p w14:paraId="7E4BE969" w14:textId="77777777" w:rsidR="00860F8E" w:rsidRPr="0086175C" w:rsidRDefault="00860F8E" w:rsidP="00EF6063">
            <w:pPr>
              <w:keepNext/>
              <w:spacing w:before="80" w:after="80"/>
              <w:jc w:val="right"/>
              <w:rPr>
                <w:rFonts w:ascii="Arial Narrow" w:hAnsi="Arial Narrow"/>
                <w:sz w:val="20"/>
              </w:rPr>
            </w:pPr>
            <w:r w:rsidRPr="0086175C">
              <w:rPr>
                <w:rFonts w:ascii="Arial Narrow" w:hAnsi="Arial Narrow"/>
                <w:sz w:val="20"/>
              </w:rPr>
              <w:t>688</w:t>
            </w:r>
          </w:p>
        </w:tc>
        <w:tc>
          <w:tcPr>
            <w:tcW w:w="1109" w:type="dxa"/>
          </w:tcPr>
          <w:p w14:paraId="41466CBC" w14:textId="77777777" w:rsidR="00860F8E" w:rsidRPr="0086175C" w:rsidRDefault="00860F8E" w:rsidP="00EF6063">
            <w:pPr>
              <w:keepNext/>
              <w:spacing w:before="80" w:after="80"/>
              <w:jc w:val="right"/>
              <w:rPr>
                <w:rFonts w:ascii="Arial Narrow" w:hAnsi="Arial Narrow"/>
                <w:sz w:val="20"/>
              </w:rPr>
            </w:pPr>
            <w:r w:rsidRPr="0086175C">
              <w:rPr>
                <w:rFonts w:ascii="Arial Narrow" w:hAnsi="Arial Narrow"/>
                <w:sz w:val="20"/>
              </w:rPr>
              <w:t>1,070</w:t>
            </w:r>
            <w:r w:rsidRPr="003445A0">
              <w:rPr>
                <w:rFonts w:ascii="Arial Narrow" w:hAnsi="Arial Narrow"/>
                <w:sz w:val="20"/>
                <w:vertAlign w:val="superscript"/>
              </w:rPr>
              <w:t xml:space="preserve">a </w:t>
            </w:r>
          </w:p>
        </w:tc>
        <w:tc>
          <w:tcPr>
            <w:tcW w:w="1109" w:type="dxa"/>
          </w:tcPr>
          <w:p w14:paraId="45C6516C" w14:textId="77777777" w:rsidR="00860F8E" w:rsidRPr="005C3BD4" w:rsidRDefault="00860F8E" w:rsidP="00EF6063">
            <w:pPr>
              <w:keepNext/>
              <w:spacing w:before="80" w:after="80"/>
              <w:jc w:val="right"/>
              <w:rPr>
                <w:rFonts w:ascii="Arial Narrow" w:hAnsi="Arial Narrow"/>
                <w:sz w:val="20"/>
              </w:rPr>
            </w:pPr>
            <w:r w:rsidRPr="005C3BD4">
              <w:rPr>
                <w:rFonts w:ascii="Arial Narrow" w:hAnsi="Arial Narrow"/>
                <w:sz w:val="20"/>
              </w:rPr>
              <w:t>1,357</w:t>
            </w:r>
            <w:r w:rsidRPr="005C3BD4">
              <w:rPr>
                <w:rFonts w:ascii="Arial Narrow" w:hAnsi="Arial Narrow"/>
                <w:sz w:val="20"/>
                <w:vertAlign w:val="superscript"/>
              </w:rPr>
              <w:t>a</w:t>
            </w:r>
          </w:p>
        </w:tc>
      </w:tr>
    </w:tbl>
    <w:p w14:paraId="648BB30C" w14:textId="77777777" w:rsidR="00860F8E" w:rsidRPr="008D6BD3" w:rsidRDefault="00860F8E" w:rsidP="00860F8E">
      <w:pPr>
        <w:keepLines/>
        <w:tabs>
          <w:tab w:val="left" w:pos="284"/>
          <w:tab w:val="left" w:pos="567"/>
        </w:tabs>
        <w:spacing w:before="60" w:after="0"/>
        <w:rPr>
          <w:rFonts w:ascii="Arial Narrow" w:hAnsi="Arial Narrow"/>
          <w:b/>
          <w:sz w:val="16"/>
        </w:rPr>
      </w:pPr>
      <w:r w:rsidRPr="008D6BD3">
        <w:rPr>
          <w:rFonts w:ascii="Arial Narrow" w:hAnsi="Arial Narrow"/>
          <w:sz w:val="16"/>
        </w:rPr>
        <w:t>n/a = not available</w:t>
      </w:r>
      <w:r w:rsidRPr="008D6BD3">
        <w:rPr>
          <w:rFonts w:ascii="Arial Narrow" w:hAnsi="Arial Narrow"/>
          <w:b/>
          <w:sz w:val="16"/>
        </w:rPr>
        <w:t xml:space="preserve"> </w:t>
      </w:r>
    </w:p>
    <w:p w14:paraId="5E60C7A6" w14:textId="77777777" w:rsidR="00860F8E" w:rsidRPr="008D6BD3" w:rsidRDefault="00860F8E" w:rsidP="00860F8E">
      <w:pPr>
        <w:keepLines/>
        <w:tabs>
          <w:tab w:val="left" w:pos="284"/>
          <w:tab w:val="left" w:pos="567"/>
        </w:tabs>
        <w:spacing w:before="60" w:after="0"/>
        <w:rPr>
          <w:rFonts w:ascii="Arial Narrow" w:hAnsi="Arial Narrow"/>
          <w:sz w:val="16"/>
        </w:rPr>
      </w:pPr>
      <w:r w:rsidRPr="008D6BD3">
        <w:rPr>
          <w:rFonts w:ascii="Arial Narrow" w:hAnsi="Arial Narrow"/>
          <w:b/>
          <w:sz w:val="16"/>
        </w:rPr>
        <w:t>Note</w:t>
      </w:r>
      <w:r w:rsidRPr="00860F8E">
        <w:rPr>
          <w:rFonts w:ascii="Arial Narrow" w:hAnsi="Arial Narrow"/>
          <w:sz w:val="16"/>
        </w:rPr>
        <w:t>:</w:t>
      </w:r>
      <w:r w:rsidRPr="008D6BD3">
        <w:rPr>
          <w:rFonts w:ascii="Arial Narrow" w:hAnsi="Arial Narrow"/>
          <w:sz w:val="16"/>
        </w:rPr>
        <w:t xml:space="preserve"> Prior to 2016–17, these certificates were known as unmanned aerial vehicle operator certificates. The name was changed in September 2016, when changes to Civil Aviation Safety Regulations Part 101 were implemented, in line with </w:t>
      </w:r>
      <w:r w:rsidRPr="008D6BD3">
        <w:rPr>
          <w:rFonts w:ascii="Arial Narrow" w:hAnsi="Arial Narrow"/>
          <w:color w:val="000000"/>
          <w:sz w:val="16"/>
        </w:rPr>
        <w:t>International Civil Aviation Organization terminology.</w:t>
      </w:r>
    </w:p>
    <w:p w14:paraId="41D8018C" w14:textId="77777777" w:rsidR="00860F8E" w:rsidRPr="008D6BD3" w:rsidRDefault="00860F8E" w:rsidP="00860F8E">
      <w:pPr>
        <w:keepLines/>
        <w:tabs>
          <w:tab w:val="left" w:pos="284"/>
          <w:tab w:val="left" w:pos="567"/>
        </w:tabs>
        <w:spacing w:before="60" w:after="0"/>
        <w:rPr>
          <w:rFonts w:ascii="Arial Narrow" w:hAnsi="Arial Narrow"/>
          <w:sz w:val="16"/>
        </w:rPr>
      </w:pPr>
      <w:r w:rsidRPr="008D6BD3">
        <w:rPr>
          <w:rFonts w:ascii="Arial Narrow" w:hAnsi="Arial Narrow"/>
          <w:sz w:val="16"/>
        </w:rPr>
        <w:t xml:space="preserve">During the 11 years before the centralisation of the Remotely Piloted Aircraft Branch in April 2013, 31 unmanned aerial vehicle operator certificates were managed through CASA’s regional offices. Between April and June 2013, an additional 20 certificates were issued, bringing the total for 2002–13 to 51. The recent rapid increase in current certificates issued is due to the increased commercial use of unmanned aerial vehicles. </w:t>
      </w:r>
    </w:p>
    <w:p w14:paraId="16C03453" w14:textId="77777777" w:rsidR="00860F8E" w:rsidRPr="008D6BD3" w:rsidRDefault="00860F8E" w:rsidP="00860F8E">
      <w:pPr>
        <w:keepLines/>
        <w:tabs>
          <w:tab w:val="left" w:pos="284"/>
          <w:tab w:val="left" w:pos="567"/>
        </w:tabs>
        <w:spacing w:before="60" w:after="0"/>
        <w:rPr>
          <w:rFonts w:ascii="Arial Narrow" w:hAnsi="Arial Narrow"/>
          <w:sz w:val="16"/>
        </w:rPr>
      </w:pPr>
      <w:r w:rsidRPr="008D6BD3">
        <w:rPr>
          <w:rFonts w:ascii="Arial Narrow" w:hAnsi="Arial Narrow"/>
          <w:sz w:val="16"/>
        </w:rPr>
        <w:t>a</w:t>
      </w:r>
      <w:r w:rsidRPr="008D6BD3">
        <w:rPr>
          <w:rFonts w:ascii="Arial Narrow" w:hAnsi="Arial Narrow"/>
          <w:sz w:val="16"/>
        </w:rPr>
        <w:tab/>
        <w:t>Includes certificates issued by external delegates</w:t>
      </w:r>
      <w:r>
        <w:rPr>
          <w:rFonts w:ascii="Arial Narrow" w:hAnsi="Arial Narrow"/>
          <w:sz w:val="16"/>
        </w:rPr>
        <w:t>.</w:t>
      </w:r>
    </w:p>
    <w:p w14:paraId="66A40D2C" w14:textId="77777777" w:rsidR="00860F8E" w:rsidRPr="00C473FA" w:rsidRDefault="00860F8E" w:rsidP="00860F8E">
      <w:pPr>
        <w:keepLines/>
        <w:numPr>
          <w:ilvl w:val="0"/>
          <w:numId w:val="24"/>
        </w:numPr>
        <w:tabs>
          <w:tab w:val="left" w:pos="284"/>
          <w:tab w:val="left" w:pos="567"/>
        </w:tabs>
        <w:spacing w:before="60" w:after="0"/>
        <w:rPr>
          <w:rFonts w:ascii="Arial Narrow" w:eastAsia="Times New Roman" w:hAnsi="Arial Narrow"/>
          <w:sz w:val="16"/>
        </w:rPr>
        <w:sectPr w:rsidR="00860F8E" w:rsidRPr="00C473FA" w:rsidSect="002E1C33">
          <w:headerReference w:type="even" r:id="rId39"/>
          <w:headerReference w:type="default" r:id="rId40"/>
          <w:headerReference w:type="first" r:id="rId41"/>
          <w:pgSz w:w="11906" w:h="16838"/>
          <w:pgMar w:top="567" w:right="1440" w:bottom="1440"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2416"/>
        <w:gridCol w:w="1225"/>
        <w:gridCol w:w="1104"/>
        <w:gridCol w:w="932"/>
        <w:gridCol w:w="1176"/>
        <w:gridCol w:w="996"/>
        <w:gridCol w:w="1188"/>
        <w:gridCol w:w="1006"/>
        <w:gridCol w:w="1190"/>
        <w:gridCol w:w="1006"/>
        <w:gridCol w:w="1227"/>
      </w:tblGrid>
      <w:tr w:rsidR="00C91118" w:rsidRPr="00980E7B" w14:paraId="35572DFF" w14:textId="77777777" w:rsidTr="00D94B82">
        <w:trPr>
          <w:trHeight w:val="255"/>
        </w:trPr>
        <w:tc>
          <w:tcPr>
            <w:tcW w:w="14831" w:type="dxa"/>
            <w:gridSpan w:val="12"/>
            <w:tcBorders>
              <w:top w:val="nil"/>
              <w:left w:val="nil"/>
              <w:bottom w:val="nil"/>
              <w:right w:val="nil"/>
            </w:tcBorders>
            <w:noWrap/>
            <w:vAlign w:val="bottom"/>
          </w:tcPr>
          <w:p w14:paraId="6A896E3E" w14:textId="4076B9AB" w:rsidR="00C91118" w:rsidRPr="00C91118" w:rsidRDefault="00C91118" w:rsidP="00C91118">
            <w:pPr>
              <w:pStyle w:val="Heading2"/>
            </w:pPr>
            <w:r>
              <w:lastRenderedPageBreak/>
              <w:t>Flight personnel</w:t>
            </w:r>
          </w:p>
        </w:tc>
      </w:tr>
      <w:tr w:rsidR="00C91118" w:rsidRPr="00980E7B" w14:paraId="68AEBA12" w14:textId="77777777" w:rsidTr="00D94B82">
        <w:trPr>
          <w:trHeight w:val="255"/>
        </w:trPr>
        <w:tc>
          <w:tcPr>
            <w:tcW w:w="14831" w:type="dxa"/>
            <w:gridSpan w:val="12"/>
            <w:tcBorders>
              <w:top w:val="nil"/>
              <w:left w:val="nil"/>
              <w:right w:val="nil"/>
            </w:tcBorders>
            <w:noWrap/>
            <w:vAlign w:val="bottom"/>
          </w:tcPr>
          <w:p w14:paraId="75DADF20" w14:textId="25BD9A48" w:rsidR="00C91118" w:rsidRPr="00980E7B" w:rsidRDefault="00C91118" w:rsidP="00C91118">
            <w:pPr>
              <w:pStyle w:val="TableName"/>
              <w:rPr>
                <w:bCs/>
                <w:sz w:val="20"/>
              </w:rPr>
            </w:pPr>
            <w:r w:rsidRPr="00C473FA">
              <w:t>Table A.3</w:t>
            </w:r>
            <w:r w:rsidRPr="00C473FA">
              <w:tab/>
              <w:t>Flight crew licences, 2012–13 to 2016–17</w:t>
            </w:r>
          </w:p>
        </w:tc>
      </w:tr>
      <w:tr w:rsidR="00C91118" w:rsidRPr="00980E7B" w14:paraId="1C97F954" w14:textId="77777777" w:rsidTr="00D94B82">
        <w:trPr>
          <w:trHeight w:val="255"/>
        </w:trPr>
        <w:tc>
          <w:tcPr>
            <w:tcW w:w="1365" w:type="dxa"/>
            <w:noWrap/>
            <w:vAlign w:val="bottom"/>
            <w:hideMark/>
          </w:tcPr>
          <w:p w14:paraId="471958C0" w14:textId="77777777" w:rsidR="00C91118" w:rsidRPr="00980E7B" w:rsidRDefault="00C91118" w:rsidP="00C91118">
            <w:pPr>
              <w:keepNext/>
              <w:spacing w:before="80" w:after="80"/>
              <w:rPr>
                <w:rFonts w:ascii="Arial Narrow" w:hAnsi="Arial Narrow"/>
                <w:b/>
                <w:sz w:val="20"/>
              </w:rPr>
            </w:pPr>
            <w:r w:rsidRPr="00980E7B">
              <w:rPr>
                <w:rFonts w:ascii="Arial Narrow" w:hAnsi="Arial Narrow"/>
                <w:b/>
                <w:sz w:val="20"/>
              </w:rPr>
              <w:t> </w:t>
            </w:r>
          </w:p>
        </w:tc>
        <w:tc>
          <w:tcPr>
            <w:tcW w:w="2416" w:type="dxa"/>
            <w:noWrap/>
            <w:vAlign w:val="bottom"/>
            <w:hideMark/>
          </w:tcPr>
          <w:p w14:paraId="326E9172" w14:textId="77777777" w:rsidR="00C91118" w:rsidRPr="00980E7B" w:rsidRDefault="00C91118" w:rsidP="00C91118">
            <w:pPr>
              <w:keepNext/>
              <w:spacing w:before="80" w:after="80"/>
              <w:rPr>
                <w:rFonts w:ascii="Arial Narrow" w:hAnsi="Arial Narrow"/>
                <w:b/>
                <w:sz w:val="20"/>
              </w:rPr>
            </w:pPr>
            <w:r w:rsidRPr="00980E7B">
              <w:rPr>
                <w:rFonts w:ascii="Arial Narrow" w:hAnsi="Arial Narrow"/>
                <w:b/>
                <w:sz w:val="20"/>
              </w:rPr>
              <w:t> </w:t>
            </w:r>
          </w:p>
        </w:tc>
        <w:tc>
          <w:tcPr>
            <w:tcW w:w="2329" w:type="dxa"/>
            <w:gridSpan w:val="2"/>
            <w:noWrap/>
            <w:hideMark/>
          </w:tcPr>
          <w:p w14:paraId="56CE9822" w14:textId="77777777" w:rsidR="00C91118" w:rsidRPr="00980E7B" w:rsidRDefault="00C91118" w:rsidP="00C91118">
            <w:pPr>
              <w:keepNext/>
              <w:spacing w:before="80" w:after="80"/>
              <w:ind w:firstLine="578"/>
              <w:rPr>
                <w:rFonts w:ascii="Arial Narrow" w:hAnsi="Arial Narrow"/>
                <w:b/>
                <w:bCs/>
                <w:sz w:val="20"/>
              </w:rPr>
            </w:pPr>
            <w:r w:rsidRPr="00980E7B">
              <w:rPr>
                <w:rFonts w:ascii="Arial Narrow" w:hAnsi="Arial Narrow"/>
                <w:b/>
                <w:bCs/>
                <w:sz w:val="20"/>
              </w:rPr>
              <w:t>2013–14</w:t>
            </w:r>
          </w:p>
        </w:tc>
        <w:tc>
          <w:tcPr>
            <w:tcW w:w="2108" w:type="dxa"/>
            <w:gridSpan w:val="2"/>
            <w:noWrap/>
            <w:hideMark/>
          </w:tcPr>
          <w:p w14:paraId="4EAF2266" w14:textId="77777777" w:rsidR="00C91118" w:rsidRPr="00980E7B" w:rsidRDefault="00C91118" w:rsidP="00C91118">
            <w:pPr>
              <w:keepNext/>
              <w:spacing w:before="80" w:after="80"/>
              <w:ind w:firstLine="486"/>
              <w:rPr>
                <w:rFonts w:ascii="Arial Narrow" w:hAnsi="Arial Narrow"/>
                <w:b/>
                <w:bCs/>
                <w:sz w:val="20"/>
              </w:rPr>
            </w:pPr>
            <w:r w:rsidRPr="00980E7B">
              <w:rPr>
                <w:rFonts w:ascii="Arial Narrow" w:hAnsi="Arial Narrow"/>
                <w:b/>
                <w:bCs/>
                <w:sz w:val="20"/>
              </w:rPr>
              <w:t>2014–15</w:t>
            </w:r>
          </w:p>
        </w:tc>
        <w:tc>
          <w:tcPr>
            <w:tcW w:w="2184" w:type="dxa"/>
            <w:gridSpan w:val="2"/>
            <w:noWrap/>
          </w:tcPr>
          <w:p w14:paraId="2FC778EC" w14:textId="77777777" w:rsidR="00C91118" w:rsidRPr="00980E7B" w:rsidRDefault="00C91118" w:rsidP="00C91118">
            <w:pPr>
              <w:keepNext/>
              <w:spacing w:before="80" w:after="80"/>
              <w:ind w:firstLine="471"/>
              <w:rPr>
                <w:rFonts w:ascii="Arial Narrow" w:hAnsi="Arial Narrow"/>
                <w:b/>
                <w:bCs/>
                <w:sz w:val="20"/>
              </w:rPr>
            </w:pPr>
            <w:r w:rsidRPr="00980E7B">
              <w:rPr>
                <w:rFonts w:ascii="Arial Narrow" w:hAnsi="Arial Narrow"/>
                <w:b/>
                <w:bCs/>
                <w:sz w:val="20"/>
              </w:rPr>
              <w:t>2015–16</w:t>
            </w:r>
          </w:p>
        </w:tc>
        <w:tc>
          <w:tcPr>
            <w:tcW w:w="2196" w:type="dxa"/>
            <w:gridSpan w:val="2"/>
            <w:noWrap/>
            <w:hideMark/>
          </w:tcPr>
          <w:p w14:paraId="1276D5B8" w14:textId="77777777" w:rsidR="00C91118" w:rsidRPr="00980E7B" w:rsidRDefault="00C91118" w:rsidP="00C91118">
            <w:pPr>
              <w:keepNext/>
              <w:spacing w:before="80" w:after="80"/>
              <w:ind w:firstLine="301"/>
              <w:rPr>
                <w:rFonts w:ascii="Arial Narrow" w:hAnsi="Arial Narrow"/>
                <w:b/>
                <w:bCs/>
                <w:sz w:val="20"/>
              </w:rPr>
            </w:pPr>
            <w:r w:rsidRPr="00980E7B">
              <w:rPr>
                <w:rFonts w:ascii="Arial Narrow" w:hAnsi="Arial Narrow"/>
                <w:b/>
                <w:bCs/>
                <w:sz w:val="20"/>
              </w:rPr>
              <w:t>2016–17</w:t>
            </w:r>
          </w:p>
        </w:tc>
        <w:tc>
          <w:tcPr>
            <w:tcW w:w="2233" w:type="dxa"/>
            <w:gridSpan w:val="2"/>
            <w:noWrap/>
            <w:hideMark/>
          </w:tcPr>
          <w:p w14:paraId="73F1C177" w14:textId="77777777" w:rsidR="00C91118" w:rsidRPr="00980E7B" w:rsidRDefault="00C91118" w:rsidP="00C91118">
            <w:pPr>
              <w:keepNext/>
              <w:spacing w:before="80" w:after="80"/>
              <w:ind w:firstLine="286"/>
              <w:rPr>
                <w:rFonts w:ascii="Arial Narrow" w:hAnsi="Arial Narrow"/>
                <w:b/>
                <w:bCs/>
                <w:sz w:val="20"/>
                <w:highlight w:val="yellow"/>
              </w:rPr>
            </w:pPr>
            <w:r w:rsidRPr="00980E7B">
              <w:rPr>
                <w:rFonts w:ascii="Arial Narrow" w:hAnsi="Arial Narrow"/>
                <w:b/>
                <w:bCs/>
                <w:sz w:val="20"/>
              </w:rPr>
              <w:t>2017–18</w:t>
            </w:r>
          </w:p>
        </w:tc>
      </w:tr>
      <w:tr w:rsidR="00C91118" w:rsidRPr="00980E7B" w14:paraId="3FF95090" w14:textId="77777777" w:rsidTr="00D94B82">
        <w:trPr>
          <w:trHeight w:val="255"/>
        </w:trPr>
        <w:tc>
          <w:tcPr>
            <w:tcW w:w="1365" w:type="dxa"/>
            <w:noWrap/>
            <w:vAlign w:val="bottom"/>
            <w:hideMark/>
          </w:tcPr>
          <w:p w14:paraId="0D44D22D"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Aircraft type</w:t>
            </w:r>
          </w:p>
        </w:tc>
        <w:tc>
          <w:tcPr>
            <w:tcW w:w="2416" w:type="dxa"/>
            <w:noWrap/>
            <w:vAlign w:val="bottom"/>
            <w:hideMark/>
          </w:tcPr>
          <w:p w14:paraId="243FC6D7"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Licence type</w:t>
            </w:r>
          </w:p>
        </w:tc>
        <w:tc>
          <w:tcPr>
            <w:tcW w:w="1225" w:type="dxa"/>
            <w:noWrap/>
            <w:vAlign w:val="bottom"/>
            <w:hideMark/>
          </w:tcPr>
          <w:p w14:paraId="3DBBEC50"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Issued</w:t>
            </w:r>
          </w:p>
        </w:tc>
        <w:tc>
          <w:tcPr>
            <w:tcW w:w="1104" w:type="dxa"/>
            <w:noWrap/>
            <w:vAlign w:val="bottom"/>
            <w:hideMark/>
          </w:tcPr>
          <w:p w14:paraId="6D659A78"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Current</w:t>
            </w:r>
          </w:p>
        </w:tc>
        <w:tc>
          <w:tcPr>
            <w:tcW w:w="932" w:type="dxa"/>
            <w:noWrap/>
            <w:vAlign w:val="bottom"/>
            <w:hideMark/>
          </w:tcPr>
          <w:p w14:paraId="6DE3CC87"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Issued</w:t>
            </w:r>
          </w:p>
        </w:tc>
        <w:tc>
          <w:tcPr>
            <w:tcW w:w="1176" w:type="dxa"/>
            <w:noWrap/>
            <w:vAlign w:val="bottom"/>
            <w:hideMark/>
          </w:tcPr>
          <w:p w14:paraId="572A3647"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Current</w:t>
            </w:r>
          </w:p>
        </w:tc>
        <w:tc>
          <w:tcPr>
            <w:tcW w:w="996" w:type="dxa"/>
            <w:noWrap/>
            <w:vAlign w:val="bottom"/>
            <w:hideMark/>
          </w:tcPr>
          <w:p w14:paraId="0971168A"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Issued</w:t>
            </w:r>
          </w:p>
        </w:tc>
        <w:tc>
          <w:tcPr>
            <w:tcW w:w="1188" w:type="dxa"/>
            <w:noWrap/>
            <w:vAlign w:val="bottom"/>
            <w:hideMark/>
          </w:tcPr>
          <w:p w14:paraId="527A7051"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Current</w:t>
            </w:r>
          </w:p>
        </w:tc>
        <w:tc>
          <w:tcPr>
            <w:tcW w:w="1006" w:type="dxa"/>
            <w:noWrap/>
            <w:vAlign w:val="bottom"/>
            <w:hideMark/>
          </w:tcPr>
          <w:p w14:paraId="3E33B881"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Issued</w:t>
            </w:r>
          </w:p>
        </w:tc>
        <w:tc>
          <w:tcPr>
            <w:tcW w:w="1190" w:type="dxa"/>
            <w:noWrap/>
            <w:vAlign w:val="bottom"/>
            <w:hideMark/>
          </w:tcPr>
          <w:p w14:paraId="613A07F9"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Current</w:t>
            </w:r>
          </w:p>
        </w:tc>
        <w:tc>
          <w:tcPr>
            <w:tcW w:w="1006" w:type="dxa"/>
            <w:noWrap/>
            <w:vAlign w:val="bottom"/>
            <w:hideMark/>
          </w:tcPr>
          <w:p w14:paraId="0A50D6DE"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Issued</w:t>
            </w:r>
          </w:p>
        </w:tc>
        <w:tc>
          <w:tcPr>
            <w:tcW w:w="1227" w:type="dxa"/>
            <w:noWrap/>
            <w:vAlign w:val="bottom"/>
            <w:hideMark/>
          </w:tcPr>
          <w:p w14:paraId="5A4FBC58"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Current</w:t>
            </w:r>
          </w:p>
        </w:tc>
      </w:tr>
      <w:tr w:rsidR="00C91118" w:rsidRPr="00980E7B" w14:paraId="79E96AD3" w14:textId="77777777" w:rsidTr="00D94B82">
        <w:trPr>
          <w:trHeight w:val="255"/>
        </w:trPr>
        <w:tc>
          <w:tcPr>
            <w:tcW w:w="1365" w:type="dxa"/>
            <w:shd w:val="clear" w:color="auto" w:fill="F2F2F2"/>
            <w:noWrap/>
            <w:vAlign w:val="bottom"/>
            <w:hideMark/>
          </w:tcPr>
          <w:p w14:paraId="5A9480EC" w14:textId="77777777" w:rsidR="00C91118" w:rsidRPr="00980E7B" w:rsidRDefault="00C91118" w:rsidP="00C91118">
            <w:pPr>
              <w:keepNext/>
              <w:spacing w:before="80" w:after="80"/>
              <w:rPr>
                <w:rFonts w:ascii="Arial Narrow" w:hAnsi="Arial Narrow"/>
                <w:i/>
                <w:sz w:val="20"/>
              </w:rPr>
            </w:pPr>
            <w:r w:rsidRPr="00980E7B">
              <w:rPr>
                <w:rFonts w:ascii="Arial Narrow" w:hAnsi="Arial Narrow" w:cs="Arial"/>
                <w:i/>
                <w:sz w:val="20"/>
              </w:rPr>
              <w:t>Pilots</w:t>
            </w:r>
          </w:p>
        </w:tc>
        <w:tc>
          <w:tcPr>
            <w:tcW w:w="2416" w:type="dxa"/>
            <w:shd w:val="clear" w:color="auto" w:fill="F2F2F2"/>
            <w:noWrap/>
            <w:vAlign w:val="bottom"/>
          </w:tcPr>
          <w:p w14:paraId="0E22CB0F" w14:textId="77777777" w:rsidR="00C91118" w:rsidRPr="00980E7B" w:rsidRDefault="00C91118" w:rsidP="00C91118">
            <w:pPr>
              <w:keepNext/>
              <w:spacing w:before="80" w:after="80"/>
              <w:rPr>
                <w:rFonts w:ascii="Arial Narrow" w:hAnsi="Arial Narrow"/>
                <w:sz w:val="20"/>
              </w:rPr>
            </w:pPr>
          </w:p>
        </w:tc>
        <w:tc>
          <w:tcPr>
            <w:tcW w:w="1225" w:type="dxa"/>
            <w:shd w:val="clear" w:color="auto" w:fill="F2F2F2"/>
            <w:noWrap/>
            <w:vAlign w:val="bottom"/>
          </w:tcPr>
          <w:p w14:paraId="67D4B273" w14:textId="77777777" w:rsidR="00C91118" w:rsidRPr="00980E7B" w:rsidRDefault="00C91118" w:rsidP="00C91118">
            <w:pPr>
              <w:keepNext/>
              <w:spacing w:before="80" w:after="80"/>
              <w:rPr>
                <w:rFonts w:ascii="Arial Narrow" w:hAnsi="Arial Narrow"/>
                <w:sz w:val="20"/>
              </w:rPr>
            </w:pPr>
          </w:p>
        </w:tc>
        <w:tc>
          <w:tcPr>
            <w:tcW w:w="1104" w:type="dxa"/>
            <w:shd w:val="clear" w:color="auto" w:fill="F2F2F2"/>
            <w:noWrap/>
            <w:vAlign w:val="bottom"/>
          </w:tcPr>
          <w:p w14:paraId="65CEC1DD" w14:textId="77777777" w:rsidR="00C91118" w:rsidRPr="00980E7B" w:rsidRDefault="00C91118" w:rsidP="00C91118">
            <w:pPr>
              <w:keepNext/>
              <w:spacing w:before="80" w:after="80"/>
              <w:rPr>
                <w:rFonts w:ascii="Arial Narrow" w:hAnsi="Arial Narrow"/>
                <w:sz w:val="20"/>
              </w:rPr>
            </w:pPr>
          </w:p>
        </w:tc>
        <w:tc>
          <w:tcPr>
            <w:tcW w:w="932" w:type="dxa"/>
            <w:shd w:val="clear" w:color="auto" w:fill="F2F2F2"/>
            <w:noWrap/>
            <w:vAlign w:val="bottom"/>
          </w:tcPr>
          <w:p w14:paraId="47F01E31" w14:textId="77777777" w:rsidR="00C91118" w:rsidRPr="00980E7B" w:rsidRDefault="00C91118" w:rsidP="00C91118">
            <w:pPr>
              <w:keepNext/>
              <w:spacing w:before="80" w:after="80"/>
              <w:rPr>
                <w:rFonts w:ascii="Arial Narrow" w:hAnsi="Arial Narrow"/>
                <w:sz w:val="20"/>
              </w:rPr>
            </w:pPr>
          </w:p>
        </w:tc>
        <w:tc>
          <w:tcPr>
            <w:tcW w:w="1176" w:type="dxa"/>
            <w:shd w:val="clear" w:color="auto" w:fill="F2F2F2"/>
            <w:noWrap/>
            <w:vAlign w:val="bottom"/>
          </w:tcPr>
          <w:p w14:paraId="61C30EA6" w14:textId="77777777" w:rsidR="00C91118" w:rsidRPr="00980E7B" w:rsidRDefault="00C91118" w:rsidP="00C91118">
            <w:pPr>
              <w:keepNext/>
              <w:spacing w:before="80" w:after="80"/>
              <w:rPr>
                <w:rFonts w:ascii="Arial Narrow" w:hAnsi="Arial Narrow"/>
                <w:sz w:val="20"/>
              </w:rPr>
            </w:pPr>
          </w:p>
        </w:tc>
        <w:tc>
          <w:tcPr>
            <w:tcW w:w="996" w:type="dxa"/>
            <w:shd w:val="clear" w:color="auto" w:fill="F2F2F2"/>
            <w:noWrap/>
            <w:vAlign w:val="bottom"/>
          </w:tcPr>
          <w:p w14:paraId="1315CFC6" w14:textId="77777777" w:rsidR="00C91118" w:rsidRPr="00980E7B" w:rsidRDefault="00C91118" w:rsidP="00C91118">
            <w:pPr>
              <w:keepNext/>
              <w:spacing w:before="80" w:after="80"/>
              <w:rPr>
                <w:rFonts w:ascii="Arial Narrow" w:hAnsi="Arial Narrow"/>
                <w:sz w:val="20"/>
              </w:rPr>
            </w:pPr>
          </w:p>
        </w:tc>
        <w:tc>
          <w:tcPr>
            <w:tcW w:w="1188" w:type="dxa"/>
            <w:shd w:val="clear" w:color="auto" w:fill="F2F2F2"/>
            <w:noWrap/>
            <w:vAlign w:val="bottom"/>
          </w:tcPr>
          <w:p w14:paraId="46D08DC3" w14:textId="77777777" w:rsidR="00C91118" w:rsidRPr="00980E7B" w:rsidRDefault="00C91118" w:rsidP="00C91118">
            <w:pPr>
              <w:keepNext/>
              <w:spacing w:before="80" w:after="80"/>
              <w:rPr>
                <w:rFonts w:ascii="Arial Narrow" w:hAnsi="Arial Narrow"/>
                <w:sz w:val="20"/>
              </w:rPr>
            </w:pPr>
          </w:p>
        </w:tc>
        <w:tc>
          <w:tcPr>
            <w:tcW w:w="1006" w:type="dxa"/>
            <w:shd w:val="clear" w:color="auto" w:fill="F2F2F2"/>
            <w:noWrap/>
            <w:vAlign w:val="bottom"/>
          </w:tcPr>
          <w:p w14:paraId="49DB3979" w14:textId="77777777" w:rsidR="00C91118" w:rsidRPr="00980E7B" w:rsidRDefault="00C91118" w:rsidP="00C91118">
            <w:pPr>
              <w:keepNext/>
              <w:spacing w:before="80" w:after="80"/>
              <w:rPr>
                <w:rFonts w:ascii="Arial Narrow" w:hAnsi="Arial Narrow"/>
                <w:sz w:val="20"/>
              </w:rPr>
            </w:pPr>
          </w:p>
        </w:tc>
        <w:tc>
          <w:tcPr>
            <w:tcW w:w="1190" w:type="dxa"/>
            <w:shd w:val="clear" w:color="auto" w:fill="F2F2F2"/>
            <w:noWrap/>
            <w:vAlign w:val="bottom"/>
          </w:tcPr>
          <w:p w14:paraId="7A38A34E" w14:textId="77777777" w:rsidR="00C91118" w:rsidRPr="00980E7B" w:rsidRDefault="00C91118" w:rsidP="00C91118">
            <w:pPr>
              <w:keepNext/>
              <w:spacing w:before="80" w:after="80"/>
              <w:rPr>
                <w:rFonts w:ascii="Arial Narrow" w:hAnsi="Arial Narrow"/>
                <w:sz w:val="20"/>
              </w:rPr>
            </w:pPr>
          </w:p>
        </w:tc>
        <w:tc>
          <w:tcPr>
            <w:tcW w:w="1006" w:type="dxa"/>
            <w:shd w:val="clear" w:color="auto" w:fill="F2F2F2"/>
            <w:noWrap/>
            <w:vAlign w:val="bottom"/>
          </w:tcPr>
          <w:p w14:paraId="69DDEB0F" w14:textId="77777777" w:rsidR="00C91118" w:rsidRPr="00980E7B" w:rsidRDefault="00C91118" w:rsidP="00C91118">
            <w:pPr>
              <w:keepNext/>
              <w:spacing w:before="80" w:after="80"/>
              <w:rPr>
                <w:rFonts w:ascii="Arial Narrow" w:hAnsi="Arial Narrow"/>
                <w:sz w:val="20"/>
                <w:highlight w:val="yellow"/>
              </w:rPr>
            </w:pPr>
          </w:p>
        </w:tc>
        <w:tc>
          <w:tcPr>
            <w:tcW w:w="1227" w:type="dxa"/>
            <w:shd w:val="clear" w:color="auto" w:fill="F2F2F2"/>
            <w:noWrap/>
            <w:vAlign w:val="bottom"/>
          </w:tcPr>
          <w:p w14:paraId="018F84E1" w14:textId="77777777" w:rsidR="00C91118" w:rsidRPr="00980E7B" w:rsidRDefault="00C91118" w:rsidP="00C91118">
            <w:pPr>
              <w:keepNext/>
              <w:spacing w:before="80" w:after="80"/>
              <w:rPr>
                <w:rFonts w:ascii="Arial Narrow" w:hAnsi="Arial Narrow"/>
                <w:sz w:val="20"/>
                <w:highlight w:val="yellow"/>
              </w:rPr>
            </w:pPr>
          </w:p>
        </w:tc>
      </w:tr>
      <w:tr w:rsidR="00C91118" w:rsidRPr="00980E7B" w14:paraId="2AB99CE9" w14:textId="77777777" w:rsidTr="00D94B82">
        <w:trPr>
          <w:trHeight w:val="255"/>
        </w:trPr>
        <w:tc>
          <w:tcPr>
            <w:tcW w:w="1365" w:type="dxa"/>
            <w:noWrap/>
            <w:vAlign w:val="bottom"/>
            <w:hideMark/>
          </w:tcPr>
          <w:p w14:paraId="0AB41E9D"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Aeroplane</w:t>
            </w:r>
          </w:p>
        </w:tc>
        <w:tc>
          <w:tcPr>
            <w:tcW w:w="2416" w:type="dxa"/>
            <w:noWrap/>
            <w:vAlign w:val="bottom"/>
            <w:hideMark/>
          </w:tcPr>
          <w:p w14:paraId="3B0712BA"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Air transport</w:t>
            </w:r>
          </w:p>
        </w:tc>
        <w:tc>
          <w:tcPr>
            <w:tcW w:w="1225" w:type="dxa"/>
            <w:noWrap/>
          </w:tcPr>
          <w:p w14:paraId="19662B0F"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527</w:t>
            </w:r>
          </w:p>
        </w:tc>
        <w:tc>
          <w:tcPr>
            <w:tcW w:w="1104" w:type="dxa"/>
            <w:noWrap/>
          </w:tcPr>
          <w:p w14:paraId="7F8EAED8"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7,573</w:t>
            </w:r>
          </w:p>
        </w:tc>
        <w:tc>
          <w:tcPr>
            <w:tcW w:w="932" w:type="dxa"/>
            <w:noWrap/>
          </w:tcPr>
          <w:p w14:paraId="1FD690DA"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245</w:t>
            </w:r>
          </w:p>
        </w:tc>
        <w:tc>
          <w:tcPr>
            <w:tcW w:w="1176" w:type="dxa"/>
            <w:noWrap/>
          </w:tcPr>
          <w:p w14:paraId="057FC2C1"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7,278</w:t>
            </w:r>
          </w:p>
        </w:tc>
        <w:tc>
          <w:tcPr>
            <w:tcW w:w="996" w:type="dxa"/>
            <w:noWrap/>
            <w:vAlign w:val="bottom"/>
          </w:tcPr>
          <w:p w14:paraId="115F2B8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162</w:t>
            </w:r>
          </w:p>
        </w:tc>
        <w:tc>
          <w:tcPr>
            <w:tcW w:w="1188" w:type="dxa"/>
            <w:noWrap/>
            <w:vAlign w:val="bottom"/>
          </w:tcPr>
          <w:p w14:paraId="0B14889F"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7,203</w:t>
            </w:r>
          </w:p>
        </w:tc>
        <w:tc>
          <w:tcPr>
            <w:tcW w:w="1006" w:type="dxa"/>
            <w:noWrap/>
          </w:tcPr>
          <w:p w14:paraId="2DC9FB4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190</w:t>
            </w:r>
          </w:p>
        </w:tc>
        <w:tc>
          <w:tcPr>
            <w:tcW w:w="1190" w:type="dxa"/>
            <w:noWrap/>
          </w:tcPr>
          <w:p w14:paraId="38BA940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7,240</w:t>
            </w:r>
          </w:p>
        </w:tc>
        <w:tc>
          <w:tcPr>
            <w:tcW w:w="1006" w:type="dxa"/>
            <w:shd w:val="clear" w:color="auto" w:fill="auto"/>
            <w:noWrap/>
            <w:vAlign w:val="center"/>
          </w:tcPr>
          <w:p w14:paraId="68CD052A"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240</w:t>
            </w:r>
          </w:p>
        </w:tc>
        <w:tc>
          <w:tcPr>
            <w:tcW w:w="1227" w:type="dxa"/>
            <w:shd w:val="clear" w:color="auto" w:fill="auto"/>
            <w:noWrap/>
            <w:vAlign w:val="center"/>
          </w:tcPr>
          <w:p w14:paraId="1C4C007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7,304</w:t>
            </w:r>
          </w:p>
        </w:tc>
      </w:tr>
      <w:tr w:rsidR="00C91118" w:rsidRPr="00980E7B" w14:paraId="00692270" w14:textId="77777777" w:rsidTr="00D94B82">
        <w:trPr>
          <w:trHeight w:val="255"/>
        </w:trPr>
        <w:tc>
          <w:tcPr>
            <w:tcW w:w="1365" w:type="dxa"/>
            <w:noWrap/>
            <w:vAlign w:val="bottom"/>
            <w:hideMark/>
          </w:tcPr>
          <w:p w14:paraId="2DC5506A"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Aeroplane</w:t>
            </w:r>
          </w:p>
        </w:tc>
        <w:tc>
          <w:tcPr>
            <w:tcW w:w="2416" w:type="dxa"/>
            <w:noWrap/>
            <w:vAlign w:val="bottom"/>
            <w:hideMark/>
          </w:tcPr>
          <w:p w14:paraId="05AACE13"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Commercial</w:t>
            </w:r>
          </w:p>
        </w:tc>
        <w:tc>
          <w:tcPr>
            <w:tcW w:w="1225" w:type="dxa"/>
            <w:noWrap/>
          </w:tcPr>
          <w:p w14:paraId="04B06109"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1,032</w:t>
            </w:r>
          </w:p>
        </w:tc>
        <w:tc>
          <w:tcPr>
            <w:tcW w:w="1104" w:type="dxa"/>
            <w:noWrap/>
          </w:tcPr>
          <w:p w14:paraId="7D87373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4,307</w:t>
            </w:r>
          </w:p>
        </w:tc>
        <w:tc>
          <w:tcPr>
            <w:tcW w:w="932" w:type="dxa"/>
            <w:noWrap/>
          </w:tcPr>
          <w:p w14:paraId="475EF60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980</w:t>
            </w:r>
          </w:p>
        </w:tc>
        <w:tc>
          <w:tcPr>
            <w:tcW w:w="1176" w:type="dxa"/>
            <w:noWrap/>
          </w:tcPr>
          <w:p w14:paraId="21104BE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4,539</w:t>
            </w:r>
          </w:p>
        </w:tc>
        <w:tc>
          <w:tcPr>
            <w:tcW w:w="996" w:type="dxa"/>
            <w:noWrap/>
            <w:vAlign w:val="bottom"/>
          </w:tcPr>
          <w:p w14:paraId="093D621F"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1,048</w:t>
            </w:r>
          </w:p>
        </w:tc>
        <w:tc>
          <w:tcPr>
            <w:tcW w:w="1188" w:type="dxa"/>
            <w:noWrap/>
            <w:vAlign w:val="bottom"/>
          </w:tcPr>
          <w:p w14:paraId="12E9FA62"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4,780</w:t>
            </w:r>
          </w:p>
        </w:tc>
        <w:tc>
          <w:tcPr>
            <w:tcW w:w="1006" w:type="dxa"/>
            <w:noWrap/>
          </w:tcPr>
          <w:p w14:paraId="35374124"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967</w:t>
            </w:r>
          </w:p>
        </w:tc>
        <w:tc>
          <w:tcPr>
            <w:tcW w:w="1190" w:type="dxa"/>
            <w:noWrap/>
          </w:tcPr>
          <w:p w14:paraId="23CADD1E"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4,943</w:t>
            </w:r>
          </w:p>
        </w:tc>
        <w:tc>
          <w:tcPr>
            <w:tcW w:w="1006" w:type="dxa"/>
            <w:noWrap/>
          </w:tcPr>
          <w:p w14:paraId="389195F9"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883</w:t>
            </w:r>
          </w:p>
        </w:tc>
        <w:tc>
          <w:tcPr>
            <w:tcW w:w="1227" w:type="dxa"/>
            <w:noWrap/>
          </w:tcPr>
          <w:p w14:paraId="443355A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5,091</w:t>
            </w:r>
          </w:p>
        </w:tc>
      </w:tr>
      <w:tr w:rsidR="00C91118" w:rsidRPr="00980E7B" w14:paraId="72B1897F" w14:textId="77777777" w:rsidTr="00D94B82">
        <w:trPr>
          <w:trHeight w:val="255"/>
        </w:trPr>
        <w:tc>
          <w:tcPr>
            <w:tcW w:w="1365" w:type="dxa"/>
            <w:shd w:val="clear" w:color="auto" w:fill="FFFFFF"/>
            <w:noWrap/>
            <w:vAlign w:val="bottom"/>
          </w:tcPr>
          <w:p w14:paraId="5C5ADC75"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Aeroplane</w:t>
            </w:r>
          </w:p>
        </w:tc>
        <w:tc>
          <w:tcPr>
            <w:tcW w:w="2416" w:type="dxa"/>
            <w:noWrap/>
            <w:vAlign w:val="bottom"/>
          </w:tcPr>
          <w:p w14:paraId="24C85012"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Commercial (CASA EX25/18)</w:t>
            </w:r>
            <w:r w:rsidRPr="00980E7B">
              <w:rPr>
                <w:rFonts w:ascii="Arial Narrow" w:hAnsi="Arial Narrow"/>
                <w:sz w:val="20"/>
                <w:vertAlign w:val="superscript"/>
              </w:rPr>
              <w:t>a</w:t>
            </w:r>
            <w:r w:rsidRPr="00980E7B" w:rsidDel="00777087">
              <w:rPr>
                <w:rFonts w:ascii="Arial Narrow" w:hAnsi="Arial Narrow"/>
                <w:sz w:val="20"/>
              </w:rPr>
              <w:t xml:space="preserve"> </w:t>
            </w:r>
          </w:p>
        </w:tc>
        <w:tc>
          <w:tcPr>
            <w:tcW w:w="1225" w:type="dxa"/>
            <w:noWrap/>
          </w:tcPr>
          <w:p w14:paraId="33B4830E"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n/a</w:t>
            </w:r>
          </w:p>
        </w:tc>
        <w:tc>
          <w:tcPr>
            <w:tcW w:w="1104" w:type="dxa"/>
            <w:noWrap/>
          </w:tcPr>
          <w:p w14:paraId="2F1472A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932" w:type="dxa"/>
            <w:noWrap/>
          </w:tcPr>
          <w:p w14:paraId="3E7E22FE"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76" w:type="dxa"/>
            <w:noWrap/>
          </w:tcPr>
          <w:p w14:paraId="08112CF7"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996" w:type="dxa"/>
            <w:noWrap/>
            <w:vAlign w:val="bottom"/>
          </w:tcPr>
          <w:p w14:paraId="15F6A62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88" w:type="dxa"/>
            <w:noWrap/>
            <w:vAlign w:val="bottom"/>
          </w:tcPr>
          <w:p w14:paraId="3251A06E"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00846984"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90" w:type="dxa"/>
            <w:noWrap/>
          </w:tcPr>
          <w:p w14:paraId="72D0A05A"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48A48DC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227" w:type="dxa"/>
            <w:noWrap/>
          </w:tcPr>
          <w:p w14:paraId="6BDF5AF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4,303</w:t>
            </w:r>
          </w:p>
        </w:tc>
      </w:tr>
      <w:tr w:rsidR="00C91118" w:rsidRPr="00980E7B" w14:paraId="5CF01B45" w14:textId="77777777" w:rsidTr="00D94B82">
        <w:trPr>
          <w:trHeight w:val="255"/>
        </w:trPr>
        <w:tc>
          <w:tcPr>
            <w:tcW w:w="1365" w:type="dxa"/>
            <w:noWrap/>
            <w:vAlign w:val="bottom"/>
            <w:hideMark/>
          </w:tcPr>
          <w:p w14:paraId="1FF4D057"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Aeroplane</w:t>
            </w:r>
          </w:p>
        </w:tc>
        <w:tc>
          <w:tcPr>
            <w:tcW w:w="2416" w:type="dxa"/>
            <w:noWrap/>
            <w:vAlign w:val="bottom"/>
            <w:hideMark/>
          </w:tcPr>
          <w:p w14:paraId="0DE94F2F"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Private</w:t>
            </w:r>
          </w:p>
        </w:tc>
        <w:tc>
          <w:tcPr>
            <w:tcW w:w="1225" w:type="dxa"/>
            <w:noWrap/>
          </w:tcPr>
          <w:p w14:paraId="4A8F6CAE"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1,212</w:t>
            </w:r>
          </w:p>
        </w:tc>
        <w:tc>
          <w:tcPr>
            <w:tcW w:w="1104" w:type="dxa"/>
            <w:noWrap/>
          </w:tcPr>
          <w:p w14:paraId="7B49284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13,414</w:t>
            </w:r>
          </w:p>
        </w:tc>
        <w:tc>
          <w:tcPr>
            <w:tcW w:w="932" w:type="dxa"/>
            <w:noWrap/>
          </w:tcPr>
          <w:p w14:paraId="409BEAB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1,101</w:t>
            </w:r>
          </w:p>
        </w:tc>
        <w:tc>
          <w:tcPr>
            <w:tcW w:w="1176" w:type="dxa"/>
            <w:noWrap/>
          </w:tcPr>
          <w:p w14:paraId="38873E2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14,258</w:t>
            </w:r>
          </w:p>
        </w:tc>
        <w:tc>
          <w:tcPr>
            <w:tcW w:w="996" w:type="dxa"/>
            <w:noWrap/>
            <w:vAlign w:val="bottom"/>
          </w:tcPr>
          <w:p w14:paraId="37690ED4"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1,071</w:t>
            </w:r>
          </w:p>
        </w:tc>
        <w:tc>
          <w:tcPr>
            <w:tcW w:w="1188" w:type="dxa"/>
            <w:noWrap/>
            <w:vAlign w:val="bottom"/>
          </w:tcPr>
          <w:p w14:paraId="546AA39F"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13,704</w:t>
            </w:r>
          </w:p>
        </w:tc>
        <w:tc>
          <w:tcPr>
            <w:tcW w:w="1006" w:type="dxa"/>
            <w:noWrap/>
          </w:tcPr>
          <w:p w14:paraId="1A13E4FA"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1,093</w:t>
            </w:r>
          </w:p>
        </w:tc>
        <w:tc>
          <w:tcPr>
            <w:tcW w:w="1190" w:type="dxa"/>
            <w:noWrap/>
          </w:tcPr>
          <w:p w14:paraId="084418F9"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13,728</w:t>
            </w:r>
          </w:p>
        </w:tc>
        <w:tc>
          <w:tcPr>
            <w:tcW w:w="1006" w:type="dxa"/>
            <w:noWrap/>
          </w:tcPr>
          <w:p w14:paraId="377ECD3E"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1,057</w:t>
            </w:r>
          </w:p>
        </w:tc>
        <w:tc>
          <w:tcPr>
            <w:tcW w:w="1227" w:type="dxa"/>
            <w:noWrap/>
          </w:tcPr>
          <w:p w14:paraId="169493A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9,004</w:t>
            </w:r>
          </w:p>
        </w:tc>
      </w:tr>
      <w:tr w:rsidR="00C91118" w:rsidRPr="00980E7B" w14:paraId="6BA69775" w14:textId="77777777" w:rsidTr="00D94B82">
        <w:trPr>
          <w:trHeight w:val="255"/>
        </w:trPr>
        <w:tc>
          <w:tcPr>
            <w:tcW w:w="1365" w:type="dxa"/>
            <w:noWrap/>
            <w:vAlign w:val="bottom"/>
            <w:hideMark/>
          </w:tcPr>
          <w:p w14:paraId="0252FE1C"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Aeroplane</w:t>
            </w:r>
          </w:p>
        </w:tc>
        <w:tc>
          <w:tcPr>
            <w:tcW w:w="2416" w:type="dxa"/>
            <w:noWrap/>
            <w:vAlign w:val="bottom"/>
            <w:hideMark/>
          </w:tcPr>
          <w:p w14:paraId="44EB3C0F"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Recreational</w:t>
            </w:r>
            <w:r w:rsidRPr="00980E7B">
              <w:rPr>
                <w:rFonts w:ascii="Arial Narrow" w:hAnsi="Arial Narrow"/>
                <w:sz w:val="20"/>
                <w:vertAlign w:val="superscript"/>
              </w:rPr>
              <w:t>b</w:t>
            </w:r>
          </w:p>
        </w:tc>
        <w:tc>
          <w:tcPr>
            <w:tcW w:w="1225" w:type="dxa"/>
            <w:noWrap/>
          </w:tcPr>
          <w:p w14:paraId="0F6BD4A9"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w:t>
            </w:r>
          </w:p>
        </w:tc>
        <w:tc>
          <w:tcPr>
            <w:tcW w:w="1104" w:type="dxa"/>
            <w:noWrap/>
          </w:tcPr>
          <w:p w14:paraId="36CA0D45"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932" w:type="dxa"/>
            <w:noWrap/>
          </w:tcPr>
          <w:p w14:paraId="006BDA8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841</w:t>
            </w:r>
          </w:p>
        </w:tc>
        <w:tc>
          <w:tcPr>
            <w:tcW w:w="1176" w:type="dxa"/>
            <w:noWrap/>
          </w:tcPr>
          <w:p w14:paraId="44ABF577"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2,443</w:t>
            </w:r>
          </w:p>
        </w:tc>
        <w:tc>
          <w:tcPr>
            <w:tcW w:w="996" w:type="dxa"/>
            <w:noWrap/>
            <w:vAlign w:val="bottom"/>
          </w:tcPr>
          <w:p w14:paraId="13F4B07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1,220</w:t>
            </w:r>
          </w:p>
        </w:tc>
        <w:tc>
          <w:tcPr>
            <w:tcW w:w="1188" w:type="dxa"/>
            <w:noWrap/>
            <w:vAlign w:val="bottom"/>
          </w:tcPr>
          <w:p w14:paraId="2D21DF08"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2,539</w:t>
            </w:r>
          </w:p>
        </w:tc>
        <w:tc>
          <w:tcPr>
            <w:tcW w:w="1006" w:type="dxa"/>
            <w:noWrap/>
          </w:tcPr>
          <w:p w14:paraId="0775F2A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1,252</w:t>
            </w:r>
          </w:p>
        </w:tc>
        <w:tc>
          <w:tcPr>
            <w:tcW w:w="1190" w:type="dxa"/>
            <w:noWrap/>
          </w:tcPr>
          <w:p w14:paraId="52EB963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2,802</w:t>
            </w:r>
          </w:p>
        </w:tc>
        <w:tc>
          <w:tcPr>
            <w:tcW w:w="1006" w:type="dxa"/>
            <w:noWrap/>
          </w:tcPr>
          <w:p w14:paraId="32EF6F4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1,190</w:t>
            </w:r>
          </w:p>
        </w:tc>
        <w:tc>
          <w:tcPr>
            <w:tcW w:w="1227" w:type="dxa"/>
            <w:noWrap/>
          </w:tcPr>
          <w:p w14:paraId="268C33A9"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3,000</w:t>
            </w:r>
          </w:p>
        </w:tc>
      </w:tr>
      <w:tr w:rsidR="00C91118" w:rsidRPr="00980E7B" w14:paraId="3D321657" w14:textId="77777777" w:rsidTr="00D94B82">
        <w:trPr>
          <w:trHeight w:val="255"/>
        </w:trPr>
        <w:tc>
          <w:tcPr>
            <w:tcW w:w="1365" w:type="dxa"/>
            <w:noWrap/>
            <w:vAlign w:val="bottom"/>
            <w:hideMark/>
          </w:tcPr>
          <w:p w14:paraId="710D6521"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Aeroplane</w:t>
            </w:r>
          </w:p>
        </w:tc>
        <w:tc>
          <w:tcPr>
            <w:tcW w:w="2416" w:type="dxa"/>
            <w:noWrap/>
            <w:vAlign w:val="bottom"/>
            <w:hideMark/>
          </w:tcPr>
          <w:p w14:paraId="29ED861F"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Student (GFPT)</w:t>
            </w:r>
            <w:r w:rsidRPr="00980E7B">
              <w:rPr>
                <w:rFonts w:ascii="Arial Narrow" w:hAnsi="Arial Narrow"/>
                <w:sz w:val="20"/>
                <w:vertAlign w:val="superscript"/>
              </w:rPr>
              <w:t>c</w:t>
            </w:r>
          </w:p>
        </w:tc>
        <w:tc>
          <w:tcPr>
            <w:tcW w:w="1225" w:type="dxa"/>
            <w:noWrap/>
          </w:tcPr>
          <w:p w14:paraId="183F12BB"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1,106</w:t>
            </w:r>
          </w:p>
        </w:tc>
        <w:tc>
          <w:tcPr>
            <w:tcW w:w="1104" w:type="dxa"/>
            <w:noWrap/>
          </w:tcPr>
          <w:p w14:paraId="46BE3DA4"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2,812</w:t>
            </w:r>
          </w:p>
        </w:tc>
        <w:tc>
          <w:tcPr>
            <w:tcW w:w="932" w:type="dxa"/>
            <w:noWrap/>
          </w:tcPr>
          <w:p w14:paraId="0B4F8EC7"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169</w:t>
            </w:r>
          </w:p>
        </w:tc>
        <w:tc>
          <w:tcPr>
            <w:tcW w:w="1176" w:type="dxa"/>
            <w:noWrap/>
          </w:tcPr>
          <w:p w14:paraId="062525B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996" w:type="dxa"/>
            <w:noWrap/>
          </w:tcPr>
          <w:p w14:paraId="5A257509"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88" w:type="dxa"/>
            <w:noWrap/>
          </w:tcPr>
          <w:p w14:paraId="6A07CF01"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489D596A"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90" w:type="dxa"/>
            <w:noWrap/>
          </w:tcPr>
          <w:p w14:paraId="577C219B"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502218F1"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227" w:type="dxa"/>
            <w:noWrap/>
          </w:tcPr>
          <w:p w14:paraId="4723A307"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r>
      <w:tr w:rsidR="00C91118" w:rsidRPr="00980E7B" w14:paraId="354210F1" w14:textId="77777777" w:rsidTr="00D94B82">
        <w:trPr>
          <w:trHeight w:val="255"/>
        </w:trPr>
        <w:tc>
          <w:tcPr>
            <w:tcW w:w="1365" w:type="dxa"/>
            <w:noWrap/>
            <w:vAlign w:val="bottom"/>
            <w:hideMark/>
          </w:tcPr>
          <w:p w14:paraId="458FD66E" w14:textId="77777777" w:rsidR="00C91118" w:rsidRPr="00980E7B" w:rsidRDefault="00C91118" w:rsidP="00C91118">
            <w:pPr>
              <w:keepNext/>
              <w:spacing w:before="80" w:after="80"/>
              <w:rPr>
                <w:rFonts w:ascii="Arial Narrow" w:hAnsi="Arial Narrow"/>
                <w:bCs/>
                <w:sz w:val="20"/>
              </w:rPr>
            </w:pPr>
          </w:p>
        </w:tc>
        <w:tc>
          <w:tcPr>
            <w:tcW w:w="2416" w:type="dxa"/>
            <w:noWrap/>
            <w:vAlign w:val="bottom"/>
            <w:hideMark/>
          </w:tcPr>
          <w:p w14:paraId="3A221719" w14:textId="77777777" w:rsidR="00C91118" w:rsidRPr="00980E7B" w:rsidRDefault="00C91118" w:rsidP="00C91118">
            <w:pPr>
              <w:keepNext/>
              <w:spacing w:before="80" w:after="80"/>
              <w:rPr>
                <w:rFonts w:ascii="Arial Narrow" w:hAnsi="Arial Narrow"/>
                <w:b/>
                <w:bCs/>
                <w:iCs/>
                <w:sz w:val="20"/>
              </w:rPr>
            </w:pPr>
            <w:r w:rsidRPr="00980E7B">
              <w:rPr>
                <w:rFonts w:ascii="Arial Narrow" w:hAnsi="Arial Narrow"/>
                <w:b/>
                <w:bCs/>
                <w:iCs/>
                <w:sz w:val="20"/>
              </w:rPr>
              <w:t>Total aeroplane pilots</w:t>
            </w:r>
          </w:p>
        </w:tc>
        <w:tc>
          <w:tcPr>
            <w:tcW w:w="1225" w:type="dxa"/>
            <w:noWrap/>
          </w:tcPr>
          <w:p w14:paraId="48DCEB74" w14:textId="77777777" w:rsidR="00C91118" w:rsidRPr="00980E7B" w:rsidRDefault="00C91118" w:rsidP="00C91118">
            <w:pPr>
              <w:keepNext/>
              <w:spacing w:before="80" w:after="80"/>
              <w:jc w:val="center"/>
              <w:rPr>
                <w:rFonts w:ascii="Arial Narrow" w:hAnsi="Arial Narrow"/>
                <w:b/>
                <w:bCs/>
                <w:iCs/>
                <w:sz w:val="20"/>
              </w:rPr>
            </w:pPr>
            <w:r w:rsidRPr="00980E7B">
              <w:rPr>
                <w:rFonts w:ascii="Arial Narrow" w:hAnsi="Arial Narrow"/>
                <w:b/>
                <w:bCs/>
                <w:iCs/>
                <w:sz w:val="20"/>
              </w:rPr>
              <w:t>3,877</w:t>
            </w:r>
          </w:p>
        </w:tc>
        <w:tc>
          <w:tcPr>
            <w:tcW w:w="1104" w:type="dxa"/>
            <w:noWrap/>
          </w:tcPr>
          <w:p w14:paraId="5E41A505"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28,106</w:t>
            </w:r>
          </w:p>
        </w:tc>
        <w:tc>
          <w:tcPr>
            <w:tcW w:w="932" w:type="dxa"/>
            <w:noWrap/>
          </w:tcPr>
          <w:p w14:paraId="17648F87"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3,336</w:t>
            </w:r>
          </w:p>
        </w:tc>
        <w:tc>
          <w:tcPr>
            <w:tcW w:w="1176" w:type="dxa"/>
            <w:noWrap/>
          </w:tcPr>
          <w:p w14:paraId="07E2F84D"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28,518</w:t>
            </w:r>
          </w:p>
        </w:tc>
        <w:tc>
          <w:tcPr>
            <w:tcW w:w="996" w:type="dxa"/>
            <w:noWrap/>
            <w:vAlign w:val="bottom"/>
          </w:tcPr>
          <w:p w14:paraId="295C55AD"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3,501</w:t>
            </w:r>
          </w:p>
        </w:tc>
        <w:tc>
          <w:tcPr>
            <w:tcW w:w="1188" w:type="dxa"/>
            <w:noWrap/>
            <w:vAlign w:val="bottom"/>
          </w:tcPr>
          <w:p w14:paraId="564F8E0F"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28,226</w:t>
            </w:r>
          </w:p>
        </w:tc>
        <w:tc>
          <w:tcPr>
            <w:tcW w:w="1006" w:type="dxa"/>
            <w:noWrap/>
          </w:tcPr>
          <w:p w14:paraId="4509C8D7"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3,502</w:t>
            </w:r>
          </w:p>
        </w:tc>
        <w:tc>
          <w:tcPr>
            <w:tcW w:w="1190" w:type="dxa"/>
            <w:noWrap/>
          </w:tcPr>
          <w:p w14:paraId="236AAF75"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28,713</w:t>
            </w:r>
          </w:p>
        </w:tc>
        <w:tc>
          <w:tcPr>
            <w:tcW w:w="1006" w:type="dxa"/>
            <w:noWrap/>
          </w:tcPr>
          <w:p w14:paraId="4ED9DCB1"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3,370</w:t>
            </w:r>
          </w:p>
        </w:tc>
        <w:tc>
          <w:tcPr>
            <w:tcW w:w="1227" w:type="dxa"/>
            <w:noWrap/>
          </w:tcPr>
          <w:p w14:paraId="16F44D31"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28,702</w:t>
            </w:r>
          </w:p>
        </w:tc>
      </w:tr>
      <w:tr w:rsidR="00C91118" w:rsidRPr="00980E7B" w14:paraId="1D109452" w14:textId="77777777" w:rsidTr="00D94B82">
        <w:trPr>
          <w:trHeight w:val="255"/>
        </w:trPr>
        <w:tc>
          <w:tcPr>
            <w:tcW w:w="1365" w:type="dxa"/>
            <w:noWrap/>
            <w:vAlign w:val="bottom"/>
            <w:hideMark/>
          </w:tcPr>
          <w:p w14:paraId="4290B39C"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Helicopter</w:t>
            </w:r>
          </w:p>
        </w:tc>
        <w:tc>
          <w:tcPr>
            <w:tcW w:w="2416" w:type="dxa"/>
            <w:noWrap/>
            <w:vAlign w:val="bottom"/>
            <w:hideMark/>
          </w:tcPr>
          <w:p w14:paraId="44473B24"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Air transport</w:t>
            </w:r>
          </w:p>
        </w:tc>
        <w:tc>
          <w:tcPr>
            <w:tcW w:w="1225" w:type="dxa"/>
            <w:noWrap/>
          </w:tcPr>
          <w:p w14:paraId="7BB4BB40"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124</w:t>
            </w:r>
          </w:p>
        </w:tc>
        <w:tc>
          <w:tcPr>
            <w:tcW w:w="1104" w:type="dxa"/>
            <w:noWrap/>
          </w:tcPr>
          <w:p w14:paraId="5F808B05"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845</w:t>
            </w:r>
          </w:p>
        </w:tc>
        <w:tc>
          <w:tcPr>
            <w:tcW w:w="932" w:type="dxa"/>
            <w:noWrap/>
          </w:tcPr>
          <w:p w14:paraId="616239E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44</w:t>
            </w:r>
          </w:p>
        </w:tc>
        <w:tc>
          <w:tcPr>
            <w:tcW w:w="1176" w:type="dxa"/>
            <w:noWrap/>
          </w:tcPr>
          <w:p w14:paraId="1054FD49"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818</w:t>
            </w:r>
          </w:p>
        </w:tc>
        <w:tc>
          <w:tcPr>
            <w:tcW w:w="996" w:type="dxa"/>
            <w:noWrap/>
            <w:vAlign w:val="bottom"/>
          </w:tcPr>
          <w:p w14:paraId="2785983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23</w:t>
            </w:r>
          </w:p>
        </w:tc>
        <w:tc>
          <w:tcPr>
            <w:tcW w:w="1188" w:type="dxa"/>
            <w:noWrap/>
            <w:vAlign w:val="bottom"/>
          </w:tcPr>
          <w:p w14:paraId="4B2E10E9"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811</w:t>
            </w:r>
          </w:p>
        </w:tc>
        <w:tc>
          <w:tcPr>
            <w:tcW w:w="1006" w:type="dxa"/>
            <w:noWrap/>
          </w:tcPr>
          <w:p w14:paraId="414B8FB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23</w:t>
            </w:r>
          </w:p>
        </w:tc>
        <w:tc>
          <w:tcPr>
            <w:tcW w:w="1190" w:type="dxa"/>
            <w:noWrap/>
          </w:tcPr>
          <w:p w14:paraId="0AD4330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811</w:t>
            </w:r>
          </w:p>
        </w:tc>
        <w:tc>
          <w:tcPr>
            <w:tcW w:w="1006" w:type="dxa"/>
            <w:noWrap/>
          </w:tcPr>
          <w:p w14:paraId="09B5353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20</w:t>
            </w:r>
          </w:p>
        </w:tc>
        <w:tc>
          <w:tcPr>
            <w:tcW w:w="1227" w:type="dxa"/>
            <w:noWrap/>
          </w:tcPr>
          <w:p w14:paraId="07C7F50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782</w:t>
            </w:r>
          </w:p>
        </w:tc>
      </w:tr>
      <w:tr w:rsidR="00C91118" w:rsidRPr="00980E7B" w14:paraId="6DDA3A1B" w14:textId="77777777" w:rsidTr="00D94B82">
        <w:trPr>
          <w:trHeight w:val="255"/>
        </w:trPr>
        <w:tc>
          <w:tcPr>
            <w:tcW w:w="1365" w:type="dxa"/>
            <w:noWrap/>
            <w:vAlign w:val="bottom"/>
            <w:hideMark/>
          </w:tcPr>
          <w:p w14:paraId="2016C1CB"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Heli</w:t>
            </w:r>
          </w:p>
        </w:tc>
        <w:tc>
          <w:tcPr>
            <w:tcW w:w="2416" w:type="dxa"/>
            <w:noWrap/>
            <w:vAlign w:val="bottom"/>
            <w:hideMark/>
          </w:tcPr>
          <w:p w14:paraId="24153E79"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Commercial</w:t>
            </w:r>
          </w:p>
        </w:tc>
        <w:tc>
          <w:tcPr>
            <w:tcW w:w="1225" w:type="dxa"/>
            <w:noWrap/>
          </w:tcPr>
          <w:p w14:paraId="5E0A647F"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234</w:t>
            </w:r>
          </w:p>
        </w:tc>
        <w:tc>
          <w:tcPr>
            <w:tcW w:w="1104" w:type="dxa"/>
            <w:noWrap/>
          </w:tcPr>
          <w:p w14:paraId="4FBE5359"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1,892</w:t>
            </w:r>
          </w:p>
        </w:tc>
        <w:tc>
          <w:tcPr>
            <w:tcW w:w="932" w:type="dxa"/>
            <w:noWrap/>
          </w:tcPr>
          <w:p w14:paraId="539056C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201</w:t>
            </w:r>
          </w:p>
        </w:tc>
        <w:tc>
          <w:tcPr>
            <w:tcW w:w="1176" w:type="dxa"/>
            <w:noWrap/>
          </w:tcPr>
          <w:p w14:paraId="635EA54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1,884</w:t>
            </w:r>
          </w:p>
        </w:tc>
        <w:tc>
          <w:tcPr>
            <w:tcW w:w="996" w:type="dxa"/>
            <w:noWrap/>
            <w:vAlign w:val="bottom"/>
          </w:tcPr>
          <w:p w14:paraId="40F868F8"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185</w:t>
            </w:r>
          </w:p>
        </w:tc>
        <w:tc>
          <w:tcPr>
            <w:tcW w:w="1188" w:type="dxa"/>
            <w:noWrap/>
            <w:vAlign w:val="bottom"/>
          </w:tcPr>
          <w:p w14:paraId="14DFBE7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1,915</w:t>
            </w:r>
          </w:p>
        </w:tc>
        <w:tc>
          <w:tcPr>
            <w:tcW w:w="1006" w:type="dxa"/>
            <w:noWrap/>
          </w:tcPr>
          <w:p w14:paraId="6699F8C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201</w:t>
            </w:r>
          </w:p>
        </w:tc>
        <w:tc>
          <w:tcPr>
            <w:tcW w:w="1190" w:type="dxa"/>
            <w:noWrap/>
          </w:tcPr>
          <w:p w14:paraId="3BE9AA35"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2,033</w:t>
            </w:r>
          </w:p>
        </w:tc>
        <w:tc>
          <w:tcPr>
            <w:tcW w:w="1006" w:type="dxa"/>
            <w:noWrap/>
          </w:tcPr>
          <w:p w14:paraId="0E338AC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202</w:t>
            </w:r>
          </w:p>
        </w:tc>
        <w:tc>
          <w:tcPr>
            <w:tcW w:w="1227" w:type="dxa"/>
            <w:noWrap/>
          </w:tcPr>
          <w:p w14:paraId="6A5F876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2,030</w:t>
            </w:r>
          </w:p>
        </w:tc>
      </w:tr>
      <w:tr w:rsidR="00C91118" w:rsidRPr="00980E7B" w14:paraId="3ADD06C1" w14:textId="77777777" w:rsidTr="00D94B82">
        <w:trPr>
          <w:trHeight w:val="255"/>
        </w:trPr>
        <w:tc>
          <w:tcPr>
            <w:tcW w:w="1365" w:type="dxa"/>
            <w:noWrap/>
            <w:vAlign w:val="bottom"/>
          </w:tcPr>
          <w:p w14:paraId="67F406C8"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Heli</w:t>
            </w:r>
          </w:p>
        </w:tc>
        <w:tc>
          <w:tcPr>
            <w:tcW w:w="2416" w:type="dxa"/>
            <w:noWrap/>
            <w:vAlign w:val="bottom"/>
          </w:tcPr>
          <w:p w14:paraId="17B512EE"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Commercial (CASA EX25/18)</w:t>
            </w:r>
            <w:r w:rsidRPr="00980E7B">
              <w:rPr>
                <w:rFonts w:ascii="Arial Narrow" w:hAnsi="Arial Narrow"/>
                <w:sz w:val="20"/>
                <w:vertAlign w:val="superscript"/>
              </w:rPr>
              <w:t>a</w:t>
            </w:r>
            <w:r w:rsidRPr="00980E7B" w:rsidDel="006C2ED2">
              <w:rPr>
                <w:rFonts w:ascii="Arial Narrow" w:hAnsi="Arial Narrow"/>
                <w:sz w:val="20"/>
              </w:rPr>
              <w:t xml:space="preserve"> </w:t>
            </w:r>
          </w:p>
        </w:tc>
        <w:tc>
          <w:tcPr>
            <w:tcW w:w="1225" w:type="dxa"/>
            <w:noWrap/>
          </w:tcPr>
          <w:p w14:paraId="18A3F9FF"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n/a</w:t>
            </w:r>
          </w:p>
        </w:tc>
        <w:tc>
          <w:tcPr>
            <w:tcW w:w="1104" w:type="dxa"/>
            <w:noWrap/>
          </w:tcPr>
          <w:p w14:paraId="65BA74B1"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932" w:type="dxa"/>
            <w:noWrap/>
          </w:tcPr>
          <w:p w14:paraId="3D1B87F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76" w:type="dxa"/>
            <w:noWrap/>
          </w:tcPr>
          <w:p w14:paraId="643BC427"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996" w:type="dxa"/>
            <w:noWrap/>
            <w:vAlign w:val="bottom"/>
          </w:tcPr>
          <w:p w14:paraId="63E0F99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88" w:type="dxa"/>
            <w:noWrap/>
            <w:vAlign w:val="bottom"/>
          </w:tcPr>
          <w:p w14:paraId="48D2EAA5"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5E8093E8"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90" w:type="dxa"/>
            <w:noWrap/>
          </w:tcPr>
          <w:p w14:paraId="05B70E91"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5AB677A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227" w:type="dxa"/>
            <w:noWrap/>
          </w:tcPr>
          <w:p w14:paraId="2518937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741</w:t>
            </w:r>
          </w:p>
        </w:tc>
      </w:tr>
      <w:tr w:rsidR="00C91118" w:rsidRPr="00980E7B" w14:paraId="157388A3" w14:textId="77777777" w:rsidTr="00D94B82">
        <w:trPr>
          <w:trHeight w:val="255"/>
        </w:trPr>
        <w:tc>
          <w:tcPr>
            <w:tcW w:w="1365" w:type="dxa"/>
            <w:noWrap/>
            <w:vAlign w:val="bottom"/>
            <w:hideMark/>
          </w:tcPr>
          <w:p w14:paraId="4C58F680"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Heli</w:t>
            </w:r>
          </w:p>
        </w:tc>
        <w:tc>
          <w:tcPr>
            <w:tcW w:w="2416" w:type="dxa"/>
            <w:noWrap/>
            <w:vAlign w:val="bottom"/>
            <w:hideMark/>
          </w:tcPr>
          <w:p w14:paraId="0BF564EB"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Private</w:t>
            </w:r>
          </w:p>
        </w:tc>
        <w:tc>
          <w:tcPr>
            <w:tcW w:w="1225" w:type="dxa"/>
            <w:noWrap/>
          </w:tcPr>
          <w:p w14:paraId="602D4BBC"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130</w:t>
            </w:r>
          </w:p>
        </w:tc>
        <w:tc>
          <w:tcPr>
            <w:tcW w:w="1104" w:type="dxa"/>
            <w:noWrap/>
          </w:tcPr>
          <w:p w14:paraId="44BF464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840</w:t>
            </w:r>
          </w:p>
        </w:tc>
        <w:tc>
          <w:tcPr>
            <w:tcW w:w="932" w:type="dxa"/>
            <w:noWrap/>
          </w:tcPr>
          <w:p w14:paraId="78F73F72"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115</w:t>
            </w:r>
          </w:p>
        </w:tc>
        <w:tc>
          <w:tcPr>
            <w:tcW w:w="1176" w:type="dxa"/>
            <w:noWrap/>
          </w:tcPr>
          <w:p w14:paraId="4049E0B7"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1,585</w:t>
            </w:r>
          </w:p>
        </w:tc>
        <w:tc>
          <w:tcPr>
            <w:tcW w:w="996" w:type="dxa"/>
            <w:noWrap/>
            <w:vAlign w:val="bottom"/>
          </w:tcPr>
          <w:p w14:paraId="6D3EA05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99</w:t>
            </w:r>
          </w:p>
        </w:tc>
        <w:tc>
          <w:tcPr>
            <w:tcW w:w="1188" w:type="dxa"/>
            <w:noWrap/>
            <w:vAlign w:val="bottom"/>
          </w:tcPr>
          <w:p w14:paraId="169973CF"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1,561</w:t>
            </w:r>
          </w:p>
        </w:tc>
        <w:tc>
          <w:tcPr>
            <w:tcW w:w="1006" w:type="dxa"/>
            <w:noWrap/>
          </w:tcPr>
          <w:p w14:paraId="17FC9628"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115</w:t>
            </w:r>
          </w:p>
        </w:tc>
        <w:tc>
          <w:tcPr>
            <w:tcW w:w="1190" w:type="dxa"/>
            <w:noWrap/>
          </w:tcPr>
          <w:p w14:paraId="50193AB9"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1,510</w:t>
            </w:r>
          </w:p>
        </w:tc>
        <w:tc>
          <w:tcPr>
            <w:tcW w:w="1006" w:type="dxa"/>
            <w:noWrap/>
          </w:tcPr>
          <w:p w14:paraId="72EE9BE7"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103</w:t>
            </w:r>
          </w:p>
        </w:tc>
        <w:tc>
          <w:tcPr>
            <w:tcW w:w="1227" w:type="dxa"/>
            <w:noWrap/>
          </w:tcPr>
          <w:p w14:paraId="46DFDECF"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806</w:t>
            </w:r>
          </w:p>
        </w:tc>
      </w:tr>
      <w:tr w:rsidR="00C91118" w:rsidRPr="00980E7B" w14:paraId="240EED64" w14:textId="77777777" w:rsidTr="00D94B82">
        <w:trPr>
          <w:trHeight w:val="255"/>
        </w:trPr>
        <w:tc>
          <w:tcPr>
            <w:tcW w:w="1365" w:type="dxa"/>
            <w:noWrap/>
            <w:vAlign w:val="bottom"/>
            <w:hideMark/>
          </w:tcPr>
          <w:p w14:paraId="0C4D9C1A"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Heli</w:t>
            </w:r>
          </w:p>
        </w:tc>
        <w:tc>
          <w:tcPr>
            <w:tcW w:w="2416" w:type="dxa"/>
            <w:noWrap/>
            <w:vAlign w:val="bottom"/>
            <w:hideMark/>
          </w:tcPr>
          <w:p w14:paraId="186A3E7B"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Recreational</w:t>
            </w:r>
            <w:r w:rsidRPr="00980E7B">
              <w:rPr>
                <w:rFonts w:ascii="Arial Narrow" w:hAnsi="Arial Narrow"/>
                <w:sz w:val="20"/>
                <w:vertAlign w:val="superscript"/>
              </w:rPr>
              <w:t>b</w:t>
            </w:r>
          </w:p>
        </w:tc>
        <w:tc>
          <w:tcPr>
            <w:tcW w:w="1225" w:type="dxa"/>
            <w:noWrap/>
          </w:tcPr>
          <w:p w14:paraId="3EEBAE87"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w:t>
            </w:r>
          </w:p>
        </w:tc>
        <w:tc>
          <w:tcPr>
            <w:tcW w:w="1104" w:type="dxa"/>
            <w:noWrap/>
          </w:tcPr>
          <w:p w14:paraId="72935392"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932" w:type="dxa"/>
            <w:noWrap/>
          </w:tcPr>
          <w:p w14:paraId="18FA02C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w:t>
            </w:r>
          </w:p>
        </w:tc>
        <w:tc>
          <w:tcPr>
            <w:tcW w:w="1176" w:type="dxa"/>
            <w:noWrap/>
          </w:tcPr>
          <w:p w14:paraId="4A492DC9"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16</w:t>
            </w:r>
          </w:p>
        </w:tc>
        <w:tc>
          <w:tcPr>
            <w:tcW w:w="996" w:type="dxa"/>
            <w:noWrap/>
            <w:vAlign w:val="bottom"/>
          </w:tcPr>
          <w:p w14:paraId="746E594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w:t>
            </w:r>
          </w:p>
        </w:tc>
        <w:tc>
          <w:tcPr>
            <w:tcW w:w="1188" w:type="dxa"/>
            <w:noWrap/>
            <w:vAlign w:val="bottom"/>
          </w:tcPr>
          <w:p w14:paraId="4863C9CA"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16</w:t>
            </w:r>
          </w:p>
        </w:tc>
        <w:tc>
          <w:tcPr>
            <w:tcW w:w="1006" w:type="dxa"/>
            <w:noWrap/>
          </w:tcPr>
          <w:p w14:paraId="374131D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w:t>
            </w:r>
          </w:p>
        </w:tc>
        <w:tc>
          <w:tcPr>
            <w:tcW w:w="1190" w:type="dxa"/>
            <w:noWrap/>
          </w:tcPr>
          <w:p w14:paraId="5B2298D7"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21</w:t>
            </w:r>
          </w:p>
        </w:tc>
        <w:tc>
          <w:tcPr>
            <w:tcW w:w="1006" w:type="dxa"/>
            <w:noWrap/>
          </w:tcPr>
          <w:p w14:paraId="594E5ABA"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10</w:t>
            </w:r>
          </w:p>
        </w:tc>
        <w:tc>
          <w:tcPr>
            <w:tcW w:w="1227" w:type="dxa"/>
            <w:noWrap/>
          </w:tcPr>
          <w:p w14:paraId="2DFB7D9E"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28</w:t>
            </w:r>
          </w:p>
        </w:tc>
      </w:tr>
      <w:tr w:rsidR="00C91118" w:rsidRPr="00980E7B" w14:paraId="0E04C616" w14:textId="77777777" w:rsidTr="00D94B82">
        <w:trPr>
          <w:trHeight w:val="255"/>
        </w:trPr>
        <w:tc>
          <w:tcPr>
            <w:tcW w:w="1365" w:type="dxa"/>
            <w:noWrap/>
            <w:vAlign w:val="bottom"/>
            <w:hideMark/>
          </w:tcPr>
          <w:p w14:paraId="6BB5EABE"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Heli</w:t>
            </w:r>
          </w:p>
        </w:tc>
        <w:tc>
          <w:tcPr>
            <w:tcW w:w="2416" w:type="dxa"/>
            <w:noWrap/>
            <w:vAlign w:val="bottom"/>
            <w:hideMark/>
          </w:tcPr>
          <w:p w14:paraId="3CFB7DEC"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Student (GFPT)</w:t>
            </w:r>
            <w:r w:rsidRPr="00980E7B">
              <w:rPr>
                <w:rFonts w:ascii="Arial Narrow" w:hAnsi="Arial Narrow"/>
                <w:sz w:val="20"/>
                <w:vertAlign w:val="superscript"/>
              </w:rPr>
              <w:t>c</w:t>
            </w:r>
          </w:p>
        </w:tc>
        <w:tc>
          <w:tcPr>
            <w:tcW w:w="1225" w:type="dxa"/>
            <w:noWrap/>
          </w:tcPr>
          <w:p w14:paraId="171AAD2A"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10</w:t>
            </w:r>
          </w:p>
        </w:tc>
        <w:tc>
          <w:tcPr>
            <w:tcW w:w="1104" w:type="dxa"/>
            <w:noWrap/>
          </w:tcPr>
          <w:p w14:paraId="7571E358"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40</w:t>
            </w:r>
          </w:p>
        </w:tc>
        <w:tc>
          <w:tcPr>
            <w:tcW w:w="932" w:type="dxa"/>
            <w:noWrap/>
          </w:tcPr>
          <w:p w14:paraId="2D2BA4E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176" w:type="dxa"/>
            <w:noWrap/>
          </w:tcPr>
          <w:p w14:paraId="7E62D89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996" w:type="dxa"/>
            <w:noWrap/>
          </w:tcPr>
          <w:p w14:paraId="311CC19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88" w:type="dxa"/>
            <w:noWrap/>
          </w:tcPr>
          <w:p w14:paraId="373AE345"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692D90C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90" w:type="dxa"/>
            <w:noWrap/>
          </w:tcPr>
          <w:p w14:paraId="141708EB"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52BDD9D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227" w:type="dxa"/>
            <w:noWrap/>
          </w:tcPr>
          <w:p w14:paraId="5859F47A"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r>
      <w:tr w:rsidR="00C91118" w:rsidRPr="00980E7B" w14:paraId="7C9C3B69" w14:textId="77777777" w:rsidTr="00D94B82">
        <w:trPr>
          <w:trHeight w:val="255"/>
        </w:trPr>
        <w:tc>
          <w:tcPr>
            <w:tcW w:w="1365" w:type="dxa"/>
            <w:noWrap/>
            <w:vAlign w:val="bottom"/>
            <w:hideMark/>
          </w:tcPr>
          <w:p w14:paraId="683004B2" w14:textId="77777777" w:rsidR="00C91118" w:rsidRPr="00980E7B" w:rsidRDefault="00C91118" w:rsidP="00C91118">
            <w:pPr>
              <w:keepNext/>
              <w:spacing w:before="80" w:after="80"/>
              <w:rPr>
                <w:rFonts w:ascii="Arial Narrow" w:hAnsi="Arial Narrow"/>
                <w:bCs/>
                <w:sz w:val="20"/>
              </w:rPr>
            </w:pPr>
          </w:p>
        </w:tc>
        <w:tc>
          <w:tcPr>
            <w:tcW w:w="2416" w:type="dxa"/>
            <w:noWrap/>
            <w:vAlign w:val="bottom"/>
            <w:hideMark/>
          </w:tcPr>
          <w:p w14:paraId="1530FE2D" w14:textId="77777777" w:rsidR="00C91118" w:rsidRPr="00980E7B" w:rsidRDefault="00C91118" w:rsidP="00C91118">
            <w:pPr>
              <w:keepNext/>
              <w:spacing w:before="80" w:after="80"/>
              <w:rPr>
                <w:rFonts w:ascii="Arial Narrow" w:hAnsi="Arial Narrow"/>
                <w:b/>
                <w:bCs/>
                <w:iCs/>
                <w:sz w:val="20"/>
              </w:rPr>
            </w:pPr>
            <w:r w:rsidRPr="00980E7B">
              <w:rPr>
                <w:rFonts w:ascii="Arial Narrow" w:hAnsi="Arial Narrow"/>
                <w:b/>
                <w:bCs/>
                <w:iCs/>
                <w:sz w:val="20"/>
              </w:rPr>
              <w:t>Total helicopter pilots</w:t>
            </w:r>
          </w:p>
        </w:tc>
        <w:tc>
          <w:tcPr>
            <w:tcW w:w="1225" w:type="dxa"/>
            <w:noWrap/>
          </w:tcPr>
          <w:p w14:paraId="1393D234" w14:textId="77777777" w:rsidR="00C91118" w:rsidRPr="00980E7B" w:rsidRDefault="00C91118" w:rsidP="00C91118">
            <w:pPr>
              <w:keepNext/>
              <w:spacing w:before="80" w:after="80"/>
              <w:jc w:val="center"/>
              <w:rPr>
                <w:rFonts w:ascii="Arial Narrow" w:hAnsi="Arial Narrow"/>
                <w:b/>
                <w:bCs/>
                <w:iCs/>
                <w:sz w:val="20"/>
              </w:rPr>
            </w:pPr>
            <w:r w:rsidRPr="00980E7B">
              <w:rPr>
                <w:rFonts w:ascii="Arial Narrow" w:hAnsi="Arial Narrow"/>
                <w:b/>
                <w:bCs/>
                <w:iCs/>
                <w:sz w:val="20"/>
              </w:rPr>
              <w:t>498</w:t>
            </w:r>
          </w:p>
        </w:tc>
        <w:tc>
          <w:tcPr>
            <w:tcW w:w="1104" w:type="dxa"/>
            <w:noWrap/>
          </w:tcPr>
          <w:p w14:paraId="28F3BDCE"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3,617</w:t>
            </w:r>
          </w:p>
        </w:tc>
        <w:tc>
          <w:tcPr>
            <w:tcW w:w="932" w:type="dxa"/>
            <w:noWrap/>
          </w:tcPr>
          <w:p w14:paraId="29C5420F"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367</w:t>
            </w:r>
          </w:p>
        </w:tc>
        <w:tc>
          <w:tcPr>
            <w:tcW w:w="1176" w:type="dxa"/>
            <w:noWrap/>
          </w:tcPr>
          <w:p w14:paraId="0F83F219"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4,303</w:t>
            </w:r>
          </w:p>
        </w:tc>
        <w:tc>
          <w:tcPr>
            <w:tcW w:w="996" w:type="dxa"/>
            <w:noWrap/>
            <w:vAlign w:val="bottom"/>
          </w:tcPr>
          <w:p w14:paraId="53EB68D8"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314</w:t>
            </w:r>
          </w:p>
        </w:tc>
        <w:tc>
          <w:tcPr>
            <w:tcW w:w="1188" w:type="dxa"/>
            <w:noWrap/>
            <w:vAlign w:val="bottom"/>
          </w:tcPr>
          <w:p w14:paraId="0922166A"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4,303</w:t>
            </w:r>
          </w:p>
        </w:tc>
        <w:tc>
          <w:tcPr>
            <w:tcW w:w="1006" w:type="dxa"/>
            <w:noWrap/>
          </w:tcPr>
          <w:p w14:paraId="7BC2A237"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346</w:t>
            </w:r>
          </w:p>
        </w:tc>
        <w:tc>
          <w:tcPr>
            <w:tcW w:w="1190" w:type="dxa"/>
            <w:noWrap/>
          </w:tcPr>
          <w:p w14:paraId="74D623A5"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4,375</w:t>
            </w:r>
          </w:p>
        </w:tc>
        <w:tc>
          <w:tcPr>
            <w:tcW w:w="1006" w:type="dxa"/>
            <w:noWrap/>
          </w:tcPr>
          <w:p w14:paraId="562260F5"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335</w:t>
            </w:r>
          </w:p>
        </w:tc>
        <w:tc>
          <w:tcPr>
            <w:tcW w:w="1227" w:type="dxa"/>
            <w:noWrap/>
          </w:tcPr>
          <w:p w14:paraId="7FEE861E"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4,387</w:t>
            </w:r>
          </w:p>
        </w:tc>
      </w:tr>
      <w:tr w:rsidR="00C91118" w:rsidRPr="00980E7B" w14:paraId="01E41473" w14:textId="77777777" w:rsidTr="00D94B82">
        <w:trPr>
          <w:trHeight w:val="255"/>
        </w:trPr>
        <w:tc>
          <w:tcPr>
            <w:tcW w:w="1365" w:type="dxa"/>
            <w:noWrap/>
            <w:vAlign w:val="bottom"/>
            <w:hideMark/>
          </w:tcPr>
          <w:p w14:paraId="10A01792"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 xml:space="preserve">Other </w:t>
            </w:r>
          </w:p>
        </w:tc>
        <w:tc>
          <w:tcPr>
            <w:tcW w:w="2416" w:type="dxa"/>
            <w:noWrap/>
            <w:vAlign w:val="bottom"/>
            <w:hideMark/>
          </w:tcPr>
          <w:p w14:paraId="68B4E938"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Commercial – Other</w:t>
            </w:r>
            <w:r w:rsidRPr="00980E7B">
              <w:rPr>
                <w:rFonts w:ascii="Arial Narrow" w:hAnsi="Arial Narrow"/>
                <w:sz w:val="20"/>
                <w:vertAlign w:val="superscript"/>
              </w:rPr>
              <w:t>d</w:t>
            </w:r>
          </w:p>
        </w:tc>
        <w:tc>
          <w:tcPr>
            <w:tcW w:w="1225" w:type="dxa"/>
            <w:noWrap/>
          </w:tcPr>
          <w:p w14:paraId="7F63F77C"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2</w:t>
            </w:r>
          </w:p>
        </w:tc>
        <w:tc>
          <w:tcPr>
            <w:tcW w:w="1104" w:type="dxa"/>
            <w:noWrap/>
          </w:tcPr>
          <w:p w14:paraId="391A50B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104</w:t>
            </w:r>
          </w:p>
        </w:tc>
        <w:tc>
          <w:tcPr>
            <w:tcW w:w="932" w:type="dxa"/>
            <w:noWrap/>
          </w:tcPr>
          <w:p w14:paraId="4196B839"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w:t>
            </w:r>
          </w:p>
        </w:tc>
        <w:tc>
          <w:tcPr>
            <w:tcW w:w="1176" w:type="dxa"/>
            <w:noWrap/>
          </w:tcPr>
          <w:p w14:paraId="4E262A57"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102</w:t>
            </w:r>
          </w:p>
        </w:tc>
        <w:tc>
          <w:tcPr>
            <w:tcW w:w="996" w:type="dxa"/>
            <w:noWrap/>
            <w:vAlign w:val="bottom"/>
          </w:tcPr>
          <w:p w14:paraId="293317F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w:t>
            </w:r>
          </w:p>
        </w:tc>
        <w:tc>
          <w:tcPr>
            <w:tcW w:w="1188" w:type="dxa"/>
            <w:noWrap/>
            <w:vAlign w:val="bottom"/>
          </w:tcPr>
          <w:p w14:paraId="282AEF5E"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100</w:t>
            </w:r>
          </w:p>
        </w:tc>
        <w:tc>
          <w:tcPr>
            <w:tcW w:w="1006" w:type="dxa"/>
            <w:noWrap/>
          </w:tcPr>
          <w:p w14:paraId="122DA911"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w:t>
            </w:r>
          </w:p>
        </w:tc>
        <w:tc>
          <w:tcPr>
            <w:tcW w:w="1190" w:type="dxa"/>
            <w:noWrap/>
          </w:tcPr>
          <w:p w14:paraId="7CBBA25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106</w:t>
            </w:r>
          </w:p>
        </w:tc>
        <w:tc>
          <w:tcPr>
            <w:tcW w:w="1006" w:type="dxa"/>
            <w:noWrap/>
          </w:tcPr>
          <w:p w14:paraId="454F5059"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w:t>
            </w:r>
          </w:p>
        </w:tc>
        <w:tc>
          <w:tcPr>
            <w:tcW w:w="1227" w:type="dxa"/>
            <w:noWrap/>
          </w:tcPr>
          <w:p w14:paraId="0ECA4C7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105</w:t>
            </w:r>
          </w:p>
        </w:tc>
      </w:tr>
      <w:tr w:rsidR="00C91118" w:rsidRPr="00980E7B" w14:paraId="1E4B7D63" w14:textId="77777777" w:rsidTr="00D94B82">
        <w:trPr>
          <w:trHeight w:val="255"/>
        </w:trPr>
        <w:tc>
          <w:tcPr>
            <w:tcW w:w="1365" w:type="dxa"/>
            <w:noWrap/>
            <w:vAlign w:val="bottom"/>
          </w:tcPr>
          <w:p w14:paraId="25F1417E"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lastRenderedPageBreak/>
              <w:t>Other</w:t>
            </w:r>
          </w:p>
        </w:tc>
        <w:tc>
          <w:tcPr>
            <w:tcW w:w="2416" w:type="dxa"/>
            <w:noWrap/>
            <w:vAlign w:val="bottom"/>
          </w:tcPr>
          <w:p w14:paraId="336A3DB7"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Commercial (CASA EX25/18)</w:t>
            </w:r>
            <w:r w:rsidRPr="00980E7B">
              <w:rPr>
                <w:rFonts w:ascii="Arial Narrow" w:hAnsi="Arial Narrow"/>
                <w:sz w:val="20"/>
                <w:vertAlign w:val="superscript"/>
              </w:rPr>
              <w:t>a</w:t>
            </w:r>
            <w:r w:rsidRPr="00980E7B" w:rsidDel="006C2ED2">
              <w:rPr>
                <w:rFonts w:ascii="Arial Narrow" w:hAnsi="Arial Narrow"/>
                <w:sz w:val="20"/>
                <w:vertAlign w:val="superscript"/>
              </w:rPr>
              <w:t xml:space="preserve"> </w:t>
            </w:r>
          </w:p>
        </w:tc>
        <w:tc>
          <w:tcPr>
            <w:tcW w:w="1225" w:type="dxa"/>
            <w:noWrap/>
          </w:tcPr>
          <w:p w14:paraId="0DCE7624"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n/a</w:t>
            </w:r>
          </w:p>
        </w:tc>
        <w:tc>
          <w:tcPr>
            <w:tcW w:w="1104" w:type="dxa"/>
            <w:noWrap/>
          </w:tcPr>
          <w:p w14:paraId="449702B1"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932" w:type="dxa"/>
            <w:noWrap/>
          </w:tcPr>
          <w:p w14:paraId="704F224E"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76" w:type="dxa"/>
            <w:noWrap/>
          </w:tcPr>
          <w:p w14:paraId="26E3FAA8"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996" w:type="dxa"/>
            <w:noWrap/>
            <w:vAlign w:val="bottom"/>
          </w:tcPr>
          <w:p w14:paraId="1313BD4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88" w:type="dxa"/>
            <w:noWrap/>
            <w:vAlign w:val="bottom"/>
          </w:tcPr>
          <w:p w14:paraId="7751E44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1BAF3F34"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90" w:type="dxa"/>
            <w:noWrap/>
          </w:tcPr>
          <w:p w14:paraId="2D18656A"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1BF75DD7"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227" w:type="dxa"/>
            <w:noWrap/>
          </w:tcPr>
          <w:p w14:paraId="7BD7BBC5"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3</w:t>
            </w:r>
          </w:p>
        </w:tc>
      </w:tr>
      <w:tr w:rsidR="00C91118" w:rsidRPr="00980E7B" w14:paraId="7019945A" w14:textId="77777777" w:rsidTr="00D94B82">
        <w:trPr>
          <w:trHeight w:val="255"/>
        </w:trPr>
        <w:tc>
          <w:tcPr>
            <w:tcW w:w="1365" w:type="dxa"/>
            <w:noWrap/>
            <w:vAlign w:val="bottom"/>
            <w:hideMark/>
          </w:tcPr>
          <w:p w14:paraId="51160C84"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Other</w:t>
            </w:r>
          </w:p>
        </w:tc>
        <w:tc>
          <w:tcPr>
            <w:tcW w:w="2416" w:type="dxa"/>
            <w:noWrap/>
            <w:vAlign w:val="bottom"/>
            <w:hideMark/>
          </w:tcPr>
          <w:p w14:paraId="55EAFDB7"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 xml:space="preserve">Private – gyroplane </w:t>
            </w:r>
          </w:p>
        </w:tc>
        <w:tc>
          <w:tcPr>
            <w:tcW w:w="1225" w:type="dxa"/>
            <w:noWrap/>
          </w:tcPr>
          <w:p w14:paraId="3314468C"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w:t>
            </w:r>
          </w:p>
        </w:tc>
        <w:tc>
          <w:tcPr>
            <w:tcW w:w="1104" w:type="dxa"/>
            <w:noWrap/>
          </w:tcPr>
          <w:p w14:paraId="2BE3465F"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w:t>
            </w:r>
          </w:p>
        </w:tc>
        <w:tc>
          <w:tcPr>
            <w:tcW w:w="932" w:type="dxa"/>
            <w:noWrap/>
          </w:tcPr>
          <w:p w14:paraId="490F785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176" w:type="dxa"/>
            <w:noWrap/>
          </w:tcPr>
          <w:p w14:paraId="7189570E"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4</w:t>
            </w:r>
          </w:p>
        </w:tc>
        <w:tc>
          <w:tcPr>
            <w:tcW w:w="996" w:type="dxa"/>
            <w:noWrap/>
            <w:vAlign w:val="bottom"/>
          </w:tcPr>
          <w:p w14:paraId="3CDDBB08"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w:t>
            </w:r>
          </w:p>
        </w:tc>
        <w:tc>
          <w:tcPr>
            <w:tcW w:w="1188" w:type="dxa"/>
            <w:noWrap/>
            <w:vAlign w:val="bottom"/>
          </w:tcPr>
          <w:p w14:paraId="215D00FE"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3</w:t>
            </w:r>
          </w:p>
        </w:tc>
        <w:tc>
          <w:tcPr>
            <w:tcW w:w="1006" w:type="dxa"/>
            <w:noWrap/>
          </w:tcPr>
          <w:p w14:paraId="07FBD702"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190" w:type="dxa"/>
            <w:noWrap/>
          </w:tcPr>
          <w:p w14:paraId="63742D2F"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3</w:t>
            </w:r>
          </w:p>
        </w:tc>
        <w:tc>
          <w:tcPr>
            <w:tcW w:w="1006" w:type="dxa"/>
            <w:noWrap/>
          </w:tcPr>
          <w:p w14:paraId="7AF64C85"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0</w:t>
            </w:r>
          </w:p>
        </w:tc>
        <w:tc>
          <w:tcPr>
            <w:tcW w:w="1227" w:type="dxa"/>
            <w:noWrap/>
          </w:tcPr>
          <w:p w14:paraId="55E2927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w:t>
            </w:r>
          </w:p>
        </w:tc>
      </w:tr>
      <w:tr w:rsidR="00C91118" w:rsidRPr="00980E7B" w14:paraId="3CBFA118" w14:textId="77777777" w:rsidTr="00D94B82">
        <w:trPr>
          <w:trHeight w:val="255"/>
        </w:trPr>
        <w:tc>
          <w:tcPr>
            <w:tcW w:w="1365" w:type="dxa"/>
            <w:noWrap/>
            <w:vAlign w:val="bottom"/>
          </w:tcPr>
          <w:p w14:paraId="205D3895"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Other</w:t>
            </w:r>
          </w:p>
        </w:tc>
        <w:tc>
          <w:tcPr>
            <w:tcW w:w="2416" w:type="dxa"/>
            <w:noWrap/>
            <w:vAlign w:val="bottom"/>
          </w:tcPr>
          <w:p w14:paraId="33507795"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Recreational</w:t>
            </w:r>
            <w:r w:rsidRPr="00980E7B">
              <w:rPr>
                <w:rFonts w:ascii="Arial Narrow" w:hAnsi="Arial Narrow"/>
                <w:sz w:val="20"/>
                <w:vertAlign w:val="superscript"/>
              </w:rPr>
              <w:t>b</w:t>
            </w:r>
          </w:p>
        </w:tc>
        <w:tc>
          <w:tcPr>
            <w:tcW w:w="1225" w:type="dxa"/>
            <w:noWrap/>
          </w:tcPr>
          <w:p w14:paraId="31086599"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w:t>
            </w:r>
          </w:p>
        </w:tc>
        <w:tc>
          <w:tcPr>
            <w:tcW w:w="1104" w:type="dxa"/>
            <w:noWrap/>
          </w:tcPr>
          <w:p w14:paraId="2A2E699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932" w:type="dxa"/>
            <w:noWrap/>
          </w:tcPr>
          <w:p w14:paraId="5195728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176" w:type="dxa"/>
            <w:noWrap/>
          </w:tcPr>
          <w:p w14:paraId="6D56EF51"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996" w:type="dxa"/>
            <w:noWrap/>
          </w:tcPr>
          <w:p w14:paraId="3B27ED9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188" w:type="dxa"/>
            <w:noWrap/>
          </w:tcPr>
          <w:p w14:paraId="05D17FF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006" w:type="dxa"/>
            <w:noWrap/>
          </w:tcPr>
          <w:p w14:paraId="5126C141"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190" w:type="dxa"/>
            <w:noWrap/>
          </w:tcPr>
          <w:p w14:paraId="56D0BFF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006" w:type="dxa"/>
            <w:noWrap/>
          </w:tcPr>
          <w:p w14:paraId="216243E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w:t>
            </w:r>
          </w:p>
        </w:tc>
        <w:tc>
          <w:tcPr>
            <w:tcW w:w="1227" w:type="dxa"/>
            <w:noWrap/>
          </w:tcPr>
          <w:p w14:paraId="51D3931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2</w:t>
            </w:r>
          </w:p>
        </w:tc>
      </w:tr>
      <w:tr w:rsidR="00C91118" w:rsidRPr="00980E7B" w14:paraId="3215A928" w14:textId="77777777" w:rsidTr="00D94B82">
        <w:trPr>
          <w:trHeight w:val="255"/>
        </w:trPr>
        <w:tc>
          <w:tcPr>
            <w:tcW w:w="1365" w:type="dxa"/>
            <w:noWrap/>
            <w:vAlign w:val="bottom"/>
            <w:hideMark/>
          </w:tcPr>
          <w:p w14:paraId="1E93DC3B"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Other</w:t>
            </w:r>
          </w:p>
        </w:tc>
        <w:tc>
          <w:tcPr>
            <w:tcW w:w="2416" w:type="dxa"/>
            <w:noWrap/>
            <w:vAlign w:val="bottom"/>
            <w:hideMark/>
          </w:tcPr>
          <w:p w14:paraId="297473FD"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Student (GFPT) – Other</w:t>
            </w:r>
            <w:r w:rsidRPr="00980E7B">
              <w:rPr>
                <w:rFonts w:ascii="Arial Narrow" w:hAnsi="Arial Narrow"/>
                <w:sz w:val="20"/>
                <w:vertAlign w:val="superscript"/>
              </w:rPr>
              <w:t>c</w:t>
            </w:r>
          </w:p>
        </w:tc>
        <w:tc>
          <w:tcPr>
            <w:tcW w:w="1225" w:type="dxa"/>
            <w:noWrap/>
          </w:tcPr>
          <w:p w14:paraId="73927F5B"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1</w:t>
            </w:r>
          </w:p>
        </w:tc>
        <w:tc>
          <w:tcPr>
            <w:tcW w:w="1104" w:type="dxa"/>
            <w:noWrap/>
          </w:tcPr>
          <w:p w14:paraId="562CCD14"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3</w:t>
            </w:r>
          </w:p>
        </w:tc>
        <w:tc>
          <w:tcPr>
            <w:tcW w:w="932" w:type="dxa"/>
            <w:noWrap/>
          </w:tcPr>
          <w:p w14:paraId="0FC45E65"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176" w:type="dxa"/>
            <w:noWrap/>
          </w:tcPr>
          <w:p w14:paraId="7B661245"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996" w:type="dxa"/>
            <w:noWrap/>
          </w:tcPr>
          <w:p w14:paraId="15D7C925"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88" w:type="dxa"/>
            <w:noWrap/>
          </w:tcPr>
          <w:p w14:paraId="124C4F7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14910C21"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90" w:type="dxa"/>
            <w:noWrap/>
          </w:tcPr>
          <w:p w14:paraId="1B8B128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4153666B"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227" w:type="dxa"/>
            <w:noWrap/>
          </w:tcPr>
          <w:p w14:paraId="378CDD61"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r>
      <w:tr w:rsidR="00C91118" w:rsidRPr="00980E7B" w14:paraId="1207A8CC" w14:textId="77777777" w:rsidTr="00D94B82">
        <w:trPr>
          <w:trHeight w:val="255"/>
        </w:trPr>
        <w:tc>
          <w:tcPr>
            <w:tcW w:w="1365" w:type="dxa"/>
            <w:noWrap/>
            <w:vAlign w:val="bottom"/>
            <w:hideMark/>
          </w:tcPr>
          <w:p w14:paraId="040731FC"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Other</w:t>
            </w:r>
          </w:p>
        </w:tc>
        <w:tc>
          <w:tcPr>
            <w:tcW w:w="2416" w:type="dxa"/>
            <w:noWrap/>
            <w:vAlign w:val="bottom"/>
            <w:hideMark/>
          </w:tcPr>
          <w:p w14:paraId="23154AD8"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Student (no GFPT)</w:t>
            </w:r>
            <w:r w:rsidRPr="00980E7B">
              <w:rPr>
                <w:rFonts w:ascii="Arial Narrow" w:hAnsi="Arial Narrow"/>
                <w:sz w:val="20"/>
                <w:vertAlign w:val="superscript"/>
              </w:rPr>
              <w:t>c</w:t>
            </w:r>
          </w:p>
        </w:tc>
        <w:tc>
          <w:tcPr>
            <w:tcW w:w="1225" w:type="dxa"/>
            <w:noWrap/>
          </w:tcPr>
          <w:p w14:paraId="02E50016" w14:textId="77777777" w:rsidR="00C91118" w:rsidRPr="00980E7B" w:rsidRDefault="00C91118" w:rsidP="00C91118">
            <w:pPr>
              <w:keepNext/>
              <w:spacing w:before="80" w:after="80"/>
              <w:jc w:val="center"/>
              <w:rPr>
                <w:rFonts w:ascii="Arial Narrow" w:hAnsi="Arial Narrow"/>
                <w:sz w:val="20"/>
              </w:rPr>
            </w:pPr>
            <w:r w:rsidRPr="00980E7B">
              <w:rPr>
                <w:rFonts w:ascii="Arial Narrow" w:hAnsi="Arial Narrow"/>
                <w:sz w:val="20"/>
              </w:rPr>
              <w:t>2,534</w:t>
            </w:r>
          </w:p>
        </w:tc>
        <w:tc>
          <w:tcPr>
            <w:tcW w:w="1104" w:type="dxa"/>
            <w:noWrap/>
          </w:tcPr>
          <w:p w14:paraId="264107A3"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5,455</w:t>
            </w:r>
          </w:p>
        </w:tc>
        <w:tc>
          <w:tcPr>
            <w:tcW w:w="932" w:type="dxa"/>
            <w:noWrap/>
          </w:tcPr>
          <w:p w14:paraId="27CEC22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352</w:t>
            </w:r>
          </w:p>
        </w:tc>
        <w:tc>
          <w:tcPr>
            <w:tcW w:w="1176" w:type="dxa"/>
            <w:noWrap/>
          </w:tcPr>
          <w:p w14:paraId="41FBE72E"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996" w:type="dxa"/>
            <w:noWrap/>
          </w:tcPr>
          <w:p w14:paraId="77E09757"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88" w:type="dxa"/>
            <w:noWrap/>
          </w:tcPr>
          <w:p w14:paraId="7E1AD751"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66C34239"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190" w:type="dxa"/>
            <w:noWrap/>
          </w:tcPr>
          <w:p w14:paraId="6BD07206"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006" w:type="dxa"/>
            <w:noWrap/>
          </w:tcPr>
          <w:p w14:paraId="36B350E8"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c>
          <w:tcPr>
            <w:tcW w:w="1227" w:type="dxa"/>
            <w:noWrap/>
          </w:tcPr>
          <w:p w14:paraId="1833B085"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n/a</w:t>
            </w:r>
          </w:p>
        </w:tc>
      </w:tr>
      <w:tr w:rsidR="00C91118" w:rsidRPr="00980E7B" w14:paraId="07E9B8B7" w14:textId="77777777" w:rsidTr="00D94B82">
        <w:trPr>
          <w:trHeight w:val="255"/>
        </w:trPr>
        <w:tc>
          <w:tcPr>
            <w:tcW w:w="1365" w:type="dxa"/>
            <w:noWrap/>
            <w:vAlign w:val="bottom"/>
            <w:hideMark/>
          </w:tcPr>
          <w:p w14:paraId="4AE362B7" w14:textId="77777777" w:rsidR="00C91118" w:rsidRPr="00980E7B" w:rsidRDefault="00C91118" w:rsidP="00C91118">
            <w:pPr>
              <w:keepNext/>
              <w:spacing w:before="80" w:after="80"/>
              <w:rPr>
                <w:rFonts w:ascii="Arial Narrow" w:hAnsi="Arial Narrow"/>
                <w:bCs/>
                <w:sz w:val="20"/>
              </w:rPr>
            </w:pPr>
            <w:r w:rsidRPr="00980E7B">
              <w:rPr>
                <w:rFonts w:ascii="Arial Narrow" w:hAnsi="Arial Narrow"/>
                <w:bCs/>
                <w:sz w:val="20"/>
              </w:rPr>
              <w:t>Other</w:t>
            </w:r>
          </w:p>
        </w:tc>
        <w:tc>
          <w:tcPr>
            <w:tcW w:w="2416" w:type="dxa"/>
            <w:noWrap/>
            <w:vAlign w:val="bottom"/>
            <w:hideMark/>
          </w:tcPr>
          <w:p w14:paraId="104EE0B3" w14:textId="77777777" w:rsidR="00C91118" w:rsidRPr="00980E7B" w:rsidRDefault="00C91118" w:rsidP="00C91118">
            <w:pPr>
              <w:keepNext/>
              <w:spacing w:before="80" w:after="80"/>
              <w:rPr>
                <w:rFonts w:ascii="Arial Narrow" w:hAnsi="Arial Narrow"/>
                <w:b/>
                <w:bCs/>
                <w:iCs/>
                <w:sz w:val="20"/>
              </w:rPr>
            </w:pPr>
            <w:r w:rsidRPr="00980E7B">
              <w:rPr>
                <w:rFonts w:ascii="Arial Narrow" w:hAnsi="Arial Narrow"/>
                <w:b/>
                <w:bCs/>
                <w:iCs/>
                <w:sz w:val="20"/>
              </w:rPr>
              <w:t>Total other pilots</w:t>
            </w:r>
          </w:p>
        </w:tc>
        <w:tc>
          <w:tcPr>
            <w:tcW w:w="1225" w:type="dxa"/>
            <w:noWrap/>
          </w:tcPr>
          <w:p w14:paraId="3D0EDAD1" w14:textId="77777777" w:rsidR="00C91118" w:rsidRPr="00980E7B" w:rsidRDefault="00C91118" w:rsidP="00C91118">
            <w:pPr>
              <w:keepNext/>
              <w:spacing w:before="80" w:after="80"/>
              <w:jc w:val="center"/>
              <w:rPr>
                <w:rFonts w:ascii="Arial Narrow" w:hAnsi="Arial Narrow"/>
                <w:b/>
                <w:bCs/>
                <w:iCs/>
                <w:sz w:val="20"/>
              </w:rPr>
            </w:pPr>
            <w:r w:rsidRPr="00980E7B">
              <w:rPr>
                <w:rFonts w:ascii="Arial Narrow" w:hAnsi="Arial Narrow"/>
                <w:b/>
                <w:bCs/>
                <w:iCs/>
                <w:sz w:val="20"/>
              </w:rPr>
              <w:t>2,537</w:t>
            </w:r>
          </w:p>
        </w:tc>
        <w:tc>
          <w:tcPr>
            <w:tcW w:w="1104" w:type="dxa"/>
            <w:noWrap/>
          </w:tcPr>
          <w:p w14:paraId="7DED48B5"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5,564</w:t>
            </w:r>
          </w:p>
        </w:tc>
        <w:tc>
          <w:tcPr>
            <w:tcW w:w="932" w:type="dxa"/>
            <w:noWrap/>
          </w:tcPr>
          <w:p w14:paraId="130B3E38"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359</w:t>
            </w:r>
          </w:p>
        </w:tc>
        <w:tc>
          <w:tcPr>
            <w:tcW w:w="1176" w:type="dxa"/>
            <w:noWrap/>
          </w:tcPr>
          <w:p w14:paraId="315EA490"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106</w:t>
            </w:r>
          </w:p>
        </w:tc>
        <w:tc>
          <w:tcPr>
            <w:tcW w:w="996" w:type="dxa"/>
            <w:noWrap/>
            <w:vAlign w:val="bottom"/>
          </w:tcPr>
          <w:p w14:paraId="16DC0753"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3</w:t>
            </w:r>
          </w:p>
        </w:tc>
        <w:tc>
          <w:tcPr>
            <w:tcW w:w="1188" w:type="dxa"/>
            <w:noWrap/>
            <w:vAlign w:val="bottom"/>
          </w:tcPr>
          <w:p w14:paraId="1211BAEB"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103</w:t>
            </w:r>
          </w:p>
        </w:tc>
        <w:tc>
          <w:tcPr>
            <w:tcW w:w="1006" w:type="dxa"/>
            <w:noWrap/>
          </w:tcPr>
          <w:p w14:paraId="4D3C92F3"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7</w:t>
            </w:r>
          </w:p>
        </w:tc>
        <w:tc>
          <w:tcPr>
            <w:tcW w:w="1190" w:type="dxa"/>
            <w:noWrap/>
          </w:tcPr>
          <w:p w14:paraId="27DE5C5B"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109</w:t>
            </w:r>
          </w:p>
        </w:tc>
        <w:tc>
          <w:tcPr>
            <w:tcW w:w="1006" w:type="dxa"/>
            <w:noWrap/>
          </w:tcPr>
          <w:p w14:paraId="1889CE00"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8</w:t>
            </w:r>
          </w:p>
        </w:tc>
        <w:tc>
          <w:tcPr>
            <w:tcW w:w="1227" w:type="dxa"/>
            <w:noWrap/>
          </w:tcPr>
          <w:p w14:paraId="79B09FA7" w14:textId="77777777" w:rsidR="00C91118" w:rsidRPr="00980E7B" w:rsidRDefault="00C91118" w:rsidP="00C91118">
            <w:pPr>
              <w:keepNext/>
              <w:spacing w:before="80" w:after="80"/>
              <w:jc w:val="right"/>
              <w:rPr>
                <w:rFonts w:ascii="Arial Narrow" w:hAnsi="Arial Narrow"/>
                <w:b/>
                <w:bCs/>
                <w:iCs/>
                <w:sz w:val="20"/>
              </w:rPr>
            </w:pPr>
            <w:r w:rsidRPr="00980E7B">
              <w:rPr>
                <w:rFonts w:ascii="Arial Narrow" w:hAnsi="Arial Narrow"/>
                <w:b/>
                <w:bCs/>
                <w:iCs/>
                <w:sz w:val="20"/>
              </w:rPr>
              <w:t>111</w:t>
            </w:r>
          </w:p>
        </w:tc>
      </w:tr>
      <w:tr w:rsidR="00C91118" w:rsidRPr="00980E7B" w14:paraId="01FBC364" w14:textId="77777777" w:rsidTr="00D94B82">
        <w:trPr>
          <w:trHeight w:val="255"/>
        </w:trPr>
        <w:tc>
          <w:tcPr>
            <w:tcW w:w="1365" w:type="dxa"/>
            <w:noWrap/>
            <w:vAlign w:val="bottom"/>
            <w:hideMark/>
          </w:tcPr>
          <w:p w14:paraId="2C5FFF73"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Glider</w:t>
            </w:r>
          </w:p>
        </w:tc>
        <w:tc>
          <w:tcPr>
            <w:tcW w:w="2416" w:type="dxa"/>
            <w:noWrap/>
            <w:vAlign w:val="bottom"/>
            <w:hideMark/>
          </w:tcPr>
          <w:p w14:paraId="79D7B6BD" w14:textId="77777777" w:rsidR="00C91118" w:rsidRPr="00980E7B" w:rsidRDefault="00C91118" w:rsidP="00C91118">
            <w:pPr>
              <w:keepNext/>
              <w:spacing w:before="80" w:after="80"/>
              <w:rPr>
                <w:rFonts w:ascii="Arial Narrow" w:hAnsi="Arial Narrow"/>
                <w:b/>
                <w:sz w:val="20"/>
              </w:rPr>
            </w:pPr>
            <w:r w:rsidRPr="00980E7B">
              <w:rPr>
                <w:rFonts w:ascii="Arial Narrow" w:hAnsi="Arial Narrow"/>
                <w:b/>
                <w:sz w:val="20"/>
              </w:rPr>
              <w:t>Glider pilot</w:t>
            </w:r>
            <w:r w:rsidRPr="00980E7B">
              <w:rPr>
                <w:rFonts w:ascii="Arial Narrow" w:hAnsi="Arial Narrow"/>
                <w:b/>
                <w:sz w:val="20"/>
                <w:vertAlign w:val="superscript"/>
              </w:rPr>
              <w:t>b</w:t>
            </w:r>
          </w:p>
        </w:tc>
        <w:tc>
          <w:tcPr>
            <w:tcW w:w="1225" w:type="dxa"/>
            <w:noWrap/>
          </w:tcPr>
          <w:p w14:paraId="638A7A4D" w14:textId="77777777" w:rsidR="00C91118" w:rsidRPr="00980E7B" w:rsidRDefault="00C91118" w:rsidP="00C91118">
            <w:pPr>
              <w:keepNext/>
              <w:spacing w:before="80" w:after="80"/>
              <w:jc w:val="center"/>
              <w:rPr>
                <w:rFonts w:ascii="Arial Narrow" w:hAnsi="Arial Narrow"/>
                <w:b/>
                <w:sz w:val="20"/>
              </w:rPr>
            </w:pPr>
            <w:r w:rsidRPr="00980E7B">
              <w:rPr>
                <w:rFonts w:ascii="Arial Narrow" w:hAnsi="Arial Narrow"/>
                <w:sz w:val="20"/>
              </w:rPr>
              <w:t>–</w:t>
            </w:r>
          </w:p>
        </w:tc>
        <w:tc>
          <w:tcPr>
            <w:tcW w:w="1104" w:type="dxa"/>
            <w:noWrap/>
          </w:tcPr>
          <w:p w14:paraId="5282CFBC"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sz w:val="20"/>
              </w:rPr>
              <w:t>–</w:t>
            </w:r>
          </w:p>
        </w:tc>
        <w:tc>
          <w:tcPr>
            <w:tcW w:w="932" w:type="dxa"/>
            <w:noWrap/>
          </w:tcPr>
          <w:p w14:paraId="7F68517C"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22</w:t>
            </w:r>
          </w:p>
        </w:tc>
        <w:tc>
          <w:tcPr>
            <w:tcW w:w="1176" w:type="dxa"/>
            <w:noWrap/>
          </w:tcPr>
          <w:p w14:paraId="600AFB5B"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22</w:t>
            </w:r>
          </w:p>
        </w:tc>
        <w:tc>
          <w:tcPr>
            <w:tcW w:w="996" w:type="dxa"/>
            <w:noWrap/>
            <w:vAlign w:val="bottom"/>
          </w:tcPr>
          <w:p w14:paraId="2059AEE6"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18</w:t>
            </w:r>
          </w:p>
        </w:tc>
        <w:tc>
          <w:tcPr>
            <w:tcW w:w="1188" w:type="dxa"/>
            <w:noWrap/>
            <w:vAlign w:val="bottom"/>
          </w:tcPr>
          <w:p w14:paraId="2B97630E"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38</w:t>
            </w:r>
          </w:p>
        </w:tc>
        <w:tc>
          <w:tcPr>
            <w:tcW w:w="1006" w:type="dxa"/>
            <w:noWrap/>
          </w:tcPr>
          <w:p w14:paraId="69BFDE16"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11</w:t>
            </w:r>
          </w:p>
        </w:tc>
        <w:tc>
          <w:tcPr>
            <w:tcW w:w="1190" w:type="dxa"/>
            <w:noWrap/>
          </w:tcPr>
          <w:p w14:paraId="00B7CF35"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43</w:t>
            </w:r>
          </w:p>
        </w:tc>
        <w:tc>
          <w:tcPr>
            <w:tcW w:w="1006" w:type="dxa"/>
            <w:noWrap/>
          </w:tcPr>
          <w:p w14:paraId="2694D63C"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7</w:t>
            </w:r>
          </w:p>
        </w:tc>
        <w:tc>
          <w:tcPr>
            <w:tcW w:w="1227" w:type="dxa"/>
            <w:noWrap/>
          </w:tcPr>
          <w:p w14:paraId="36EB7532"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48</w:t>
            </w:r>
          </w:p>
        </w:tc>
      </w:tr>
      <w:tr w:rsidR="00C91118" w:rsidRPr="00980E7B" w14:paraId="5830574E" w14:textId="77777777" w:rsidTr="00D94B82">
        <w:trPr>
          <w:trHeight w:val="255"/>
        </w:trPr>
        <w:tc>
          <w:tcPr>
            <w:tcW w:w="3781" w:type="dxa"/>
            <w:gridSpan w:val="2"/>
            <w:shd w:val="clear" w:color="auto" w:fill="F2F2F2"/>
            <w:noWrap/>
            <w:vAlign w:val="bottom"/>
            <w:hideMark/>
          </w:tcPr>
          <w:p w14:paraId="32838262"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Total initial issues and current pilots</w:t>
            </w:r>
            <w:r w:rsidRPr="00980E7B">
              <w:rPr>
                <w:rFonts w:ascii="Arial Narrow" w:hAnsi="Arial Narrow"/>
                <w:b/>
                <w:bCs/>
                <w:sz w:val="20"/>
                <w:vertAlign w:val="superscript"/>
              </w:rPr>
              <w:t>e</w:t>
            </w:r>
          </w:p>
        </w:tc>
        <w:tc>
          <w:tcPr>
            <w:tcW w:w="1225" w:type="dxa"/>
            <w:shd w:val="clear" w:color="auto" w:fill="F2F2F2"/>
            <w:noWrap/>
          </w:tcPr>
          <w:p w14:paraId="7A2DC623" w14:textId="77777777" w:rsidR="00C91118" w:rsidRPr="00980E7B" w:rsidRDefault="00C91118" w:rsidP="00C91118">
            <w:pPr>
              <w:keepNext/>
              <w:spacing w:before="80" w:after="80"/>
              <w:jc w:val="center"/>
              <w:rPr>
                <w:rFonts w:ascii="Arial Narrow" w:hAnsi="Arial Narrow"/>
                <w:b/>
                <w:bCs/>
                <w:sz w:val="20"/>
              </w:rPr>
            </w:pPr>
            <w:r w:rsidRPr="00980E7B">
              <w:rPr>
                <w:rFonts w:ascii="Arial Narrow" w:hAnsi="Arial Narrow"/>
                <w:b/>
                <w:bCs/>
                <w:sz w:val="20"/>
              </w:rPr>
              <w:t>6,912</w:t>
            </w:r>
          </w:p>
        </w:tc>
        <w:tc>
          <w:tcPr>
            <w:tcW w:w="1104" w:type="dxa"/>
            <w:shd w:val="clear" w:color="auto" w:fill="F2F2F2"/>
            <w:noWrap/>
          </w:tcPr>
          <w:p w14:paraId="49172A12"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36,086</w:t>
            </w:r>
          </w:p>
        </w:tc>
        <w:tc>
          <w:tcPr>
            <w:tcW w:w="932" w:type="dxa"/>
            <w:shd w:val="clear" w:color="auto" w:fill="F2F2F2"/>
            <w:noWrap/>
          </w:tcPr>
          <w:p w14:paraId="18B5CA09"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4,085</w:t>
            </w:r>
          </w:p>
        </w:tc>
        <w:tc>
          <w:tcPr>
            <w:tcW w:w="1176" w:type="dxa"/>
            <w:shd w:val="clear" w:color="auto" w:fill="F2F2F2"/>
            <w:noWrap/>
          </w:tcPr>
          <w:p w14:paraId="1114786A"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30,830</w:t>
            </w:r>
          </w:p>
        </w:tc>
        <w:tc>
          <w:tcPr>
            <w:tcW w:w="996" w:type="dxa"/>
            <w:shd w:val="clear" w:color="auto" w:fill="F2F2F2"/>
            <w:noWrap/>
          </w:tcPr>
          <w:p w14:paraId="595C3660"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3,836</w:t>
            </w:r>
          </w:p>
        </w:tc>
        <w:tc>
          <w:tcPr>
            <w:tcW w:w="1188" w:type="dxa"/>
            <w:shd w:val="clear" w:color="auto" w:fill="F2F2F2"/>
            <w:noWrap/>
          </w:tcPr>
          <w:p w14:paraId="419EDFBC"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30,562</w:t>
            </w:r>
          </w:p>
        </w:tc>
        <w:tc>
          <w:tcPr>
            <w:tcW w:w="1006" w:type="dxa"/>
            <w:shd w:val="clear" w:color="auto" w:fill="F2F2F2"/>
            <w:noWrap/>
          </w:tcPr>
          <w:p w14:paraId="06FA077E"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3,866</w:t>
            </w:r>
          </w:p>
        </w:tc>
        <w:tc>
          <w:tcPr>
            <w:tcW w:w="1190" w:type="dxa"/>
            <w:shd w:val="clear" w:color="auto" w:fill="F2F2F2"/>
            <w:noWrap/>
          </w:tcPr>
          <w:p w14:paraId="40FE183B"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31,111</w:t>
            </w:r>
          </w:p>
        </w:tc>
        <w:tc>
          <w:tcPr>
            <w:tcW w:w="1006" w:type="dxa"/>
            <w:shd w:val="clear" w:color="auto" w:fill="F2F2F2"/>
            <w:noWrap/>
          </w:tcPr>
          <w:p w14:paraId="6EF476C2"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3,720</w:t>
            </w:r>
          </w:p>
        </w:tc>
        <w:tc>
          <w:tcPr>
            <w:tcW w:w="1227" w:type="dxa"/>
            <w:shd w:val="clear" w:color="auto" w:fill="F2F2F2"/>
            <w:noWrap/>
          </w:tcPr>
          <w:p w14:paraId="337CDCD3"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31,145</w:t>
            </w:r>
          </w:p>
        </w:tc>
      </w:tr>
      <w:tr w:rsidR="00C91118" w:rsidRPr="00980E7B" w14:paraId="0AD5EF5A" w14:textId="77777777" w:rsidTr="00D94B82">
        <w:trPr>
          <w:trHeight w:val="255"/>
        </w:trPr>
        <w:tc>
          <w:tcPr>
            <w:tcW w:w="3781" w:type="dxa"/>
            <w:gridSpan w:val="2"/>
            <w:shd w:val="clear" w:color="auto" w:fill="F2F2F2"/>
            <w:noWrap/>
            <w:vAlign w:val="bottom"/>
            <w:hideMark/>
          </w:tcPr>
          <w:p w14:paraId="51921E35" w14:textId="77777777" w:rsidR="00C91118" w:rsidRPr="00980E7B" w:rsidRDefault="00C91118" w:rsidP="00C91118">
            <w:pPr>
              <w:keepNext/>
              <w:spacing w:before="80" w:after="80"/>
              <w:rPr>
                <w:rFonts w:ascii="Arial Narrow" w:hAnsi="Arial Narrow"/>
                <w:sz w:val="20"/>
              </w:rPr>
            </w:pPr>
            <w:r w:rsidRPr="00E90B25">
              <w:rPr>
                <w:rFonts w:ascii="Arial Narrow" w:hAnsi="Arial Narrow"/>
                <w:b/>
                <w:i/>
                <w:sz w:val="20"/>
              </w:rPr>
              <w:t>Flight engineers</w:t>
            </w:r>
          </w:p>
        </w:tc>
        <w:tc>
          <w:tcPr>
            <w:tcW w:w="1225" w:type="dxa"/>
            <w:shd w:val="clear" w:color="auto" w:fill="F2F2F2"/>
            <w:noWrap/>
            <w:vAlign w:val="bottom"/>
          </w:tcPr>
          <w:p w14:paraId="6D9DAD0B" w14:textId="77777777" w:rsidR="00C91118" w:rsidRPr="00980E7B" w:rsidRDefault="00C91118" w:rsidP="00C91118">
            <w:pPr>
              <w:keepNext/>
              <w:spacing w:before="80" w:after="80"/>
              <w:rPr>
                <w:rFonts w:ascii="Arial Narrow" w:hAnsi="Arial Narrow"/>
                <w:sz w:val="20"/>
              </w:rPr>
            </w:pPr>
          </w:p>
        </w:tc>
        <w:tc>
          <w:tcPr>
            <w:tcW w:w="1104" w:type="dxa"/>
            <w:shd w:val="clear" w:color="auto" w:fill="F2F2F2"/>
            <w:noWrap/>
            <w:vAlign w:val="bottom"/>
          </w:tcPr>
          <w:p w14:paraId="55047E60" w14:textId="77777777" w:rsidR="00C91118" w:rsidRPr="00980E7B" w:rsidRDefault="00C91118" w:rsidP="00C91118">
            <w:pPr>
              <w:keepNext/>
              <w:spacing w:before="80" w:after="80"/>
              <w:rPr>
                <w:rFonts w:ascii="Arial Narrow" w:hAnsi="Arial Narrow"/>
                <w:sz w:val="20"/>
              </w:rPr>
            </w:pPr>
          </w:p>
        </w:tc>
        <w:tc>
          <w:tcPr>
            <w:tcW w:w="932" w:type="dxa"/>
            <w:shd w:val="clear" w:color="auto" w:fill="F2F2F2"/>
            <w:noWrap/>
            <w:vAlign w:val="bottom"/>
            <w:hideMark/>
          </w:tcPr>
          <w:p w14:paraId="2870FAA0" w14:textId="77777777" w:rsidR="00C91118" w:rsidRPr="00980E7B" w:rsidRDefault="00C91118" w:rsidP="00C91118">
            <w:pPr>
              <w:keepNext/>
              <w:spacing w:before="80" w:after="80"/>
              <w:rPr>
                <w:rFonts w:ascii="Arial Narrow" w:hAnsi="Arial Narrow"/>
                <w:sz w:val="20"/>
              </w:rPr>
            </w:pPr>
          </w:p>
        </w:tc>
        <w:tc>
          <w:tcPr>
            <w:tcW w:w="1176" w:type="dxa"/>
            <w:shd w:val="clear" w:color="auto" w:fill="F2F2F2"/>
            <w:noWrap/>
            <w:vAlign w:val="bottom"/>
            <w:hideMark/>
          </w:tcPr>
          <w:p w14:paraId="114B861F" w14:textId="77777777" w:rsidR="00C91118" w:rsidRPr="00980E7B" w:rsidRDefault="00C91118" w:rsidP="00C91118">
            <w:pPr>
              <w:keepNext/>
              <w:spacing w:before="80" w:after="80"/>
              <w:rPr>
                <w:rFonts w:ascii="Arial Narrow" w:hAnsi="Arial Narrow"/>
                <w:sz w:val="20"/>
              </w:rPr>
            </w:pPr>
          </w:p>
        </w:tc>
        <w:tc>
          <w:tcPr>
            <w:tcW w:w="996" w:type="dxa"/>
            <w:shd w:val="clear" w:color="auto" w:fill="F2F2F2"/>
            <w:noWrap/>
            <w:vAlign w:val="bottom"/>
            <w:hideMark/>
          </w:tcPr>
          <w:p w14:paraId="19651D5E" w14:textId="77777777" w:rsidR="00C91118" w:rsidRPr="00980E7B" w:rsidRDefault="00C91118" w:rsidP="00C91118">
            <w:pPr>
              <w:keepNext/>
              <w:spacing w:before="80" w:after="80"/>
              <w:rPr>
                <w:rFonts w:ascii="Arial Narrow" w:hAnsi="Arial Narrow"/>
                <w:sz w:val="20"/>
              </w:rPr>
            </w:pPr>
          </w:p>
        </w:tc>
        <w:tc>
          <w:tcPr>
            <w:tcW w:w="1188" w:type="dxa"/>
            <w:shd w:val="clear" w:color="auto" w:fill="F2F2F2"/>
            <w:noWrap/>
            <w:vAlign w:val="bottom"/>
            <w:hideMark/>
          </w:tcPr>
          <w:p w14:paraId="57246B46" w14:textId="77777777" w:rsidR="00C91118" w:rsidRPr="00980E7B" w:rsidRDefault="00C91118" w:rsidP="00C91118">
            <w:pPr>
              <w:keepNext/>
              <w:spacing w:before="80" w:after="80"/>
              <w:rPr>
                <w:rFonts w:ascii="Arial Narrow" w:hAnsi="Arial Narrow"/>
                <w:sz w:val="20"/>
              </w:rPr>
            </w:pPr>
          </w:p>
        </w:tc>
        <w:tc>
          <w:tcPr>
            <w:tcW w:w="1006" w:type="dxa"/>
            <w:shd w:val="clear" w:color="auto" w:fill="F2F2F2"/>
            <w:noWrap/>
            <w:vAlign w:val="bottom"/>
            <w:hideMark/>
          </w:tcPr>
          <w:p w14:paraId="2B344B40" w14:textId="77777777" w:rsidR="00C91118" w:rsidRPr="00980E7B" w:rsidRDefault="00C91118" w:rsidP="00C91118">
            <w:pPr>
              <w:keepNext/>
              <w:spacing w:before="80" w:after="80"/>
              <w:rPr>
                <w:rFonts w:ascii="Arial Narrow" w:hAnsi="Arial Narrow"/>
                <w:sz w:val="20"/>
              </w:rPr>
            </w:pPr>
          </w:p>
        </w:tc>
        <w:tc>
          <w:tcPr>
            <w:tcW w:w="1190" w:type="dxa"/>
            <w:shd w:val="clear" w:color="auto" w:fill="F2F2F2"/>
            <w:noWrap/>
            <w:vAlign w:val="bottom"/>
            <w:hideMark/>
          </w:tcPr>
          <w:p w14:paraId="1037A288" w14:textId="77777777" w:rsidR="00C91118" w:rsidRPr="00980E7B" w:rsidRDefault="00C91118" w:rsidP="00C91118">
            <w:pPr>
              <w:keepNext/>
              <w:spacing w:before="80" w:after="80"/>
              <w:rPr>
                <w:rFonts w:ascii="Arial Narrow" w:hAnsi="Arial Narrow"/>
                <w:sz w:val="20"/>
              </w:rPr>
            </w:pPr>
          </w:p>
        </w:tc>
        <w:tc>
          <w:tcPr>
            <w:tcW w:w="1006" w:type="dxa"/>
            <w:shd w:val="clear" w:color="auto" w:fill="F2F2F2"/>
            <w:noWrap/>
            <w:vAlign w:val="bottom"/>
            <w:hideMark/>
          </w:tcPr>
          <w:p w14:paraId="4162EB6F" w14:textId="77777777" w:rsidR="00C91118" w:rsidRPr="00980E7B" w:rsidRDefault="00C91118" w:rsidP="00C91118">
            <w:pPr>
              <w:keepNext/>
              <w:spacing w:before="80" w:after="80"/>
              <w:rPr>
                <w:rFonts w:ascii="Arial Narrow" w:hAnsi="Arial Narrow"/>
                <w:sz w:val="20"/>
              </w:rPr>
            </w:pPr>
          </w:p>
        </w:tc>
        <w:tc>
          <w:tcPr>
            <w:tcW w:w="1227" w:type="dxa"/>
            <w:shd w:val="clear" w:color="auto" w:fill="F2F2F2"/>
            <w:noWrap/>
            <w:vAlign w:val="bottom"/>
            <w:hideMark/>
          </w:tcPr>
          <w:p w14:paraId="0AEEEBBA" w14:textId="77777777" w:rsidR="00C91118" w:rsidRPr="00980E7B" w:rsidRDefault="00C91118" w:rsidP="00C91118">
            <w:pPr>
              <w:keepNext/>
              <w:spacing w:before="80" w:after="80"/>
              <w:rPr>
                <w:rFonts w:ascii="Arial Narrow" w:hAnsi="Arial Narrow"/>
                <w:sz w:val="20"/>
              </w:rPr>
            </w:pPr>
          </w:p>
        </w:tc>
      </w:tr>
      <w:tr w:rsidR="00C91118" w:rsidRPr="00980E7B" w14:paraId="6BE76D0A" w14:textId="77777777" w:rsidTr="00D94B82">
        <w:trPr>
          <w:trHeight w:val="255"/>
        </w:trPr>
        <w:tc>
          <w:tcPr>
            <w:tcW w:w="1365" w:type="dxa"/>
            <w:noWrap/>
            <w:vAlign w:val="bottom"/>
            <w:hideMark/>
          </w:tcPr>
          <w:p w14:paraId="4C4C0CB0"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All</w:t>
            </w:r>
          </w:p>
        </w:tc>
        <w:tc>
          <w:tcPr>
            <w:tcW w:w="2416" w:type="dxa"/>
            <w:noWrap/>
            <w:vAlign w:val="bottom"/>
            <w:hideMark/>
          </w:tcPr>
          <w:p w14:paraId="1C8F903C"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 xml:space="preserve">Flight engineer </w:t>
            </w:r>
          </w:p>
        </w:tc>
        <w:tc>
          <w:tcPr>
            <w:tcW w:w="1225" w:type="dxa"/>
            <w:noWrap/>
          </w:tcPr>
          <w:p w14:paraId="4A9D0E89" w14:textId="77777777" w:rsidR="00C91118" w:rsidRPr="00980E7B" w:rsidRDefault="00C91118" w:rsidP="00C91118">
            <w:pPr>
              <w:pStyle w:val="ListParagraph"/>
              <w:keepNext/>
              <w:spacing w:before="80" w:after="80"/>
              <w:rPr>
                <w:rFonts w:ascii="Arial Narrow" w:eastAsia="Calibri" w:hAnsi="Arial Narrow"/>
                <w:sz w:val="20"/>
                <w:szCs w:val="20"/>
              </w:rPr>
            </w:pPr>
            <w:r w:rsidRPr="00980E7B">
              <w:rPr>
                <w:rFonts w:ascii="Arial Narrow" w:eastAsia="Calibri" w:hAnsi="Arial Narrow"/>
                <w:sz w:val="20"/>
                <w:szCs w:val="20"/>
              </w:rPr>
              <w:t>–</w:t>
            </w:r>
          </w:p>
        </w:tc>
        <w:tc>
          <w:tcPr>
            <w:tcW w:w="1104" w:type="dxa"/>
            <w:noWrap/>
          </w:tcPr>
          <w:p w14:paraId="06437537"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97</w:t>
            </w:r>
          </w:p>
        </w:tc>
        <w:tc>
          <w:tcPr>
            <w:tcW w:w="932" w:type="dxa"/>
            <w:noWrap/>
            <w:hideMark/>
          </w:tcPr>
          <w:p w14:paraId="64F4717B"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w:t>
            </w:r>
          </w:p>
        </w:tc>
        <w:tc>
          <w:tcPr>
            <w:tcW w:w="1176" w:type="dxa"/>
            <w:noWrap/>
            <w:vAlign w:val="bottom"/>
          </w:tcPr>
          <w:p w14:paraId="10B265D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88</w:t>
            </w:r>
          </w:p>
        </w:tc>
        <w:tc>
          <w:tcPr>
            <w:tcW w:w="996" w:type="dxa"/>
            <w:noWrap/>
            <w:vAlign w:val="bottom"/>
          </w:tcPr>
          <w:p w14:paraId="26FA6B29"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1</w:t>
            </w:r>
          </w:p>
        </w:tc>
        <w:tc>
          <w:tcPr>
            <w:tcW w:w="1188" w:type="dxa"/>
            <w:noWrap/>
          </w:tcPr>
          <w:p w14:paraId="6FEDCD3F"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82</w:t>
            </w:r>
          </w:p>
        </w:tc>
        <w:tc>
          <w:tcPr>
            <w:tcW w:w="1006" w:type="dxa"/>
            <w:noWrap/>
          </w:tcPr>
          <w:p w14:paraId="10E7E36C"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190" w:type="dxa"/>
            <w:noWrap/>
            <w:vAlign w:val="bottom"/>
          </w:tcPr>
          <w:p w14:paraId="2B0C71B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75</w:t>
            </w:r>
          </w:p>
        </w:tc>
        <w:tc>
          <w:tcPr>
            <w:tcW w:w="1006" w:type="dxa"/>
            <w:noWrap/>
          </w:tcPr>
          <w:p w14:paraId="17724368"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227" w:type="dxa"/>
            <w:noWrap/>
          </w:tcPr>
          <w:p w14:paraId="1590B7CA"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70</w:t>
            </w:r>
          </w:p>
        </w:tc>
      </w:tr>
      <w:tr w:rsidR="00C91118" w:rsidRPr="00980E7B" w14:paraId="46E7BF92" w14:textId="77777777" w:rsidTr="00D94B82">
        <w:trPr>
          <w:trHeight w:val="255"/>
        </w:trPr>
        <w:tc>
          <w:tcPr>
            <w:tcW w:w="1365" w:type="dxa"/>
            <w:noWrap/>
            <w:vAlign w:val="bottom"/>
            <w:hideMark/>
          </w:tcPr>
          <w:p w14:paraId="284EFC5D"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Flight engineer</w:t>
            </w:r>
          </w:p>
        </w:tc>
        <w:tc>
          <w:tcPr>
            <w:tcW w:w="2416" w:type="dxa"/>
            <w:noWrap/>
            <w:vAlign w:val="bottom"/>
            <w:hideMark/>
          </w:tcPr>
          <w:p w14:paraId="79344CA1"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Restricted flight engineer</w:t>
            </w:r>
          </w:p>
        </w:tc>
        <w:tc>
          <w:tcPr>
            <w:tcW w:w="1225" w:type="dxa"/>
            <w:noWrap/>
          </w:tcPr>
          <w:p w14:paraId="666CBC5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104" w:type="dxa"/>
            <w:noWrap/>
          </w:tcPr>
          <w:p w14:paraId="748144C4"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584</w:t>
            </w:r>
          </w:p>
        </w:tc>
        <w:tc>
          <w:tcPr>
            <w:tcW w:w="932" w:type="dxa"/>
            <w:noWrap/>
            <w:hideMark/>
          </w:tcPr>
          <w:p w14:paraId="1E380F23" w14:textId="77777777" w:rsidR="00C91118" w:rsidRPr="00980E7B" w:rsidRDefault="00C91118" w:rsidP="00C91118">
            <w:pPr>
              <w:jc w:val="right"/>
            </w:pPr>
            <w:r w:rsidRPr="00980E7B">
              <w:t>–</w:t>
            </w:r>
          </w:p>
        </w:tc>
        <w:tc>
          <w:tcPr>
            <w:tcW w:w="1176" w:type="dxa"/>
            <w:noWrap/>
          </w:tcPr>
          <w:p w14:paraId="67A975F9" w14:textId="77777777" w:rsidR="00C91118" w:rsidRPr="00980E7B" w:rsidRDefault="00C91118" w:rsidP="00C91118">
            <w:pPr>
              <w:jc w:val="right"/>
            </w:pPr>
            <w:r w:rsidRPr="00980E7B">
              <w:t>–</w:t>
            </w:r>
          </w:p>
        </w:tc>
        <w:tc>
          <w:tcPr>
            <w:tcW w:w="996" w:type="dxa"/>
            <w:noWrap/>
          </w:tcPr>
          <w:p w14:paraId="6B1FBD80"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188" w:type="dxa"/>
            <w:noWrap/>
          </w:tcPr>
          <w:p w14:paraId="3BB5D4DB" w14:textId="77777777" w:rsidR="00C91118" w:rsidRPr="00980E7B" w:rsidRDefault="00C91118" w:rsidP="00C91118">
            <w:pPr>
              <w:jc w:val="right"/>
            </w:pPr>
            <w:r w:rsidRPr="00980E7B">
              <w:t>–</w:t>
            </w:r>
          </w:p>
        </w:tc>
        <w:tc>
          <w:tcPr>
            <w:tcW w:w="1006" w:type="dxa"/>
            <w:noWrap/>
          </w:tcPr>
          <w:p w14:paraId="49B3AB0D" w14:textId="77777777" w:rsidR="00C91118" w:rsidRPr="00980E7B" w:rsidRDefault="00C91118" w:rsidP="00C91118">
            <w:pPr>
              <w:jc w:val="right"/>
            </w:pPr>
            <w:r w:rsidRPr="00980E7B">
              <w:t>–</w:t>
            </w:r>
          </w:p>
        </w:tc>
        <w:tc>
          <w:tcPr>
            <w:tcW w:w="1190" w:type="dxa"/>
            <w:noWrap/>
          </w:tcPr>
          <w:p w14:paraId="0CB5F53B"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006" w:type="dxa"/>
            <w:noWrap/>
          </w:tcPr>
          <w:p w14:paraId="3B8D944D" w14:textId="77777777" w:rsidR="00C91118" w:rsidRPr="00980E7B" w:rsidRDefault="00C91118" w:rsidP="00C91118">
            <w:pPr>
              <w:jc w:val="right"/>
            </w:pPr>
            <w:r w:rsidRPr="00980E7B">
              <w:rPr>
                <w:rFonts w:ascii="Arial Narrow" w:hAnsi="Arial Narrow"/>
                <w:sz w:val="20"/>
              </w:rPr>
              <w:t>–</w:t>
            </w:r>
          </w:p>
        </w:tc>
        <w:tc>
          <w:tcPr>
            <w:tcW w:w="1227" w:type="dxa"/>
            <w:noWrap/>
          </w:tcPr>
          <w:p w14:paraId="417F2CD5" w14:textId="77777777" w:rsidR="00C91118" w:rsidRPr="00980E7B" w:rsidRDefault="00C91118" w:rsidP="00C91118">
            <w:pPr>
              <w:jc w:val="right"/>
            </w:pPr>
            <w:r w:rsidRPr="00980E7B">
              <w:rPr>
                <w:rFonts w:ascii="Arial Narrow" w:hAnsi="Arial Narrow"/>
                <w:sz w:val="20"/>
              </w:rPr>
              <w:t>–</w:t>
            </w:r>
          </w:p>
        </w:tc>
      </w:tr>
      <w:tr w:rsidR="00C91118" w:rsidRPr="00980E7B" w14:paraId="021257F2" w14:textId="77777777" w:rsidTr="00D94B82">
        <w:trPr>
          <w:trHeight w:val="255"/>
        </w:trPr>
        <w:tc>
          <w:tcPr>
            <w:tcW w:w="1365" w:type="dxa"/>
            <w:noWrap/>
            <w:vAlign w:val="bottom"/>
            <w:hideMark/>
          </w:tcPr>
          <w:p w14:paraId="43AD15DC"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Flight engineer</w:t>
            </w:r>
          </w:p>
        </w:tc>
        <w:tc>
          <w:tcPr>
            <w:tcW w:w="2416" w:type="dxa"/>
            <w:noWrap/>
            <w:vAlign w:val="bottom"/>
            <w:hideMark/>
          </w:tcPr>
          <w:p w14:paraId="622C803F" w14:textId="77777777" w:rsidR="00C91118" w:rsidRPr="00980E7B" w:rsidRDefault="00C91118" w:rsidP="00C91118">
            <w:pPr>
              <w:keepNext/>
              <w:spacing w:before="80" w:after="80"/>
              <w:rPr>
                <w:rFonts w:ascii="Arial Narrow" w:hAnsi="Arial Narrow"/>
                <w:sz w:val="20"/>
              </w:rPr>
            </w:pPr>
            <w:r w:rsidRPr="00980E7B">
              <w:rPr>
                <w:rFonts w:ascii="Arial Narrow" w:hAnsi="Arial Narrow"/>
                <w:sz w:val="20"/>
              </w:rPr>
              <w:t>Student flight engineer</w:t>
            </w:r>
          </w:p>
        </w:tc>
        <w:tc>
          <w:tcPr>
            <w:tcW w:w="1225" w:type="dxa"/>
            <w:noWrap/>
          </w:tcPr>
          <w:p w14:paraId="6040DD3B"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104" w:type="dxa"/>
            <w:noWrap/>
          </w:tcPr>
          <w:p w14:paraId="3374134D"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9</w:t>
            </w:r>
          </w:p>
        </w:tc>
        <w:tc>
          <w:tcPr>
            <w:tcW w:w="932" w:type="dxa"/>
            <w:noWrap/>
            <w:hideMark/>
          </w:tcPr>
          <w:p w14:paraId="071535E9" w14:textId="77777777" w:rsidR="00C91118" w:rsidRPr="00980E7B" w:rsidRDefault="00C91118" w:rsidP="00C91118">
            <w:pPr>
              <w:jc w:val="right"/>
            </w:pPr>
            <w:r w:rsidRPr="00980E7B">
              <w:t>–</w:t>
            </w:r>
          </w:p>
        </w:tc>
        <w:tc>
          <w:tcPr>
            <w:tcW w:w="1176" w:type="dxa"/>
            <w:noWrap/>
          </w:tcPr>
          <w:p w14:paraId="53C1E351" w14:textId="77777777" w:rsidR="00C91118" w:rsidRPr="00980E7B" w:rsidRDefault="00C91118" w:rsidP="00C91118">
            <w:pPr>
              <w:jc w:val="right"/>
            </w:pPr>
            <w:r w:rsidRPr="00980E7B">
              <w:t>–</w:t>
            </w:r>
          </w:p>
        </w:tc>
        <w:tc>
          <w:tcPr>
            <w:tcW w:w="996" w:type="dxa"/>
            <w:noWrap/>
          </w:tcPr>
          <w:p w14:paraId="503A72B1"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188" w:type="dxa"/>
            <w:noWrap/>
          </w:tcPr>
          <w:p w14:paraId="6D4EC917" w14:textId="77777777" w:rsidR="00C91118" w:rsidRPr="00980E7B" w:rsidRDefault="00C91118" w:rsidP="00C91118">
            <w:pPr>
              <w:jc w:val="right"/>
            </w:pPr>
            <w:r w:rsidRPr="00980E7B">
              <w:t>–</w:t>
            </w:r>
          </w:p>
        </w:tc>
        <w:tc>
          <w:tcPr>
            <w:tcW w:w="1006" w:type="dxa"/>
            <w:noWrap/>
          </w:tcPr>
          <w:p w14:paraId="02855A91" w14:textId="77777777" w:rsidR="00C91118" w:rsidRPr="00980E7B" w:rsidRDefault="00C91118" w:rsidP="00C91118">
            <w:pPr>
              <w:jc w:val="right"/>
            </w:pPr>
            <w:r w:rsidRPr="00980E7B">
              <w:t>–</w:t>
            </w:r>
          </w:p>
        </w:tc>
        <w:tc>
          <w:tcPr>
            <w:tcW w:w="1190" w:type="dxa"/>
            <w:noWrap/>
          </w:tcPr>
          <w:p w14:paraId="50F00CAB" w14:textId="77777777" w:rsidR="00C91118" w:rsidRPr="00980E7B" w:rsidRDefault="00C91118" w:rsidP="00C91118">
            <w:pPr>
              <w:keepNext/>
              <w:spacing w:before="80" w:after="80"/>
              <w:jc w:val="right"/>
              <w:rPr>
                <w:rFonts w:ascii="Arial Narrow" w:hAnsi="Arial Narrow"/>
                <w:sz w:val="20"/>
              </w:rPr>
            </w:pPr>
            <w:r w:rsidRPr="00980E7B">
              <w:rPr>
                <w:rFonts w:ascii="Arial Narrow" w:hAnsi="Arial Narrow"/>
                <w:sz w:val="20"/>
              </w:rPr>
              <w:t>–</w:t>
            </w:r>
          </w:p>
        </w:tc>
        <w:tc>
          <w:tcPr>
            <w:tcW w:w="1006" w:type="dxa"/>
            <w:noWrap/>
          </w:tcPr>
          <w:p w14:paraId="2422EB78" w14:textId="77777777" w:rsidR="00C91118" w:rsidRPr="00980E7B" w:rsidRDefault="00C91118" w:rsidP="00C91118">
            <w:pPr>
              <w:jc w:val="right"/>
            </w:pPr>
            <w:r w:rsidRPr="00980E7B">
              <w:rPr>
                <w:rFonts w:ascii="Arial Narrow" w:hAnsi="Arial Narrow"/>
                <w:sz w:val="20"/>
              </w:rPr>
              <w:t>–</w:t>
            </w:r>
          </w:p>
        </w:tc>
        <w:tc>
          <w:tcPr>
            <w:tcW w:w="1227" w:type="dxa"/>
            <w:noWrap/>
          </w:tcPr>
          <w:p w14:paraId="6AB021EC" w14:textId="77777777" w:rsidR="00C91118" w:rsidRPr="00980E7B" w:rsidRDefault="00C91118" w:rsidP="00C91118">
            <w:pPr>
              <w:jc w:val="right"/>
            </w:pPr>
            <w:r w:rsidRPr="00980E7B">
              <w:rPr>
                <w:rFonts w:ascii="Arial Narrow" w:hAnsi="Arial Narrow"/>
                <w:sz w:val="20"/>
              </w:rPr>
              <w:t>–</w:t>
            </w:r>
          </w:p>
        </w:tc>
      </w:tr>
      <w:tr w:rsidR="00C91118" w:rsidRPr="00980E7B" w14:paraId="08493A0D" w14:textId="77777777" w:rsidTr="00D94B82">
        <w:trPr>
          <w:trHeight w:val="255"/>
        </w:trPr>
        <w:tc>
          <w:tcPr>
            <w:tcW w:w="3781" w:type="dxa"/>
            <w:gridSpan w:val="2"/>
            <w:shd w:val="clear" w:color="auto" w:fill="F2F2F2"/>
            <w:noWrap/>
            <w:vAlign w:val="bottom"/>
            <w:hideMark/>
          </w:tcPr>
          <w:p w14:paraId="14C48009" w14:textId="77777777" w:rsidR="00C91118" w:rsidRPr="00980E7B" w:rsidRDefault="00C91118" w:rsidP="00C91118">
            <w:pPr>
              <w:keepNext/>
              <w:spacing w:before="80" w:after="80"/>
              <w:rPr>
                <w:rFonts w:ascii="Arial Narrow" w:hAnsi="Arial Narrow"/>
                <w:b/>
                <w:bCs/>
                <w:sz w:val="20"/>
              </w:rPr>
            </w:pPr>
            <w:r w:rsidRPr="00980E7B">
              <w:rPr>
                <w:rFonts w:ascii="Arial Narrow" w:hAnsi="Arial Narrow"/>
                <w:b/>
                <w:bCs/>
                <w:sz w:val="20"/>
              </w:rPr>
              <w:t>Total initial issues and current flight engineers </w:t>
            </w:r>
          </w:p>
        </w:tc>
        <w:tc>
          <w:tcPr>
            <w:tcW w:w="1225" w:type="dxa"/>
            <w:shd w:val="clear" w:color="auto" w:fill="F2F2F2"/>
            <w:noWrap/>
          </w:tcPr>
          <w:p w14:paraId="517097B0"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w:t>
            </w:r>
          </w:p>
        </w:tc>
        <w:tc>
          <w:tcPr>
            <w:tcW w:w="1104" w:type="dxa"/>
            <w:shd w:val="clear" w:color="auto" w:fill="F2F2F2"/>
            <w:noWrap/>
          </w:tcPr>
          <w:p w14:paraId="6778112E"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690</w:t>
            </w:r>
          </w:p>
        </w:tc>
        <w:tc>
          <w:tcPr>
            <w:tcW w:w="932" w:type="dxa"/>
            <w:shd w:val="clear" w:color="auto" w:fill="F2F2F2"/>
            <w:noWrap/>
            <w:hideMark/>
          </w:tcPr>
          <w:p w14:paraId="0437EE2D"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1</w:t>
            </w:r>
          </w:p>
        </w:tc>
        <w:tc>
          <w:tcPr>
            <w:tcW w:w="1176" w:type="dxa"/>
            <w:shd w:val="clear" w:color="auto" w:fill="F2F2F2"/>
            <w:noWrap/>
          </w:tcPr>
          <w:p w14:paraId="70B8ED5E"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88</w:t>
            </w:r>
          </w:p>
        </w:tc>
        <w:tc>
          <w:tcPr>
            <w:tcW w:w="996" w:type="dxa"/>
            <w:shd w:val="clear" w:color="auto" w:fill="F2F2F2"/>
            <w:noWrap/>
          </w:tcPr>
          <w:p w14:paraId="017711C2" w14:textId="77777777" w:rsidR="00C91118" w:rsidRPr="00980E7B" w:rsidRDefault="00C91118" w:rsidP="00C91118">
            <w:pPr>
              <w:keepNext/>
              <w:spacing w:before="80" w:after="80"/>
              <w:jc w:val="right"/>
              <w:rPr>
                <w:rFonts w:ascii="Arial Narrow" w:hAnsi="Arial Narrow"/>
                <w:b/>
                <w:sz w:val="20"/>
              </w:rPr>
            </w:pPr>
            <w:r w:rsidRPr="00980E7B">
              <w:rPr>
                <w:rFonts w:ascii="Arial Narrow" w:hAnsi="Arial Narrow"/>
                <w:b/>
                <w:sz w:val="20"/>
              </w:rPr>
              <w:t>1</w:t>
            </w:r>
          </w:p>
        </w:tc>
        <w:tc>
          <w:tcPr>
            <w:tcW w:w="1188" w:type="dxa"/>
            <w:shd w:val="clear" w:color="auto" w:fill="F2F2F2"/>
            <w:noWrap/>
          </w:tcPr>
          <w:p w14:paraId="4FF0F473"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82</w:t>
            </w:r>
          </w:p>
        </w:tc>
        <w:tc>
          <w:tcPr>
            <w:tcW w:w="1006" w:type="dxa"/>
            <w:shd w:val="clear" w:color="auto" w:fill="F2F2F2"/>
            <w:noWrap/>
          </w:tcPr>
          <w:p w14:paraId="69DEC9BA"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sz w:val="20"/>
              </w:rPr>
              <w:t>–</w:t>
            </w:r>
          </w:p>
        </w:tc>
        <w:tc>
          <w:tcPr>
            <w:tcW w:w="1190" w:type="dxa"/>
            <w:shd w:val="clear" w:color="auto" w:fill="F2F2F2"/>
            <w:noWrap/>
          </w:tcPr>
          <w:p w14:paraId="22EDC3BB"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75</w:t>
            </w:r>
          </w:p>
        </w:tc>
        <w:tc>
          <w:tcPr>
            <w:tcW w:w="1006" w:type="dxa"/>
            <w:shd w:val="clear" w:color="auto" w:fill="F2F2F2"/>
            <w:noWrap/>
          </w:tcPr>
          <w:p w14:paraId="167AAAA3"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0</w:t>
            </w:r>
          </w:p>
        </w:tc>
        <w:tc>
          <w:tcPr>
            <w:tcW w:w="1227" w:type="dxa"/>
            <w:shd w:val="clear" w:color="auto" w:fill="F2F2F2"/>
            <w:noWrap/>
          </w:tcPr>
          <w:p w14:paraId="7AF0F08D" w14:textId="77777777" w:rsidR="00C91118" w:rsidRPr="00980E7B" w:rsidRDefault="00C91118" w:rsidP="00C91118">
            <w:pPr>
              <w:keepNext/>
              <w:spacing w:before="80" w:after="80"/>
              <w:jc w:val="right"/>
              <w:rPr>
                <w:rFonts w:ascii="Arial Narrow" w:hAnsi="Arial Narrow"/>
                <w:b/>
                <w:bCs/>
                <w:sz w:val="20"/>
              </w:rPr>
            </w:pPr>
            <w:r w:rsidRPr="00980E7B">
              <w:rPr>
                <w:rFonts w:ascii="Arial Narrow" w:hAnsi="Arial Narrow"/>
                <w:b/>
                <w:bCs/>
                <w:sz w:val="20"/>
              </w:rPr>
              <w:t>70</w:t>
            </w:r>
          </w:p>
        </w:tc>
      </w:tr>
    </w:tbl>
    <w:p w14:paraId="7C44BCB1" w14:textId="77777777" w:rsidR="00860F8E" w:rsidRPr="00007DF3" w:rsidRDefault="00860F8E" w:rsidP="00860F8E">
      <w:pPr>
        <w:keepLines/>
        <w:tabs>
          <w:tab w:val="left" w:pos="284"/>
          <w:tab w:val="left" w:pos="567"/>
        </w:tabs>
        <w:spacing w:before="60" w:after="0"/>
        <w:rPr>
          <w:rFonts w:ascii="Arial Narrow" w:hAnsi="Arial Narrow"/>
          <w:sz w:val="16"/>
        </w:rPr>
      </w:pPr>
      <w:bookmarkStart w:id="164" w:name="_Hlk519243338"/>
      <w:r w:rsidRPr="00007DF3">
        <w:rPr>
          <w:rFonts w:ascii="Arial Narrow" w:hAnsi="Arial Narrow"/>
          <w:sz w:val="16"/>
        </w:rPr>
        <w:t>n/a = not applicable</w:t>
      </w:r>
    </w:p>
    <w:p w14:paraId="7407C670" w14:textId="77777777" w:rsidR="00860F8E" w:rsidRPr="006E78EE" w:rsidRDefault="00860F8E" w:rsidP="00860F8E">
      <w:pPr>
        <w:keepLines/>
        <w:tabs>
          <w:tab w:val="left" w:pos="284"/>
          <w:tab w:val="left" w:pos="567"/>
        </w:tabs>
        <w:spacing w:before="60" w:after="0"/>
        <w:rPr>
          <w:rFonts w:ascii="Arial Narrow" w:hAnsi="Arial Narrow"/>
          <w:sz w:val="16"/>
        </w:rPr>
      </w:pPr>
      <w:r w:rsidRPr="006E78EE">
        <w:rPr>
          <w:rFonts w:ascii="Arial Narrow" w:hAnsi="Arial Narrow"/>
          <w:b/>
          <w:sz w:val="16"/>
        </w:rPr>
        <w:t>Note</w:t>
      </w:r>
      <w:r w:rsidRPr="0044040E">
        <w:rPr>
          <w:rFonts w:ascii="Arial Narrow" w:hAnsi="Arial Narrow"/>
          <w:b/>
          <w:sz w:val="16"/>
        </w:rPr>
        <w:t>:</w:t>
      </w:r>
      <w:r w:rsidRPr="006E78EE">
        <w:rPr>
          <w:rFonts w:ascii="Arial Narrow" w:hAnsi="Arial Narrow"/>
          <w:sz w:val="16"/>
        </w:rPr>
        <w:t xml:space="preserve"> Civil Aviation Safety Regulations (CASR) Part 61 was implemented on 1 September 2014, replacing Civil Aviation Regulation (CAR) 5 regulations. The calculation rules have changed for annual reports since the implementation of CASR Part 61 in 2014, to ensure consistency of figures across all years and to better reflect the numbers of each type of licence.</w:t>
      </w:r>
    </w:p>
    <w:p w14:paraId="6954A581" w14:textId="77777777" w:rsidR="00860F8E" w:rsidRPr="006E78EE" w:rsidRDefault="00860F8E" w:rsidP="00860F8E">
      <w:pPr>
        <w:keepLines/>
        <w:tabs>
          <w:tab w:val="left" w:pos="284"/>
          <w:tab w:val="left" w:pos="567"/>
        </w:tabs>
        <w:spacing w:before="60" w:after="0"/>
        <w:rPr>
          <w:rFonts w:ascii="Arial Narrow" w:hAnsi="Arial Narrow"/>
          <w:sz w:val="16"/>
        </w:rPr>
      </w:pPr>
      <w:r w:rsidRPr="006E78EE">
        <w:rPr>
          <w:rFonts w:ascii="Arial Narrow" w:hAnsi="Arial Narrow"/>
          <w:sz w:val="16"/>
        </w:rPr>
        <w:t>For current pilots, pilots are counted only once in each licence category (aeroplane, helicopter and other), against the highest licence level of privileges their medical certificate permits them to use.</w:t>
      </w:r>
    </w:p>
    <w:p w14:paraId="6F5E3893" w14:textId="77777777" w:rsidR="00860F8E" w:rsidRPr="006E78EE" w:rsidRDefault="00860F8E" w:rsidP="00860F8E">
      <w:pPr>
        <w:keepLines/>
        <w:tabs>
          <w:tab w:val="left" w:pos="284"/>
          <w:tab w:val="left" w:pos="567"/>
        </w:tabs>
        <w:spacing w:before="60" w:after="0"/>
        <w:rPr>
          <w:rFonts w:ascii="Arial Narrow" w:hAnsi="Arial Narrow"/>
          <w:sz w:val="16"/>
        </w:rPr>
      </w:pPr>
      <w:r w:rsidRPr="006E78EE">
        <w:rPr>
          <w:rFonts w:ascii="Arial Narrow" w:hAnsi="Arial Narrow"/>
          <w:sz w:val="16"/>
        </w:rPr>
        <w:t>As a result of changes to the medical records system in 2016–17, CASA has improved the accuracy of reporting on current pilots’ licence levels. A pilot is only counted as an air transport pilot if their Class 1 medical permits them to utilise the privileges of the air transport pilot licence; otherwise they will be counted as a commercial pilot. Pilots who hold an air transport or commercial licence but only have a Class 2 medical or a recreational aviation medical practitioner’s certificate will be counted as a private or recreational pilot. This new method of calculation has been applied retrospectively to results from 2014–15 and 2015–16, making them different from the results published for those years in previous annual reports.</w:t>
      </w:r>
    </w:p>
    <w:p w14:paraId="0CAD6321" w14:textId="77777777" w:rsidR="00860F8E" w:rsidRDefault="00860F8E" w:rsidP="00860F8E">
      <w:pPr>
        <w:keepLines/>
        <w:tabs>
          <w:tab w:val="left" w:pos="284"/>
          <w:tab w:val="left" w:pos="567"/>
        </w:tabs>
        <w:spacing w:before="60" w:after="0"/>
        <w:rPr>
          <w:rFonts w:ascii="Arial Narrow" w:hAnsi="Arial Narrow"/>
          <w:sz w:val="16"/>
        </w:rPr>
      </w:pPr>
      <w:r w:rsidRPr="006E78EE">
        <w:rPr>
          <w:rFonts w:ascii="Arial Narrow" w:hAnsi="Arial Narrow"/>
          <w:sz w:val="16"/>
        </w:rPr>
        <w:t>The ‘Total initial issues and current pilots’ row includes all pilots who held a minimum of a Class 2 medical each financial year. This reflects the number of pilots who were active, but not necessarily exercising the full privileges of their licence. In this row a pilot is counted only once regardless of the number of categories of licences held; therefore, the total does not equal the sum of the licence categories above it.</w:t>
      </w:r>
    </w:p>
    <w:p w14:paraId="72C0A90D" w14:textId="77777777" w:rsidR="00860F8E" w:rsidRPr="006E78EE" w:rsidRDefault="00860F8E" w:rsidP="00860F8E">
      <w:pPr>
        <w:keepLines/>
        <w:tabs>
          <w:tab w:val="left" w:pos="284"/>
          <w:tab w:val="left" w:pos="567"/>
        </w:tabs>
        <w:spacing w:before="60" w:after="0"/>
        <w:rPr>
          <w:rFonts w:ascii="Arial Narrow" w:hAnsi="Arial Narrow"/>
          <w:sz w:val="16"/>
        </w:rPr>
      </w:pPr>
    </w:p>
    <w:p w14:paraId="64223D2C" w14:textId="77777777" w:rsidR="00860F8E" w:rsidRPr="00166B52" w:rsidRDefault="00860F8E" w:rsidP="00860F8E">
      <w:pPr>
        <w:keepLines/>
        <w:tabs>
          <w:tab w:val="left" w:pos="284"/>
          <w:tab w:val="left" w:pos="567"/>
        </w:tabs>
        <w:spacing w:before="60" w:after="0"/>
        <w:ind w:left="284" w:hanging="284"/>
        <w:rPr>
          <w:rFonts w:ascii="Arial Narrow" w:hAnsi="Arial Narrow"/>
          <w:sz w:val="16"/>
          <w:szCs w:val="16"/>
        </w:rPr>
      </w:pPr>
      <w:r w:rsidRPr="001E4650">
        <w:rPr>
          <w:rFonts w:ascii="Arial Narrow" w:hAnsi="Arial Narrow"/>
          <w:sz w:val="16"/>
        </w:rPr>
        <w:t>a</w:t>
      </w:r>
      <w:r>
        <w:rPr>
          <w:rFonts w:ascii="Arial Narrow" w:hAnsi="Arial Narrow"/>
          <w:sz w:val="16"/>
        </w:rPr>
        <w:tab/>
      </w:r>
      <w:r w:rsidRPr="00166B52">
        <w:rPr>
          <w:rFonts w:ascii="Arial Narrow" w:hAnsi="Arial Narrow"/>
          <w:sz w:val="16"/>
          <w:szCs w:val="16"/>
        </w:rPr>
        <w:t>CASA EX25/18 is effective 1 March 2018 to 29 February 2020</w:t>
      </w:r>
      <w:r w:rsidRPr="00166B52">
        <w:rPr>
          <w:rFonts w:ascii="Arial Narrow" w:hAnsi="Arial Narrow"/>
          <w:sz w:val="16"/>
          <w:szCs w:val="16"/>
          <w:lang w:val="en-AU"/>
        </w:rPr>
        <w:t xml:space="preserve"> It enables a pilot holding a licence at the commercial pilot licence (CPL) level or air transport pilots licence level and a current class 2 </w:t>
      </w:r>
      <w:r w:rsidRPr="00166B52">
        <w:rPr>
          <w:rFonts w:ascii="Arial Narrow" w:hAnsi="Arial Narrow"/>
          <w:sz w:val="16"/>
          <w:szCs w:val="16"/>
        </w:rPr>
        <w:t>medical to exercise reduced CPL privileges.</w:t>
      </w:r>
    </w:p>
    <w:p w14:paraId="1091BF18" w14:textId="77777777" w:rsidR="00860F8E" w:rsidRPr="006E78EE" w:rsidRDefault="00860F8E" w:rsidP="00860F8E">
      <w:pPr>
        <w:keepLines/>
        <w:tabs>
          <w:tab w:val="left" w:pos="284"/>
          <w:tab w:val="left" w:pos="567"/>
        </w:tabs>
        <w:spacing w:before="60" w:after="0"/>
        <w:rPr>
          <w:rFonts w:ascii="Arial Narrow" w:hAnsi="Arial Narrow"/>
          <w:sz w:val="16"/>
        </w:rPr>
      </w:pPr>
      <w:r>
        <w:rPr>
          <w:rFonts w:ascii="Arial Narrow" w:hAnsi="Arial Narrow"/>
          <w:sz w:val="16"/>
        </w:rPr>
        <w:t>b</w:t>
      </w:r>
      <w:r>
        <w:rPr>
          <w:rFonts w:ascii="Arial Narrow" w:hAnsi="Arial Narrow"/>
          <w:sz w:val="16"/>
        </w:rPr>
        <w:tab/>
      </w:r>
      <w:r w:rsidRPr="006E78EE">
        <w:rPr>
          <w:rFonts w:ascii="Arial Narrow" w:hAnsi="Arial Narrow"/>
          <w:sz w:val="16"/>
        </w:rPr>
        <w:t>Recreational and glider pilot licences did not exist under the CAR 5 regulations.</w:t>
      </w:r>
    </w:p>
    <w:p w14:paraId="425CA3BB" w14:textId="77777777" w:rsidR="00860F8E" w:rsidRPr="006E78EE" w:rsidRDefault="00860F8E" w:rsidP="00860F8E">
      <w:pPr>
        <w:keepLines/>
        <w:tabs>
          <w:tab w:val="left" w:pos="284"/>
          <w:tab w:val="left" w:pos="567"/>
        </w:tabs>
        <w:spacing w:before="60" w:after="0"/>
        <w:rPr>
          <w:rFonts w:ascii="Arial Narrow" w:hAnsi="Arial Narrow"/>
          <w:sz w:val="16"/>
        </w:rPr>
      </w:pPr>
      <w:r>
        <w:rPr>
          <w:rFonts w:ascii="Arial Narrow" w:hAnsi="Arial Narrow"/>
          <w:sz w:val="16"/>
        </w:rPr>
        <w:t>c</w:t>
      </w:r>
      <w:r>
        <w:rPr>
          <w:rFonts w:ascii="Arial Narrow" w:hAnsi="Arial Narrow"/>
          <w:sz w:val="16"/>
        </w:rPr>
        <w:tab/>
      </w:r>
      <w:r w:rsidRPr="006E78EE">
        <w:rPr>
          <w:rFonts w:ascii="Arial Narrow" w:hAnsi="Arial Narrow"/>
          <w:sz w:val="16"/>
        </w:rPr>
        <w:t>These licences ceased to be valid when CASR Part 61 was implemented. Pilots holding a general flying progress test (GFPT) licence were transitioned to a recreational pilot licence on 1 September 2014.</w:t>
      </w:r>
    </w:p>
    <w:p w14:paraId="7702169F" w14:textId="77777777" w:rsidR="00860F8E" w:rsidRDefault="00860F8E" w:rsidP="00860F8E">
      <w:pPr>
        <w:keepLines/>
        <w:tabs>
          <w:tab w:val="left" w:pos="284"/>
          <w:tab w:val="left" w:pos="567"/>
        </w:tabs>
        <w:spacing w:before="60" w:after="0"/>
        <w:rPr>
          <w:rFonts w:ascii="Arial Narrow" w:hAnsi="Arial Narrow"/>
          <w:sz w:val="16"/>
        </w:rPr>
      </w:pPr>
      <w:r>
        <w:rPr>
          <w:rFonts w:ascii="Arial Narrow" w:hAnsi="Arial Narrow"/>
          <w:sz w:val="16"/>
        </w:rPr>
        <w:t>d</w:t>
      </w:r>
      <w:r>
        <w:rPr>
          <w:rFonts w:ascii="Arial Narrow" w:hAnsi="Arial Narrow"/>
          <w:sz w:val="16"/>
        </w:rPr>
        <w:tab/>
      </w:r>
      <w:r w:rsidRPr="006E78EE">
        <w:rPr>
          <w:rFonts w:ascii="Arial Narrow" w:hAnsi="Arial Narrow"/>
          <w:sz w:val="16"/>
        </w:rPr>
        <w:t>Includes balloons and airships</w:t>
      </w:r>
      <w:r>
        <w:rPr>
          <w:rFonts w:ascii="Arial Narrow" w:hAnsi="Arial Narrow"/>
          <w:sz w:val="16"/>
        </w:rPr>
        <w:t>.</w:t>
      </w:r>
    </w:p>
    <w:p w14:paraId="262ABBDD" w14:textId="77777777" w:rsidR="00860F8E" w:rsidRPr="007449EC" w:rsidRDefault="00860F8E" w:rsidP="00860F8E">
      <w:pPr>
        <w:keepLines/>
        <w:tabs>
          <w:tab w:val="left" w:pos="284"/>
          <w:tab w:val="left" w:pos="567"/>
        </w:tabs>
        <w:spacing w:before="60" w:after="0"/>
        <w:rPr>
          <w:rFonts w:ascii="Arial Narrow" w:hAnsi="Arial Narrow"/>
          <w:sz w:val="16"/>
        </w:rPr>
      </w:pPr>
      <w:r>
        <w:rPr>
          <w:rFonts w:ascii="Arial Narrow" w:hAnsi="Arial Narrow"/>
          <w:sz w:val="16"/>
        </w:rPr>
        <w:t>e</w:t>
      </w:r>
      <w:r>
        <w:rPr>
          <w:rFonts w:ascii="Arial Narrow" w:hAnsi="Arial Narrow"/>
          <w:sz w:val="16"/>
        </w:rPr>
        <w:tab/>
      </w:r>
      <w:r w:rsidRPr="007449EC">
        <w:rPr>
          <w:rFonts w:ascii="Arial Narrow" w:hAnsi="Arial Narrow"/>
          <w:sz w:val="16"/>
        </w:rPr>
        <w:t xml:space="preserve">Totals do not equal the sums of the numbers above </w:t>
      </w:r>
      <w:r>
        <w:rPr>
          <w:rFonts w:ascii="Arial Narrow" w:hAnsi="Arial Narrow"/>
          <w:sz w:val="16"/>
        </w:rPr>
        <w:t>–</w:t>
      </w:r>
      <w:r w:rsidRPr="007449EC">
        <w:rPr>
          <w:rFonts w:ascii="Arial Narrow" w:hAnsi="Arial Narrow"/>
          <w:sz w:val="16"/>
        </w:rPr>
        <w:t xml:space="preserve"> see the general note to the table</w:t>
      </w:r>
      <w:r>
        <w:rPr>
          <w:rFonts w:ascii="Arial Narrow" w:hAnsi="Arial Narrow"/>
          <w:sz w:val="16"/>
        </w:rPr>
        <w:t>.</w:t>
      </w:r>
    </w:p>
    <w:bookmarkEnd w:id="164"/>
    <w:p w14:paraId="519BBD10" w14:textId="77777777" w:rsidR="00860F8E" w:rsidRPr="00C473FA" w:rsidRDefault="00860F8E" w:rsidP="00860F8E">
      <w:pPr>
        <w:rPr>
          <w:rFonts w:ascii="Arial Narrow" w:hAnsi="Arial Narrow"/>
          <w:sz w:val="16"/>
        </w:rPr>
        <w:sectPr w:rsidR="00860F8E" w:rsidRPr="00C473FA" w:rsidSect="00C91118">
          <w:pgSz w:w="16838" w:h="11906" w:orient="landscape"/>
          <w:pgMar w:top="1276" w:right="567" w:bottom="1440" w:left="1440" w:header="708" w:footer="708" w:gutter="0"/>
          <w:cols w:space="708"/>
          <w:docGrid w:linePitch="360"/>
        </w:sectPr>
      </w:pPr>
    </w:p>
    <w:p w14:paraId="5EB0E19B" w14:textId="77777777" w:rsidR="00860F8E" w:rsidRPr="00C473FA" w:rsidRDefault="00860F8E" w:rsidP="00860F8E">
      <w:pPr>
        <w:pStyle w:val="TableName"/>
      </w:pPr>
      <w:bookmarkStart w:id="165" w:name="_Toc238803374"/>
      <w:r w:rsidRPr="00C473FA">
        <w:lastRenderedPageBreak/>
        <w:t>Table A.4</w:t>
      </w:r>
      <w:r w:rsidRPr="00C473FA">
        <w:tab/>
        <w:t>Flight crew licensing examinations, 201</w:t>
      </w:r>
      <w:r>
        <w:t>3</w:t>
      </w:r>
      <w:r w:rsidRPr="00C473FA">
        <w:t>–1</w:t>
      </w:r>
      <w:r>
        <w:t>4</w:t>
      </w:r>
      <w:r w:rsidRPr="00C473FA">
        <w:t xml:space="preserve"> to 201</w:t>
      </w:r>
      <w:r>
        <w:t>7</w:t>
      </w:r>
      <w:r w:rsidRPr="00C473FA">
        <w:t>–1</w:t>
      </w:r>
      <w:bookmarkEnd w:id="165"/>
      <w: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3968"/>
        <w:gridCol w:w="1165"/>
        <w:gridCol w:w="1011"/>
        <w:gridCol w:w="1174"/>
        <w:gridCol w:w="999"/>
        <w:gridCol w:w="1168"/>
        <w:gridCol w:w="1008"/>
        <w:gridCol w:w="1171"/>
        <w:gridCol w:w="1005"/>
        <w:gridCol w:w="1168"/>
        <w:gridCol w:w="984"/>
      </w:tblGrid>
      <w:tr w:rsidR="00860F8E" w:rsidRPr="00053FD1" w14:paraId="38FD4D56" w14:textId="77777777" w:rsidTr="005D646B">
        <w:trPr>
          <w:tblHeader/>
        </w:trPr>
        <w:tc>
          <w:tcPr>
            <w:tcW w:w="1339" w:type="pct"/>
          </w:tcPr>
          <w:p w14:paraId="42CBEC7F" w14:textId="77777777" w:rsidR="00860F8E" w:rsidRPr="001D2A42" w:rsidRDefault="00860F8E" w:rsidP="00EF6063">
            <w:pPr>
              <w:keepNext/>
              <w:spacing w:before="80" w:after="80"/>
              <w:rPr>
                <w:rFonts w:ascii="Arial Narrow" w:hAnsi="Arial Narrow"/>
                <w:b/>
                <w:sz w:val="20"/>
              </w:rPr>
            </w:pPr>
          </w:p>
        </w:tc>
        <w:tc>
          <w:tcPr>
            <w:tcW w:w="734" w:type="pct"/>
            <w:gridSpan w:val="2"/>
          </w:tcPr>
          <w:p w14:paraId="243CA146"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2013–14</w:t>
            </w:r>
          </w:p>
        </w:tc>
        <w:tc>
          <w:tcPr>
            <w:tcW w:w="733" w:type="pct"/>
            <w:gridSpan w:val="2"/>
          </w:tcPr>
          <w:p w14:paraId="4503CBCD"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2014–15</w:t>
            </w:r>
          </w:p>
        </w:tc>
        <w:tc>
          <w:tcPr>
            <w:tcW w:w="734" w:type="pct"/>
            <w:gridSpan w:val="2"/>
          </w:tcPr>
          <w:p w14:paraId="3DAE5B5A"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2015–16</w:t>
            </w:r>
          </w:p>
        </w:tc>
        <w:tc>
          <w:tcPr>
            <w:tcW w:w="734" w:type="pct"/>
            <w:gridSpan w:val="2"/>
          </w:tcPr>
          <w:p w14:paraId="64F36A67"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2016–17</w:t>
            </w:r>
          </w:p>
        </w:tc>
        <w:tc>
          <w:tcPr>
            <w:tcW w:w="727" w:type="pct"/>
            <w:gridSpan w:val="2"/>
          </w:tcPr>
          <w:p w14:paraId="6945E208"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2017–18</w:t>
            </w:r>
          </w:p>
        </w:tc>
      </w:tr>
      <w:tr w:rsidR="00860F8E" w:rsidRPr="00053FD1" w14:paraId="2BF5ED45" w14:textId="77777777" w:rsidTr="005D646B">
        <w:trPr>
          <w:tblHeader/>
        </w:trPr>
        <w:tc>
          <w:tcPr>
            <w:tcW w:w="1339" w:type="pct"/>
          </w:tcPr>
          <w:p w14:paraId="688C9C74"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 xml:space="preserve"> </w:t>
            </w:r>
          </w:p>
        </w:tc>
        <w:tc>
          <w:tcPr>
            <w:tcW w:w="393" w:type="pct"/>
          </w:tcPr>
          <w:p w14:paraId="755B0187" w14:textId="77777777" w:rsidR="00860F8E" w:rsidRPr="00053FD1" w:rsidRDefault="00860F8E" w:rsidP="00EF6063">
            <w:pPr>
              <w:keepNext/>
              <w:spacing w:before="80" w:after="80"/>
              <w:rPr>
                <w:rFonts w:ascii="Arial Narrow" w:hAnsi="Arial Narrow"/>
                <w:b/>
                <w:sz w:val="16"/>
                <w:szCs w:val="16"/>
              </w:rPr>
            </w:pPr>
            <w:r w:rsidRPr="00053FD1">
              <w:rPr>
                <w:rFonts w:ascii="Arial Narrow" w:hAnsi="Arial Narrow"/>
                <w:b/>
                <w:sz w:val="16"/>
                <w:szCs w:val="16"/>
              </w:rPr>
              <w:t>Exams sat</w:t>
            </w:r>
          </w:p>
        </w:tc>
        <w:tc>
          <w:tcPr>
            <w:tcW w:w="340" w:type="pct"/>
          </w:tcPr>
          <w:p w14:paraId="3F568DC1" w14:textId="77777777" w:rsidR="00860F8E" w:rsidRPr="00053FD1" w:rsidRDefault="00860F8E" w:rsidP="00EF6063">
            <w:pPr>
              <w:keepNext/>
              <w:spacing w:before="80" w:after="80"/>
              <w:rPr>
                <w:rFonts w:ascii="Arial Narrow" w:hAnsi="Arial Narrow"/>
                <w:b/>
                <w:sz w:val="16"/>
                <w:szCs w:val="16"/>
              </w:rPr>
            </w:pPr>
            <w:r w:rsidRPr="00053FD1">
              <w:rPr>
                <w:rFonts w:ascii="Arial Narrow" w:hAnsi="Arial Narrow"/>
                <w:b/>
                <w:sz w:val="16"/>
                <w:szCs w:val="16"/>
              </w:rPr>
              <w:t>% passed</w:t>
            </w:r>
          </w:p>
        </w:tc>
        <w:tc>
          <w:tcPr>
            <w:tcW w:w="396" w:type="pct"/>
          </w:tcPr>
          <w:p w14:paraId="76890CBC" w14:textId="77777777" w:rsidR="00860F8E" w:rsidRPr="00053FD1" w:rsidRDefault="00860F8E" w:rsidP="00EF6063">
            <w:pPr>
              <w:keepNext/>
              <w:spacing w:before="80" w:after="80"/>
              <w:rPr>
                <w:rFonts w:ascii="Arial Narrow" w:hAnsi="Arial Narrow"/>
                <w:b/>
                <w:sz w:val="16"/>
                <w:szCs w:val="16"/>
              </w:rPr>
            </w:pPr>
            <w:r w:rsidRPr="00053FD1">
              <w:rPr>
                <w:rFonts w:ascii="Arial Narrow" w:hAnsi="Arial Narrow"/>
                <w:b/>
                <w:sz w:val="16"/>
                <w:szCs w:val="16"/>
              </w:rPr>
              <w:t>Exams sat</w:t>
            </w:r>
          </w:p>
        </w:tc>
        <w:tc>
          <w:tcPr>
            <w:tcW w:w="337" w:type="pct"/>
          </w:tcPr>
          <w:p w14:paraId="02BA9085" w14:textId="77777777" w:rsidR="00860F8E" w:rsidRPr="00053FD1" w:rsidRDefault="00860F8E" w:rsidP="00EF6063">
            <w:pPr>
              <w:keepNext/>
              <w:spacing w:before="80" w:after="80"/>
              <w:rPr>
                <w:rFonts w:ascii="Arial Narrow" w:hAnsi="Arial Narrow"/>
                <w:b/>
                <w:sz w:val="16"/>
                <w:szCs w:val="16"/>
              </w:rPr>
            </w:pPr>
            <w:r w:rsidRPr="00053FD1">
              <w:rPr>
                <w:rFonts w:ascii="Arial Narrow" w:hAnsi="Arial Narrow"/>
                <w:b/>
                <w:sz w:val="16"/>
                <w:szCs w:val="16"/>
              </w:rPr>
              <w:t>% passed</w:t>
            </w:r>
          </w:p>
        </w:tc>
        <w:tc>
          <w:tcPr>
            <w:tcW w:w="394" w:type="pct"/>
          </w:tcPr>
          <w:p w14:paraId="4A46FA7C" w14:textId="77777777" w:rsidR="00860F8E" w:rsidRPr="00053FD1" w:rsidRDefault="00860F8E" w:rsidP="00EF6063">
            <w:pPr>
              <w:keepNext/>
              <w:spacing w:before="80" w:after="80"/>
              <w:rPr>
                <w:rFonts w:ascii="Arial Narrow" w:hAnsi="Arial Narrow"/>
                <w:b/>
                <w:sz w:val="16"/>
                <w:szCs w:val="16"/>
              </w:rPr>
            </w:pPr>
            <w:r w:rsidRPr="00053FD1">
              <w:rPr>
                <w:rFonts w:ascii="Arial Narrow" w:hAnsi="Arial Narrow"/>
                <w:b/>
                <w:sz w:val="16"/>
                <w:szCs w:val="16"/>
              </w:rPr>
              <w:t>Exams sat</w:t>
            </w:r>
          </w:p>
        </w:tc>
        <w:tc>
          <w:tcPr>
            <w:tcW w:w="340" w:type="pct"/>
          </w:tcPr>
          <w:p w14:paraId="20043B6C" w14:textId="77777777" w:rsidR="00860F8E" w:rsidRPr="00053FD1" w:rsidRDefault="00860F8E" w:rsidP="00EF6063">
            <w:pPr>
              <w:keepNext/>
              <w:spacing w:before="80" w:after="80"/>
              <w:rPr>
                <w:rFonts w:ascii="Arial Narrow" w:hAnsi="Arial Narrow"/>
                <w:b/>
                <w:sz w:val="16"/>
                <w:szCs w:val="16"/>
              </w:rPr>
            </w:pPr>
            <w:r w:rsidRPr="00053FD1">
              <w:rPr>
                <w:rFonts w:ascii="Arial Narrow" w:hAnsi="Arial Narrow"/>
                <w:b/>
                <w:sz w:val="16"/>
                <w:szCs w:val="16"/>
              </w:rPr>
              <w:t>% passed</w:t>
            </w:r>
          </w:p>
        </w:tc>
        <w:tc>
          <w:tcPr>
            <w:tcW w:w="395" w:type="pct"/>
          </w:tcPr>
          <w:p w14:paraId="5D685694" w14:textId="77777777" w:rsidR="00860F8E" w:rsidRPr="00053FD1" w:rsidRDefault="00860F8E" w:rsidP="00EF6063">
            <w:pPr>
              <w:keepNext/>
              <w:spacing w:before="80" w:after="80"/>
              <w:rPr>
                <w:rFonts w:ascii="Arial Narrow" w:hAnsi="Arial Narrow"/>
                <w:b/>
                <w:sz w:val="16"/>
                <w:szCs w:val="16"/>
              </w:rPr>
            </w:pPr>
            <w:r w:rsidRPr="00053FD1">
              <w:rPr>
                <w:rFonts w:ascii="Arial Narrow" w:hAnsi="Arial Narrow"/>
                <w:b/>
                <w:sz w:val="16"/>
                <w:szCs w:val="16"/>
              </w:rPr>
              <w:t>Exams sat</w:t>
            </w:r>
          </w:p>
        </w:tc>
        <w:tc>
          <w:tcPr>
            <w:tcW w:w="339" w:type="pct"/>
          </w:tcPr>
          <w:p w14:paraId="06CE5C63" w14:textId="77777777" w:rsidR="00860F8E" w:rsidRPr="00053FD1" w:rsidRDefault="00860F8E" w:rsidP="00EF6063">
            <w:pPr>
              <w:keepNext/>
              <w:spacing w:before="80" w:after="80"/>
              <w:rPr>
                <w:rFonts w:ascii="Arial Narrow" w:hAnsi="Arial Narrow"/>
                <w:b/>
                <w:sz w:val="16"/>
                <w:szCs w:val="16"/>
              </w:rPr>
            </w:pPr>
            <w:r w:rsidRPr="00053FD1">
              <w:rPr>
                <w:rFonts w:ascii="Arial Narrow" w:hAnsi="Arial Narrow"/>
                <w:b/>
                <w:sz w:val="16"/>
                <w:szCs w:val="16"/>
              </w:rPr>
              <w:t>% passed</w:t>
            </w:r>
          </w:p>
        </w:tc>
        <w:tc>
          <w:tcPr>
            <w:tcW w:w="394" w:type="pct"/>
          </w:tcPr>
          <w:p w14:paraId="35BAF5AB" w14:textId="77777777" w:rsidR="00860F8E" w:rsidRPr="00053FD1" w:rsidRDefault="00860F8E" w:rsidP="00EF6063">
            <w:pPr>
              <w:keepNext/>
              <w:spacing w:before="80" w:after="80"/>
              <w:rPr>
                <w:rFonts w:ascii="Arial Narrow" w:hAnsi="Arial Narrow"/>
                <w:b/>
                <w:sz w:val="16"/>
                <w:szCs w:val="16"/>
              </w:rPr>
            </w:pPr>
            <w:r w:rsidRPr="00053FD1">
              <w:rPr>
                <w:rFonts w:ascii="Arial Narrow" w:hAnsi="Arial Narrow"/>
                <w:b/>
                <w:sz w:val="16"/>
                <w:szCs w:val="16"/>
              </w:rPr>
              <w:t>Exams sat</w:t>
            </w:r>
          </w:p>
        </w:tc>
        <w:tc>
          <w:tcPr>
            <w:tcW w:w="333" w:type="pct"/>
          </w:tcPr>
          <w:p w14:paraId="606F6155" w14:textId="77777777" w:rsidR="00860F8E" w:rsidRPr="00053FD1" w:rsidRDefault="00860F8E" w:rsidP="00EF6063">
            <w:pPr>
              <w:keepNext/>
              <w:spacing w:before="80" w:after="80"/>
              <w:rPr>
                <w:rFonts w:ascii="Arial Narrow" w:hAnsi="Arial Narrow"/>
                <w:b/>
                <w:sz w:val="16"/>
                <w:szCs w:val="16"/>
              </w:rPr>
            </w:pPr>
            <w:r w:rsidRPr="00053FD1">
              <w:rPr>
                <w:rFonts w:ascii="Arial Narrow" w:hAnsi="Arial Narrow"/>
                <w:b/>
                <w:sz w:val="16"/>
                <w:szCs w:val="16"/>
              </w:rPr>
              <w:t>% passed</w:t>
            </w:r>
          </w:p>
        </w:tc>
      </w:tr>
      <w:tr w:rsidR="00860F8E" w:rsidRPr="00053FD1" w14:paraId="5913C177" w14:textId="77777777" w:rsidTr="005D646B">
        <w:tc>
          <w:tcPr>
            <w:tcW w:w="1339" w:type="pct"/>
          </w:tcPr>
          <w:p w14:paraId="149C3F6B"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 xml:space="preserve">Air transport pilot licence </w:t>
            </w:r>
          </w:p>
        </w:tc>
        <w:tc>
          <w:tcPr>
            <w:tcW w:w="393" w:type="pct"/>
          </w:tcPr>
          <w:p w14:paraId="4939AD0F"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5,470</w:t>
            </w:r>
          </w:p>
        </w:tc>
        <w:tc>
          <w:tcPr>
            <w:tcW w:w="340" w:type="pct"/>
          </w:tcPr>
          <w:p w14:paraId="44B0F356"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73.8</w:t>
            </w:r>
          </w:p>
        </w:tc>
        <w:tc>
          <w:tcPr>
            <w:tcW w:w="396" w:type="pct"/>
            <w:vAlign w:val="bottom"/>
          </w:tcPr>
          <w:p w14:paraId="537410BE"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3,539</w:t>
            </w:r>
          </w:p>
        </w:tc>
        <w:tc>
          <w:tcPr>
            <w:tcW w:w="337" w:type="pct"/>
            <w:vAlign w:val="bottom"/>
          </w:tcPr>
          <w:p w14:paraId="26B33572"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70.2</w:t>
            </w:r>
          </w:p>
        </w:tc>
        <w:tc>
          <w:tcPr>
            <w:tcW w:w="394" w:type="pct"/>
            <w:vAlign w:val="bottom"/>
          </w:tcPr>
          <w:p w14:paraId="441629E2"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3,781</w:t>
            </w:r>
          </w:p>
        </w:tc>
        <w:tc>
          <w:tcPr>
            <w:tcW w:w="340" w:type="pct"/>
            <w:vAlign w:val="bottom"/>
          </w:tcPr>
          <w:p w14:paraId="2151AA48"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71.7</w:t>
            </w:r>
          </w:p>
        </w:tc>
        <w:tc>
          <w:tcPr>
            <w:tcW w:w="395" w:type="pct"/>
          </w:tcPr>
          <w:p w14:paraId="54FE4434"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3,956</w:t>
            </w:r>
          </w:p>
        </w:tc>
        <w:tc>
          <w:tcPr>
            <w:tcW w:w="339" w:type="pct"/>
          </w:tcPr>
          <w:p w14:paraId="398B53A3"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70.6</w:t>
            </w:r>
          </w:p>
        </w:tc>
        <w:tc>
          <w:tcPr>
            <w:tcW w:w="394" w:type="pct"/>
          </w:tcPr>
          <w:p w14:paraId="31145867"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5,016</w:t>
            </w:r>
          </w:p>
        </w:tc>
        <w:tc>
          <w:tcPr>
            <w:tcW w:w="333" w:type="pct"/>
          </w:tcPr>
          <w:p w14:paraId="74902621"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73.1</w:t>
            </w:r>
          </w:p>
        </w:tc>
      </w:tr>
      <w:tr w:rsidR="00860F8E" w:rsidRPr="00053FD1" w14:paraId="7247A289" w14:textId="77777777" w:rsidTr="005D646B">
        <w:tc>
          <w:tcPr>
            <w:tcW w:w="1339" w:type="pct"/>
          </w:tcPr>
          <w:p w14:paraId="65F1C746"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 xml:space="preserve">Commercial pilot licence </w:t>
            </w:r>
          </w:p>
        </w:tc>
        <w:tc>
          <w:tcPr>
            <w:tcW w:w="393" w:type="pct"/>
          </w:tcPr>
          <w:p w14:paraId="0776A87E"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10,810</w:t>
            </w:r>
          </w:p>
        </w:tc>
        <w:tc>
          <w:tcPr>
            <w:tcW w:w="340" w:type="pct"/>
          </w:tcPr>
          <w:p w14:paraId="6E2A9800"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75.6</w:t>
            </w:r>
          </w:p>
        </w:tc>
        <w:tc>
          <w:tcPr>
            <w:tcW w:w="396" w:type="pct"/>
            <w:vAlign w:val="bottom"/>
          </w:tcPr>
          <w:p w14:paraId="73163AF9"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10,893</w:t>
            </w:r>
          </w:p>
        </w:tc>
        <w:tc>
          <w:tcPr>
            <w:tcW w:w="337" w:type="pct"/>
            <w:vAlign w:val="bottom"/>
          </w:tcPr>
          <w:p w14:paraId="36E14FC7"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73.7</w:t>
            </w:r>
          </w:p>
        </w:tc>
        <w:tc>
          <w:tcPr>
            <w:tcW w:w="394" w:type="pct"/>
            <w:vAlign w:val="bottom"/>
          </w:tcPr>
          <w:p w14:paraId="7CBE5FBA"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10,985</w:t>
            </w:r>
          </w:p>
        </w:tc>
        <w:tc>
          <w:tcPr>
            <w:tcW w:w="340" w:type="pct"/>
            <w:vAlign w:val="bottom"/>
          </w:tcPr>
          <w:p w14:paraId="2E6B6BFD"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73.6</w:t>
            </w:r>
          </w:p>
        </w:tc>
        <w:tc>
          <w:tcPr>
            <w:tcW w:w="395" w:type="pct"/>
          </w:tcPr>
          <w:p w14:paraId="6A1AA7D8"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12,775</w:t>
            </w:r>
          </w:p>
        </w:tc>
        <w:tc>
          <w:tcPr>
            <w:tcW w:w="339" w:type="pct"/>
          </w:tcPr>
          <w:p w14:paraId="1BA5E8A1"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74.2</w:t>
            </w:r>
          </w:p>
        </w:tc>
        <w:tc>
          <w:tcPr>
            <w:tcW w:w="394" w:type="pct"/>
          </w:tcPr>
          <w:p w14:paraId="46DA3630"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13,113</w:t>
            </w:r>
          </w:p>
        </w:tc>
        <w:tc>
          <w:tcPr>
            <w:tcW w:w="333" w:type="pct"/>
          </w:tcPr>
          <w:p w14:paraId="3C5DB724"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70.5</w:t>
            </w:r>
          </w:p>
        </w:tc>
      </w:tr>
      <w:tr w:rsidR="00860F8E" w:rsidRPr="00053FD1" w14:paraId="4160E2AA" w14:textId="77777777" w:rsidTr="005D646B">
        <w:tc>
          <w:tcPr>
            <w:tcW w:w="1339" w:type="pct"/>
          </w:tcPr>
          <w:p w14:paraId="41336665"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 xml:space="preserve">Private pilot licence </w:t>
            </w:r>
          </w:p>
        </w:tc>
        <w:tc>
          <w:tcPr>
            <w:tcW w:w="393" w:type="pct"/>
          </w:tcPr>
          <w:p w14:paraId="6BEBF7A5"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1,834</w:t>
            </w:r>
          </w:p>
        </w:tc>
        <w:tc>
          <w:tcPr>
            <w:tcW w:w="340" w:type="pct"/>
          </w:tcPr>
          <w:p w14:paraId="568875AB"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70.2</w:t>
            </w:r>
          </w:p>
        </w:tc>
        <w:tc>
          <w:tcPr>
            <w:tcW w:w="396" w:type="pct"/>
            <w:vAlign w:val="bottom"/>
          </w:tcPr>
          <w:p w14:paraId="4C16FD5B"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1,937</w:t>
            </w:r>
          </w:p>
        </w:tc>
        <w:tc>
          <w:tcPr>
            <w:tcW w:w="337" w:type="pct"/>
            <w:vAlign w:val="bottom"/>
          </w:tcPr>
          <w:p w14:paraId="29027CE7"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62.0</w:t>
            </w:r>
          </w:p>
        </w:tc>
        <w:tc>
          <w:tcPr>
            <w:tcW w:w="394" w:type="pct"/>
            <w:vAlign w:val="bottom"/>
          </w:tcPr>
          <w:p w14:paraId="5F7E7286"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1,543</w:t>
            </w:r>
          </w:p>
        </w:tc>
        <w:tc>
          <w:tcPr>
            <w:tcW w:w="340" w:type="pct"/>
            <w:vAlign w:val="bottom"/>
          </w:tcPr>
          <w:p w14:paraId="10FC58E6"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68.1</w:t>
            </w:r>
          </w:p>
        </w:tc>
        <w:tc>
          <w:tcPr>
            <w:tcW w:w="395" w:type="pct"/>
          </w:tcPr>
          <w:p w14:paraId="3BEB1758"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1,784</w:t>
            </w:r>
          </w:p>
        </w:tc>
        <w:tc>
          <w:tcPr>
            <w:tcW w:w="339" w:type="pct"/>
          </w:tcPr>
          <w:p w14:paraId="44EB4FC1"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66</w:t>
            </w:r>
          </w:p>
        </w:tc>
        <w:tc>
          <w:tcPr>
            <w:tcW w:w="394" w:type="pct"/>
          </w:tcPr>
          <w:p w14:paraId="125F6F37"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1,793</w:t>
            </w:r>
          </w:p>
        </w:tc>
        <w:tc>
          <w:tcPr>
            <w:tcW w:w="333" w:type="pct"/>
          </w:tcPr>
          <w:p w14:paraId="723A4B1F"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65</w:t>
            </w:r>
            <w:r>
              <w:rPr>
                <w:rFonts w:ascii="Arial Narrow" w:hAnsi="Arial Narrow"/>
                <w:sz w:val="20"/>
              </w:rPr>
              <w:t>.0</w:t>
            </w:r>
          </w:p>
        </w:tc>
      </w:tr>
      <w:tr w:rsidR="00860F8E" w:rsidRPr="00053FD1" w14:paraId="72925743" w14:textId="77777777" w:rsidTr="005D646B">
        <w:tc>
          <w:tcPr>
            <w:tcW w:w="1339" w:type="pct"/>
          </w:tcPr>
          <w:p w14:paraId="3CE47E15"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Recreational pilot licence</w:t>
            </w:r>
            <w:r w:rsidRPr="00053FD1">
              <w:rPr>
                <w:rFonts w:ascii="Arial Narrow" w:hAnsi="Arial Narrow"/>
                <w:sz w:val="20"/>
                <w:vertAlign w:val="superscript"/>
              </w:rPr>
              <w:t>a</w:t>
            </w:r>
          </w:p>
        </w:tc>
        <w:tc>
          <w:tcPr>
            <w:tcW w:w="393" w:type="pct"/>
          </w:tcPr>
          <w:p w14:paraId="24C5BBCE"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n/a</w:t>
            </w:r>
          </w:p>
        </w:tc>
        <w:tc>
          <w:tcPr>
            <w:tcW w:w="340" w:type="pct"/>
          </w:tcPr>
          <w:p w14:paraId="50C28EF3"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n/a</w:t>
            </w:r>
          </w:p>
        </w:tc>
        <w:tc>
          <w:tcPr>
            <w:tcW w:w="396" w:type="pct"/>
            <w:vAlign w:val="bottom"/>
          </w:tcPr>
          <w:p w14:paraId="52F2D432"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17</w:t>
            </w:r>
          </w:p>
        </w:tc>
        <w:tc>
          <w:tcPr>
            <w:tcW w:w="337" w:type="pct"/>
            <w:vAlign w:val="bottom"/>
          </w:tcPr>
          <w:p w14:paraId="48C36CC9"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47.1</w:t>
            </w:r>
          </w:p>
        </w:tc>
        <w:tc>
          <w:tcPr>
            <w:tcW w:w="394" w:type="pct"/>
            <w:vAlign w:val="bottom"/>
          </w:tcPr>
          <w:p w14:paraId="0C314712"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279</w:t>
            </w:r>
          </w:p>
        </w:tc>
        <w:tc>
          <w:tcPr>
            <w:tcW w:w="340" w:type="pct"/>
            <w:vAlign w:val="bottom"/>
          </w:tcPr>
          <w:p w14:paraId="59802E2B"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49.8</w:t>
            </w:r>
          </w:p>
        </w:tc>
        <w:tc>
          <w:tcPr>
            <w:tcW w:w="395" w:type="pct"/>
          </w:tcPr>
          <w:p w14:paraId="2577FD0B"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324</w:t>
            </w:r>
          </w:p>
        </w:tc>
        <w:tc>
          <w:tcPr>
            <w:tcW w:w="339" w:type="pct"/>
          </w:tcPr>
          <w:p w14:paraId="0733452C"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59</w:t>
            </w:r>
          </w:p>
        </w:tc>
        <w:tc>
          <w:tcPr>
            <w:tcW w:w="394" w:type="pct"/>
          </w:tcPr>
          <w:p w14:paraId="54F168F9"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376</w:t>
            </w:r>
          </w:p>
        </w:tc>
        <w:tc>
          <w:tcPr>
            <w:tcW w:w="333" w:type="pct"/>
          </w:tcPr>
          <w:p w14:paraId="4C54F6F1"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58.5</w:t>
            </w:r>
          </w:p>
        </w:tc>
      </w:tr>
      <w:tr w:rsidR="00860F8E" w:rsidRPr="00053FD1" w14:paraId="228F41C9" w14:textId="77777777" w:rsidTr="005D646B">
        <w:tc>
          <w:tcPr>
            <w:tcW w:w="1339" w:type="pct"/>
          </w:tcPr>
          <w:p w14:paraId="732A8BC4"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 xml:space="preserve">Total </w:t>
            </w:r>
          </w:p>
        </w:tc>
        <w:tc>
          <w:tcPr>
            <w:tcW w:w="393" w:type="pct"/>
          </w:tcPr>
          <w:p w14:paraId="4240C3BB"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18,114</w:t>
            </w:r>
          </w:p>
        </w:tc>
        <w:tc>
          <w:tcPr>
            <w:tcW w:w="340" w:type="pct"/>
          </w:tcPr>
          <w:p w14:paraId="49A1BB91" w14:textId="77777777" w:rsidR="00860F8E" w:rsidRPr="00053FD1" w:rsidRDefault="00860F8E" w:rsidP="00EF6063">
            <w:pPr>
              <w:keepNext/>
              <w:spacing w:before="80" w:after="80"/>
              <w:jc w:val="center"/>
              <w:rPr>
                <w:rFonts w:ascii="Arial Narrow" w:hAnsi="Arial Narrow"/>
                <w:b/>
                <w:sz w:val="20"/>
              </w:rPr>
            </w:pPr>
          </w:p>
        </w:tc>
        <w:tc>
          <w:tcPr>
            <w:tcW w:w="396" w:type="pct"/>
            <w:vAlign w:val="bottom"/>
          </w:tcPr>
          <w:p w14:paraId="5CA59353"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16,386</w:t>
            </w:r>
          </w:p>
        </w:tc>
        <w:tc>
          <w:tcPr>
            <w:tcW w:w="337" w:type="pct"/>
            <w:vAlign w:val="bottom"/>
          </w:tcPr>
          <w:p w14:paraId="5711B556"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71.5</w:t>
            </w:r>
          </w:p>
        </w:tc>
        <w:tc>
          <w:tcPr>
            <w:tcW w:w="394" w:type="pct"/>
            <w:vAlign w:val="bottom"/>
          </w:tcPr>
          <w:p w14:paraId="5D668A71"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16,588</w:t>
            </w:r>
          </w:p>
        </w:tc>
        <w:tc>
          <w:tcPr>
            <w:tcW w:w="340" w:type="pct"/>
            <w:vAlign w:val="bottom"/>
          </w:tcPr>
          <w:p w14:paraId="41DA07F6"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72.3</w:t>
            </w:r>
          </w:p>
        </w:tc>
        <w:tc>
          <w:tcPr>
            <w:tcW w:w="395" w:type="pct"/>
          </w:tcPr>
          <w:p w14:paraId="64704C52"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18,839</w:t>
            </w:r>
          </w:p>
        </w:tc>
        <w:tc>
          <w:tcPr>
            <w:tcW w:w="339" w:type="pct"/>
          </w:tcPr>
          <w:p w14:paraId="432CCB78"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72.4</w:t>
            </w:r>
          </w:p>
        </w:tc>
        <w:tc>
          <w:tcPr>
            <w:tcW w:w="394" w:type="pct"/>
          </w:tcPr>
          <w:p w14:paraId="288680BA"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20,298</w:t>
            </w:r>
          </w:p>
        </w:tc>
        <w:tc>
          <w:tcPr>
            <w:tcW w:w="333" w:type="pct"/>
          </w:tcPr>
          <w:p w14:paraId="4B053A02"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70.4</w:t>
            </w:r>
          </w:p>
        </w:tc>
      </w:tr>
    </w:tbl>
    <w:p w14:paraId="6CDB7470" w14:textId="77777777" w:rsidR="00860F8E" w:rsidRPr="00053FD1" w:rsidRDefault="00860F8E" w:rsidP="00860F8E">
      <w:pPr>
        <w:keepLines/>
        <w:tabs>
          <w:tab w:val="left" w:pos="284"/>
          <w:tab w:val="left" w:pos="567"/>
        </w:tabs>
        <w:spacing w:before="60" w:after="0"/>
        <w:rPr>
          <w:rFonts w:ascii="Arial Narrow" w:hAnsi="Arial Narrow"/>
          <w:sz w:val="16"/>
        </w:rPr>
      </w:pPr>
      <w:r w:rsidRPr="00053FD1">
        <w:rPr>
          <w:rFonts w:ascii="Arial Narrow" w:hAnsi="Arial Narrow"/>
          <w:sz w:val="16"/>
        </w:rPr>
        <w:t>n/a = not applicable</w:t>
      </w:r>
    </w:p>
    <w:p w14:paraId="3A0EE446" w14:textId="77777777" w:rsidR="00860F8E" w:rsidRPr="00053FD1" w:rsidRDefault="00860F8E" w:rsidP="00860F8E">
      <w:pPr>
        <w:pStyle w:val="TableNotesHangLast"/>
      </w:pPr>
      <w:r w:rsidRPr="00053FD1">
        <w:t>a</w:t>
      </w:r>
      <w:r w:rsidRPr="00053FD1">
        <w:tab/>
        <w:t>Recreational pilot licence exams were introduced under Civil Aviation Safety Regulations Part 61, which replaced Civil Aviation Regulation 5 regulations on 1 September 2014.</w:t>
      </w:r>
      <w:r w:rsidR="0044040E">
        <w:t xml:space="preserve"> </w:t>
      </w:r>
      <w:r w:rsidRPr="00053FD1">
        <w:t>Three exams for recreational pilot licences were introduced, for aeroplanes, helicopters and navigation, in March 2015.</w:t>
      </w:r>
    </w:p>
    <w:p w14:paraId="6858275F" w14:textId="77777777" w:rsidR="00860F8E" w:rsidRPr="00053FD1" w:rsidRDefault="00860F8E" w:rsidP="00860F8E">
      <w:pPr>
        <w:pStyle w:val="TableName"/>
      </w:pPr>
      <w:r w:rsidRPr="00053FD1">
        <w:t>Table A.5</w:t>
      </w:r>
      <w:r w:rsidRPr="00053FD1">
        <w:tab/>
        <w:t xml:space="preserve">Medical certificates, 2013–14 to 2017–18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162"/>
        <w:gridCol w:w="1091"/>
        <w:gridCol w:w="987"/>
        <w:gridCol w:w="842"/>
        <w:gridCol w:w="661"/>
        <w:gridCol w:w="928"/>
        <w:gridCol w:w="797"/>
        <w:gridCol w:w="664"/>
        <w:gridCol w:w="928"/>
        <w:gridCol w:w="797"/>
        <w:gridCol w:w="794"/>
        <w:gridCol w:w="928"/>
        <w:gridCol w:w="797"/>
        <w:gridCol w:w="952"/>
        <w:gridCol w:w="1257"/>
        <w:gridCol w:w="1236"/>
      </w:tblGrid>
      <w:tr w:rsidR="00860F8E" w:rsidRPr="0033044B" w14:paraId="7D202EE6" w14:textId="77777777" w:rsidTr="005D646B">
        <w:trPr>
          <w:tblHeader/>
        </w:trPr>
        <w:tc>
          <w:tcPr>
            <w:tcW w:w="392" w:type="pct"/>
          </w:tcPr>
          <w:p w14:paraId="18EB4E77" w14:textId="77777777" w:rsidR="00860F8E" w:rsidRPr="00053FD1" w:rsidRDefault="00860F8E" w:rsidP="00EF6063">
            <w:pPr>
              <w:keepNext/>
              <w:spacing w:before="80" w:after="80"/>
              <w:rPr>
                <w:rFonts w:ascii="Arial Narrow" w:hAnsi="Arial Narrow"/>
                <w:b/>
                <w:sz w:val="20"/>
              </w:rPr>
            </w:pPr>
          </w:p>
        </w:tc>
        <w:tc>
          <w:tcPr>
            <w:tcW w:w="985" w:type="pct"/>
            <w:gridSpan w:val="3"/>
          </w:tcPr>
          <w:p w14:paraId="162DF4BD"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2013–14</w:t>
            </w:r>
          </w:p>
        </w:tc>
        <w:tc>
          <w:tcPr>
            <w:tcW w:w="805" w:type="pct"/>
            <w:gridSpan w:val="3"/>
          </w:tcPr>
          <w:p w14:paraId="7C12B167"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2014–15</w:t>
            </w:r>
          </w:p>
        </w:tc>
        <w:tc>
          <w:tcPr>
            <w:tcW w:w="806" w:type="pct"/>
            <w:gridSpan w:val="3"/>
          </w:tcPr>
          <w:p w14:paraId="742CA5D7"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2015–16</w:t>
            </w:r>
          </w:p>
        </w:tc>
        <w:tc>
          <w:tcPr>
            <w:tcW w:w="850" w:type="pct"/>
            <w:gridSpan w:val="3"/>
          </w:tcPr>
          <w:p w14:paraId="6FE318D2"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2016–17</w:t>
            </w:r>
          </w:p>
        </w:tc>
        <w:tc>
          <w:tcPr>
            <w:tcW w:w="1162" w:type="pct"/>
            <w:gridSpan w:val="3"/>
          </w:tcPr>
          <w:p w14:paraId="763C29E5"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2017–18</w:t>
            </w:r>
          </w:p>
        </w:tc>
      </w:tr>
      <w:tr w:rsidR="00860F8E" w:rsidRPr="0033044B" w14:paraId="142D7990" w14:textId="77777777" w:rsidTr="005D646B">
        <w:trPr>
          <w:tblHeader/>
        </w:trPr>
        <w:tc>
          <w:tcPr>
            <w:tcW w:w="392" w:type="pct"/>
          </w:tcPr>
          <w:p w14:paraId="56B41F5F"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 xml:space="preserve">Certificate </w:t>
            </w:r>
          </w:p>
        </w:tc>
        <w:tc>
          <w:tcPr>
            <w:tcW w:w="368" w:type="pct"/>
          </w:tcPr>
          <w:p w14:paraId="5724560E"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Initial</w:t>
            </w:r>
          </w:p>
        </w:tc>
        <w:tc>
          <w:tcPr>
            <w:tcW w:w="333" w:type="pct"/>
          </w:tcPr>
          <w:p w14:paraId="2806290F"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Renewal</w:t>
            </w:r>
          </w:p>
        </w:tc>
        <w:tc>
          <w:tcPr>
            <w:tcW w:w="284" w:type="pct"/>
          </w:tcPr>
          <w:p w14:paraId="0F61F35A"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Refusal</w:t>
            </w:r>
          </w:p>
        </w:tc>
        <w:tc>
          <w:tcPr>
            <w:tcW w:w="223" w:type="pct"/>
          </w:tcPr>
          <w:p w14:paraId="3BC18170"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Initial</w:t>
            </w:r>
          </w:p>
        </w:tc>
        <w:tc>
          <w:tcPr>
            <w:tcW w:w="313" w:type="pct"/>
          </w:tcPr>
          <w:p w14:paraId="098F72F1"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Renewal</w:t>
            </w:r>
          </w:p>
        </w:tc>
        <w:tc>
          <w:tcPr>
            <w:tcW w:w="269" w:type="pct"/>
          </w:tcPr>
          <w:p w14:paraId="5F394571"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Refusal</w:t>
            </w:r>
          </w:p>
        </w:tc>
        <w:tc>
          <w:tcPr>
            <w:tcW w:w="224" w:type="pct"/>
          </w:tcPr>
          <w:p w14:paraId="3329DB3D"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Initial</w:t>
            </w:r>
          </w:p>
        </w:tc>
        <w:tc>
          <w:tcPr>
            <w:tcW w:w="313" w:type="pct"/>
          </w:tcPr>
          <w:p w14:paraId="67CC8F2C"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Renewal</w:t>
            </w:r>
          </w:p>
        </w:tc>
        <w:tc>
          <w:tcPr>
            <w:tcW w:w="269" w:type="pct"/>
          </w:tcPr>
          <w:p w14:paraId="2D9D66EC"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Refusal</w:t>
            </w:r>
          </w:p>
        </w:tc>
        <w:tc>
          <w:tcPr>
            <w:tcW w:w="268" w:type="pct"/>
          </w:tcPr>
          <w:p w14:paraId="0A8240B5"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Initial</w:t>
            </w:r>
          </w:p>
        </w:tc>
        <w:tc>
          <w:tcPr>
            <w:tcW w:w="313" w:type="pct"/>
          </w:tcPr>
          <w:p w14:paraId="41F9127B"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Renewal</w:t>
            </w:r>
          </w:p>
        </w:tc>
        <w:tc>
          <w:tcPr>
            <w:tcW w:w="269" w:type="pct"/>
          </w:tcPr>
          <w:p w14:paraId="0B46D167"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Refusal</w:t>
            </w:r>
          </w:p>
        </w:tc>
        <w:tc>
          <w:tcPr>
            <w:tcW w:w="321" w:type="pct"/>
          </w:tcPr>
          <w:p w14:paraId="36DC124B"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Initial</w:t>
            </w:r>
          </w:p>
        </w:tc>
        <w:tc>
          <w:tcPr>
            <w:tcW w:w="424" w:type="pct"/>
          </w:tcPr>
          <w:p w14:paraId="33B691BA"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Renewal</w:t>
            </w:r>
          </w:p>
        </w:tc>
        <w:tc>
          <w:tcPr>
            <w:tcW w:w="417" w:type="pct"/>
          </w:tcPr>
          <w:p w14:paraId="7E01552C"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Refusal</w:t>
            </w:r>
          </w:p>
        </w:tc>
      </w:tr>
      <w:tr w:rsidR="00860F8E" w:rsidRPr="0033044B" w14:paraId="683798D1" w14:textId="77777777" w:rsidTr="005D646B">
        <w:tc>
          <w:tcPr>
            <w:tcW w:w="392" w:type="pct"/>
          </w:tcPr>
          <w:p w14:paraId="2F9D5777" w14:textId="77777777" w:rsidR="00860F8E" w:rsidRPr="0033044B" w:rsidRDefault="00860F8E" w:rsidP="00EF6063">
            <w:pPr>
              <w:keepNext/>
              <w:spacing w:before="80" w:after="80"/>
              <w:rPr>
                <w:rFonts w:ascii="Arial Narrow" w:hAnsi="Arial Narrow"/>
                <w:sz w:val="20"/>
              </w:rPr>
            </w:pPr>
            <w:r w:rsidRPr="0033044B">
              <w:rPr>
                <w:rFonts w:ascii="Arial Narrow" w:hAnsi="Arial Narrow"/>
                <w:sz w:val="20"/>
              </w:rPr>
              <w:t xml:space="preserve">Class 1 </w:t>
            </w:r>
          </w:p>
        </w:tc>
        <w:tc>
          <w:tcPr>
            <w:tcW w:w="368" w:type="pct"/>
          </w:tcPr>
          <w:p w14:paraId="42313504"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1,904</w:t>
            </w:r>
          </w:p>
        </w:tc>
        <w:tc>
          <w:tcPr>
            <w:tcW w:w="333" w:type="pct"/>
          </w:tcPr>
          <w:p w14:paraId="74CBAA8C"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15,502</w:t>
            </w:r>
          </w:p>
        </w:tc>
        <w:tc>
          <w:tcPr>
            <w:tcW w:w="284" w:type="pct"/>
          </w:tcPr>
          <w:p w14:paraId="445AC3BB"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56</w:t>
            </w:r>
          </w:p>
        </w:tc>
        <w:tc>
          <w:tcPr>
            <w:tcW w:w="223" w:type="pct"/>
          </w:tcPr>
          <w:p w14:paraId="6913B4F9"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1,646</w:t>
            </w:r>
          </w:p>
        </w:tc>
        <w:tc>
          <w:tcPr>
            <w:tcW w:w="313" w:type="pct"/>
          </w:tcPr>
          <w:p w14:paraId="34129EB5"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15,317</w:t>
            </w:r>
          </w:p>
        </w:tc>
        <w:tc>
          <w:tcPr>
            <w:tcW w:w="269" w:type="pct"/>
          </w:tcPr>
          <w:p w14:paraId="495F4EF5"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44</w:t>
            </w:r>
          </w:p>
        </w:tc>
        <w:tc>
          <w:tcPr>
            <w:tcW w:w="224" w:type="pct"/>
            <w:vAlign w:val="bottom"/>
          </w:tcPr>
          <w:p w14:paraId="6864F899"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1,768</w:t>
            </w:r>
          </w:p>
        </w:tc>
        <w:tc>
          <w:tcPr>
            <w:tcW w:w="313" w:type="pct"/>
            <w:vAlign w:val="bottom"/>
          </w:tcPr>
          <w:p w14:paraId="04A1FF7F"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14,055</w:t>
            </w:r>
          </w:p>
        </w:tc>
        <w:tc>
          <w:tcPr>
            <w:tcW w:w="269" w:type="pct"/>
            <w:vAlign w:val="bottom"/>
          </w:tcPr>
          <w:p w14:paraId="55D34C8E"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34</w:t>
            </w:r>
          </w:p>
        </w:tc>
        <w:tc>
          <w:tcPr>
            <w:tcW w:w="268" w:type="pct"/>
          </w:tcPr>
          <w:p w14:paraId="262CBDE0"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2,083</w:t>
            </w:r>
          </w:p>
        </w:tc>
        <w:tc>
          <w:tcPr>
            <w:tcW w:w="313" w:type="pct"/>
          </w:tcPr>
          <w:p w14:paraId="1D7D0F7F"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17,191</w:t>
            </w:r>
          </w:p>
        </w:tc>
        <w:tc>
          <w:tcPr>
            <w:tcW w:w="269" w:type="pct"/>
          </w:tcPr>
          <w:p w14:paraId="61C83BCC"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32</w:t>
            </w:r>
          </w:p>
        </w:tc>
        <w:tc>
          <w:tcPr>
            <w:tcW w:w="321" w:type="pct"/>
          </w:tcPr>
          <w:p w14:paraId="59AAF7F2" w14:textId="77777777" w:rsidR="00860F8E" w:rsidRPr="00184D24" w:rsidRDefault="00860F8E" w:rsidP="00EF6063">
            <w:pPr>
              <w:keepNext/>
              <w:spacing w:before="80" w:after="80"/>
              <w:jc w:val="center"/>
              <w:rPr>
                <w:rFonts w:ascii="Arial Narrow" w:hAnsi="Arial Narrow"/>
                <w:sz w:val="20"/>
              </w:rPr>
            </w:pPr>
            <w:r w:rsidRPr="00184D24">
              <w:rPr>
                <w:rFonts w:ascii="Arial Narrow" w:hAnsi="Arial Narrow"/>
                <w:sz w:val="20"/>
              </w:rPr>
              <w:t>2,137</w:t>
            </w:r>
          </w:p>
        </w:tc>
        <w:tc>
          <w:tcPr>
            <w:tcW w:w="424" w:type="pct"/>
          </w:tcPr>
          <w:p w14:paraId="0EF6DBE7" w14:textId="77777777" w:rsidR="00860F8E" w:rsidRPr="00184D24" w:rsidRDefault="00860F8E" w:rsidP="00EF6063">
            <w:pPr>
              <w:keepNext/>
              <w:spacing w:before="80" w:after="80"/>
              <w:jc w:val="center"/>
              <w:rPr>
                <w:rFonts w:ascii="Arial Narrow" w:hAnsi="Arial Narrow"/>
                <w:sz w:val="20"/>
              </w:rPr>
            </w:pPr>
            <w:r w:rsidRPr="00184D24">
              <w:rPr>
                <w:rFonts w:ascii="Arial Narrow" w:hAnsi="Arial Narrow"/>
                <w:sz w:val="20"/>
              </w:rPr>
              <w:t>15,992</w:t>
            </w:r>
          </w:p>
        </w:tc>
        <w:tc>
          <w:tcPr>
            <w:tcW w:w="417" w:type="pct"/>
          </w:tcPr>
          <w:p w14:paraId="2F5EF05B" w14:textId="77777777" w:rsidR="00860F8E" w:rsidRPr="00184D24" w:rsidRDefault="00860F8E" w:rsidP="00EF6063">
            <w:pPr>
              <w:keepNext/>
              <w:spacing w:before="80" w:after="80"/>
              <w:jc w:val="center"/>
              <w:rPr>
                <w:rFonts w:ascii="Arial Narrow" w:hAnsi="Arial Narrow"/>
                <w:sz w:val="20"/>
              </w:rPr>
            </w:pPr>
            <w:r w:rsidRPr="00184D24">
              <w:rPr>
                <w:rFonts w:ascii="Arial Narrow" w:hAnsi="Arial Narrow"/>
                <w:sz w:val="20"/>
              </w:rPr>
              <w:t>26</w:t>
            </w:r>
          </w:p>
        </w:tc>
      </w:tr>
      <w:tr w:rsidR="00860F8E" w:rsidRPr="0033044B" w14:paraId="27047A63" w14:textId="77777777" w:rsidTr="005D646B">
        <w:tc>
          <w:tcPr>
            <w:tcW w:w="392" w:type="pct"/>
          </w:tcPr>
          <w:p w14:paraId="37EE67E3" w14:textId="77777777" w:rsidR="00860F8E" w:rsidRPr="0033044B" w:rsidRDefault="00860F8E" w:rsidP="00EF6063">
            <w:pPr>
              <w:keepNext/>
              <w:spacing w:before="80" w:after="80"/>
              <w:rPr>
                <w:rFonts w:ascii="Arial Narrow" w:hAnsi="Arial Narrow"/>
                <w:sz w:val="20"/>
              </w:rPr>
            </w:pPr>
            <w:r w:rsidRPr="0033044B">
              <w:rPr>
                <w:rFonts w:ascii="Arial Narrow" w:hAnsi="Arial Narrow"/>
                <w:sz w:val="20"/>
              </w:rPr>
              <w:t xml:space="preserve">Class 2 </w:t>
            </w:r>
          </w:p>
        </w:tc>
        <w:tc>
          <w:tcPr>
            <w:tcW w:w="368" w:type="pct"/>
          </w:tcPr>
          <w:p w14:paraId="501440C3"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3,653</w:t>
            </w:r>
          </w:p>
        </w:tc>
        <w:tc>
          <w:tcPr>
            <w:tcW w:w="333" w:type="pct"/>
          </w:tcPr>
          <w:p w14:paraId="340555C1"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21,274</w:t>
            </w:r>
          </w:p>
        </w:tc>
        <w:tc>
          <w:tcPr>
            <w:tcW w:w="284" w:type="pct"/>
          </w:tcPr>
          <w:p w14:paraId="4BB78994"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101</w:t>
            </w:r>
          </w:p>
        </w:tc>
        <w:tc>
          <w:tcPr>
            <w:tcW w:w="223" w:type="pct"/>
          </w:tcPr>
          <w:p w14:paraId="5B25E302"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3,445</w:t>
            </w:r>
          </w:p>
        </w:tc>
        <w:tc>
          <w:tcPr>
            <w:tcW w:w="313" w:type="pct"/>
          </w:tcPr>
          <w:p w14:paraId="5782A150"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20,777</w:t>
            </w:r>
          </w:p>
        </w:tc>
        <w:tc>
          <w:tcPr>
            <w:tcW w:w="269" w:type="pct"/>
          </w:tcPr>
          <w:p w14:paraId="49734EE2"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78</w:t>
            </w:r>
          </w:p>
        </w:tc>
        <w:tc>
          <w:tcPr>
            <w:tcW w:w="224" w:type="pct"/>
            <w:vAlign w:val="bottom"/>
          </w:tcPr>
          <w:p w14:paraId="67A5FF41"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3,640</w:t>
            </w:r>
          </w:p>
        </w:tc>
        <w:tc>
          <w:tcPr>
            <w:tcW w:w="313" w:type="pct"/>
            <w:vAlign w:val="bottom"/>
          </w:tcPr>
          <w:p w14:paraId="663E4192"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19,183</w:t>
            </w:r>
          </w:p>
        </w:tc>
        <w:tc>
          <w:tcPr>
            <w:tcW w:w="269" w:type="pct"/>
            <w:vAlign w:val="bottom"/>
          </w:tcPr>
          <w:p w14:paraId="7D665986"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29</w:t>
            </w:r>
          </w:p>
        </w:tc>
        <w:tc>
          <w:tcPr>
            <w:tcW w:w="268" w:type="pct"/>
          </w:tcPr>
          <w:p w14:paraId="5A856190"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4,252</w:t>
            </w:r>
          </w:p>
        </w:tc>
        <w:tc>
          <w:tcPr>
            <w:tcW w:w="313" w:type="pct"/>
          </w:tcPr>
          <w:p w14:paraId="49FCC321"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23,216</w:t>
            </w:r>
          </w:p>
        </w:tc>
        <w:tc>
          <w:tcPr>
            <w:tcW w:w="269" w:type="pct"/>
          </w:tcPr>
          <w:p w14:paraId="00D69F76"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50</w:t>
            </w:r>
          </w:p>
        </w:tc>
        <w:tc>
          <w:tcPr>
            <w:tcW w:w="321" w:type="pct"/>
          </w:tcPr>
          <w:p w14:paraId="44B01682" w14:textId="77777777" w:rsidR="00860F8E" w:rsidRPr="00184D24" w:rsidRDefault="00860F8E" w:rsidP="00EF6063">
            <w:pPr>
              <w:keepNext/>
              <w:spacing w:before="80" w:after="80"/>
              <w:jc w:val="center"/>
              <w:rPr>
                <w:rFonts w:ascii="Arial Narrow" w:hAnsi="Arial Narrow"/>
                <w:sz w:val="20"/>
              </w:rPr>
            </w:pPr>
            <w:r w:rsidRPr="00184D24">
              <w:rPr>
                <w:rFonts w:ascii="Arial Narrow" w:hAnsi="Arial Narrow"/>
                <w:sz w:val="20"/>
              </w:rPr>
              <w:t>3,727</w:t>
            </w:r>
          </w:p>
        </w:tc>
        <w:tc>
          <w:tcPr>
            <w:tcW w:w="424" w:type="pct"/>
          </w:tcPr>
          <w:p w14:paraId="325C4C40" w14:textId="77777777" w:rsidR="00860F8E" w:rsidRPr="00184D24" w:rsidRDefault="00860F8E" w:rsidP="00EF6063">
            <w:pPr>
              <w:keepNext/>
              <w:spacing w:before="80" w:after="80"/>
              <w:jc w:val="center"/>
              <w:rPr>
                <w:rFonts w:ascii="Arial Narrow" w:hAnsi="Arial Narrow"/>
                <w:sz w:val="20"/>
              </w:rPr>
            </w:pPr>
            <w:r w:rsidRPr="00184D24">
              <w:rPr>
                <w:rFonts w:ascii="Arial Narrow" w:hAnsi="Arial Narrow"/>
                <w:sz w:val="20"/>
              </w:rPr>
              <w:t>21,253</w:t>
            </w:r>
          </w:p>
        </w:tc>
        <w:tc>
          <w:tcPr>
            <w:tcW w:w="417" w:type="pct"/>
          </w:tcPr>
          <w:p w14:paraId="19E5FC15" w14:textId="77777777" w:rsidR="00860F8E" w:rsidRPr="00184D24" w:rsidRDefault="00860F8E" w:rsidP="00EF6063">
            <w:pPr>
              <w:keepNext/>
              <w:spacing w:before="80" w:after="80"/>
              <w:jc w:val="center"/>
              <w:rPr>
                <w:rFonts w:ascii="Arial Narrow" w:hAnsi="Arial Narrow"/>
                <w:sz w:val="20"/>
              </w:rPr>
            </w:pPr>
            <w:r w:rsidRPr="00184D24">
              <w:rPr>
                <w:rFonts w:ascii="Arial Narrow" w:hAnsi="Arial Narrow"/>
                <w:sz w:val="20"/>
              </w:rPr>
              <w:t>24</w:t>
            </w:r>
          </w:p>
        </w:tc>
      </w:tr>
      <w:tr w:rsidR="00860F8E" w:rsidRPr="0033044B" w14:paraId="540BE0A8" w14:textId="77777777" w:rsidTr="005D646B">
        <w:tc>
          <w:tcPr>
            <w:tcW w:w="392" w:type="pct"/>
          </w:tcPr>
          <w:p w14:paraId="71D7E9C0" w14:textId="77777777" w:rsidR="00860F8E" w:rsidRPr="0033044B" w:rsidRDefault="00860F8E" w:rsidP="00EF6063">
            <w:pPr>
              <w:keepNext/>
              <w:spacing w:before="80" w:after="80"/>
              <w:rPr>
                <w:rFonts w:ascii="Arial Narrow" w:hAnsi="Arial Narrow"/>
                <w:sz w:val="20"/>
              </w:rPr>
            </w:pPr>
            <w:r w:rsidRPr="0033044B">
              <w:rPr>
                <w:rFonts w:ascii="Arial Narrow" w:hAnsi="Arial Narrow"/>
                <w:sz w:val="20"/>
              </w:rPr>
              <w:t xml:space="preserve">Class 3 </w:t>
            </w:r>
          </w:p>
        </w:tc>
        <w:tc>
          <w:tcPr>
            <w:tcW w:w="368" w:type="pct"/>
          </w:tcPr>
          <w:p w14:paraId="032F5707"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105</w:t>
            </w:r>
          </w:p>
        </w:tc>
        <w:tc>
          <w:tcPr>
            <w:tcW w:w="333" w:type="pct"/>
          </w:tcPr>
          <w:p w14:paraId="4A2A46CA"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667</w:t>
            </w:r>
          </w:p>
        </w:tc>
        <w:tc>
          <w:tcPr>
            <w:tcW w:w="284" w:type="pct"/>
          </w:tcPr>
          <w:p w14:paraId="52EA8368"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7</w:t>
            </w:r>
          </w:p>
        </w:tc>
        <w:tc>
          <w:tcPr>
            <w:tcW w:w="223" w:type="pct"/>
          </w:tcPr>
          <w:p w14:paraId="09C01D54"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134</w:t>
            </w:r>
          </w:p>
        </w:tc>
        <w:tc>
          <w:tcPr>
            <w:tcW w:w="313" w:type="pct"/>
          </w:tcPr>
          <w:p w14:paraId="2A31CC40"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732</w:t>
            </w:r>
          </w:p>
        </w:tc>
        <w:tc>
          <w:tcPr>
            <w:tcW w:w="269" w:type="pct"/>
          </w:tcPr>
          <w:p w14:paraId="53757795"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3</w:t>
            </w:r>
          </w:p>
        </w:tc>
        <w:tc>
          <w:tcPr>
            <w:tcW w:w="224" w:type="pct"/>
            <w:vAlign w:val="bottom"/>
          </w:tcPr>
          <w:p w14:paraId="5C798224"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92</w:t>
            </w:r>
          </w:p>
        </w:tc>
        <w:tc>
          <w:tcPr>
            <w:tcW w:w="313" w:type="pct"/>
            <w:vAlign w:val="bottom"/>
          </w:tcPr>
          <w:p w14:paraId="3C829850"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631</w:t>
            </w:r>
          </w:p>
        </w:tc>
        <w:tc>
          <w:tcPr>
            <w:tcW w:w="269" w:type="pct"/>
            <w:vAlign w:val="bottom"/>
          </w:tcPr>
          <w:p w14:paraId="791A0ADA"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3</w:t>
            </w:r>
          </w:p>
        </w:tc>
        <w:tc>
          <w:tcPr>
            <w:tcW w:w="268" w:type="pct"/>
          </w:tcPr>
          <w:p w14:paraId="771F4C92"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106</w:t>
            </w:r>
          </w:p>
        </w:tc>
        <w:tc>
          <w:tcPr>
            <w:tcW w:w="313" w:type="pct"/>
          </w:tcPr>
          <w:p w14:paraId="06C97527" w14:textId="77777777" w:rsidR="00860F8E" w:rsidRPr="0033044B" w:rsidRDefault="00860F8E" w:rsidP="00EF6063">
            <w:pPr>
              <w:keepNext/>
              <w:spacing w:before="80" w:after="80"/>
              <w:jc w:val="right"/>
              <w:rPr>
                <w:rFonts w:ascii="Arial Narrow" w:hAnsi="Arial Narrow"/>
                <w:sz w:val="20"/>
              </w:rPr>
            </w:pPr>
            <w:r w:rsidRPr="0033044B">
              <w:rPr>
                <w:rFonts w:ascii="Arial Narrow" w:hAnsi="Arial Narrow"/>
                <w:sz w:val="20"/>
              </w:rPr>
              <w:t>804</w:t>
            </w:r>
          </w:p>
        </w:tc>
        <w:tc>
          <w:tcPr>
            <w:tcW w:w="269" w:type="pct"/>
          </w:tcPr>
          <w:p w14:paraId="79A0133C" w14:textId="77777777" w:rsidR="00860F8E" w:rsidRPr="0033044B" w:rsidRDefault="00860F8E" w:rsidP="00EF6063">
            <w:pPr>
              <w:keepNext/>
              <w:spacing w:before="80" w:after="80"/>
              <w:jc w:val="center"/>
              <w:rPr>
                <w:rFonts w:ascii="Arial Narrow" w:hAnsi="Arial Narrow"/>
                <w:sz w:val="20"/>
              </w:rPr>
            </w:pPr>
            <w:r w:rsidRPr="0033044B">
              <w:rPr>
                <w:rFonts w:ascii="Arial Narrow" w:hAnsi="Arial Narrow"/>
                <w:sz w:val="20"/>
              </w:rPr>
              <w:t>2</w:t>
            </w:r>
          </w:p>
        </w:tc>
        <w:tc>
          <w:tcPr>
            <w:tcW w:w="321" w:type="pct"/>
          </w:tcPr>
          <w:p w14:paraId="0D0EDC3C" w14:textId="77777777" w:rsidR="00860F8E" w:rsidRPr="00184D24" w:rsidRDefault="00860F8E" w:rsidP="00EF6063">
            <w:pPr>
              <w:keepNext/>
              <w:spacing w:before="80" w:after="80"/>
              <w:jc w:val="center"/>
              <w:rPr>
                <w:rFonts w:ascii="Arial Narrow" w:hAnsi="Arial Narrow"/>
                <w:sz w:val="20"/>
              </w:rPr>
            </w:pPr>
            <w:r w:rsidRPr="00184D24">
              <w:rPr>
                <w:rFonts w:ascii="Arial Narrow" w:hAnsi="Arial Narrow"/>
                <w:sz w:val="20"/>
              </w:rPr>
              <w:t>70</w:t>
            </w:r>
          </w:p>
        </w:tc>
        <w:tc>
          <w:tcPr>
            <w:tcW w:w="424" w:type="pct"/>
          </w:tcPr>
          <w:p w14:paraId="0E23B1F5" w14:textId="77777777" w:rsidR="00860F8E" w:rsidRPr="00184D24" w:rsidRDefault="00860F8E" w:rsidP="00EF6063">
            <w:pPr>
              <w:keepNext/>
              <w:spacing w:before="80" w:after="80"/>
              <w:jc w:val="center"/>
              <w:rPr>
                <w:rFonts w:ascii="Arial Narrow" w:hAnsi="Arial Narrow"/>
                <w:sz w:val="20"/>
              </w:rPr>
            </w:pPr>
            <w:r w:rsidRPr="00184D24">
              <w:rPr>
                <w:rFonts w:ascii="Arial Narrow" w:hAnsi="Arial Narrow"/>
                <w:sz w:val="20"/>
              </w:rPr>
              <w:t>684</w:t>
            </w:r>
          </w:p>
        </w:tc>
        <w:tc>
          <w:tcPr>
            <w:tcW w:w="417" w:type="pct"/>
          </w:tcPr>
          <w:p w14:paraId="0A6EB469" w14:textId="77777777" w:rsidR="00860F8E" w:rsidRPr="00184D24" w:rsidRDefault="00860F8E" w:rsidP="00EF6063">
            <w:pPr>
              <w:keepNext/>
              <w:spacing w:before="80" w:after="80"/>
              <w:jc w:val="center"/>
              <w:rPr>
                <w:rFonts w:ascii="Arial Narrow" w:hAnsi="Arial Narrow"/>
                <w:sz w:val="20"/>
              </w:rPr>
            </w:pPr>
            <w:r w:rsidRPr="00184D24">
              <w:rPr>
                <w:rFonts w:ascii="Arial Narrow" w:hAnsi="Arial Narrow"/>
                <w:sz w:val="20"/>
              </w:rPr>
              <w:t>2</w:t>
            </w:r>
          </w:p>
        </w:tc>
      </w:tr>
      <w:tr w:rsidR="00860F8E" w:rsidRPr="00E564FD" w14:paraId="6F1AD5D3" w14:textId="77777777" w:rsidTr="005D646B">
        <w:tc>
          <w:tcPr>
            <w:tcW w:w="392" w:type="pct"/>
          </w:tcPr>
          <w:p w14:paraId="66B675EE" w14:textId="77777777" w:rsidR="00860F8E" w:rsidRPr="0033044B" w:rsidRDefault="00860F8E" w:rsidP="00EF6063">
            <w:pPr>
              <w:keepNext/>
              <w:spacing w:before="80" w:after="80"/>
              <w:rPr>
                <w:rFonts w:ascii="Arial Narrow" w:hAnsi="Arial Narrow"/>
                <w:b/>
                <w:sz w:val="20"/>
              </w:rPr>
            </w:pPr>
            <w:r w:rsidRPr="0033044B">
              <w:rPr>
                <w:rFonts w:ascii="Arial Narrow" w:hAnsi="Arial Narrow"/>
                <w:b/>
                <w:sz w:val="20"/>
              </w:rPr>
              <w:t xml:space="preserve">Total </w:t>
            </w:r>
          </w:p>
        </w:tc>
        <w:tc>
          <w:tcPr>
            <w:tcW w:w="368" w:type="pct"/>
          </w:tcPr>
          <w:p w14:paraId="00D710B1" w14:textId="77777777" w:rsidR="00860F8E" w:rsidRPr="0033044B" w:rsidRDefault="00860F8E" w:rsidP="00EF6063">
            <w:pPr>
              <w:keepNext/>
              <w:spacing w:before="80" w:after="80"/>
              <w:jc w:val="center"/>
              <w:rPr>
                <w:rFonts w:ascii="Arial Narrow" w:hAnsi="Arial Narrow"/>
                <w:b/>
                <w:sz w:val="20"/>
              </w:rPr>
            </w:pPr>
            <w:r w:rsidRPr="0033044B">
              <w:rPr>
                <w:rFonts w:ascii="Arial Narrow" w:hAnsi="Arial Narrow"/>
                <w:b/>
                <w:sz w:val="20"/>
              </w:rPr>
              <w:t>4,225</w:t>
            </w:r>
          </w:p>
        </w:tc>
        <w:tc>
          <w:tcPr>
            <w:tcW w:w="333" w:type="pct"/>
          </w:tcPr>
          <w:p w14:paraId="55A818FC" w14:textId="77777777" w:rsidR="00860F8E" w:rsidRPr="0033044B" w:rsidRDefault="00860F8E" w:rsidP="00EF6063">
            <w:pPr>
              <w:keepNext/>
              <w:spacing w:before="80" w:after="80"/>
              <w:jc w:val="center"/>
              <w:rPr>
                <w:rFonts w:ascii="Arial Narrow" w:hAnsi="Arial Narrow"/>
                <w:b/>
                <w:sz w:val="20"/>
              </w:rPr>
            </w:pPr>
            <w:r w:rsidRPr="0033044B">
              <w:rPr>
                <w:rFonts w:ascii="Arial Narrow" w:hAnsi="Arial Narrow"/>
                <w:b/>
                <w:sz w:val="20"/>
              </w:rPr>
              <w:t>22,001</w:t>
            </w:r>
          </w:p>
        </w:tc>
        <w:tc>
          <w:tcPr>
            <w:tcW w:w="284" w:type="pct"/>
          </w:tcPr>
          <w:p w14:paraId="2CD36EB7" w14:textId="77777777" w:rsidR="00860F8E" w:rsidRPr="0033044B" w:rsidRDefault="00860F8E" w:rsidP="00EF6063">
            <w:pPr>
              <w:keepNext/>
              <w:spacing w:before="80" w:after="80"/>
              <w:jc w:val="center"/>
              <w:rPr>
                <w:rFonts w:ascii="Arial Narrow" w:hAnsi="Arial Narrow"/>
                <w:b/>
                <w:sz w:val="20"/>
              </w:rPr>
            </w:pPr>
            <w:r w:rsidRPr="0033044B">
              <w:rPr>
                <w:rFonts w:ascii="Arial Narrow" w:hAnsi="Arial Narrow"/>
                <w:b/>
                <w:sz w:val="20"/>
              </w:rPr>
              <w:t>164</w:t>
            </w:r>
          </w:p>
        </w:tc>
        <w:tc>
          <w:tcPr>
            <w:tcW w:w="223" w:type="pct"/>
          </w:tcPr>
          <w:p w14:paraId="464B2863" w14:textId="77777777" w:rsidR="00860F8E" w:rsidRPr="0033044B" w:rsidRDefault="00860F8E" w:rsidP="00EF6063">
            <w:pPr>
              <w:keepNext/>
              <w:spacing w:before="80" w:after="80"/>
              <w:jc w:val="right"/>
              <w:rPr>
                <w:rFonts w:ascii="Arial Narrow" w:hAnsi="Arial Narrow"/>
                <w:b/>
                <w:sz w:val="20"/>
              </w:rPr>
            </w:pPr>
            <w:r w:rsidRPr="0033044B">
              <w:rPr>
                <w:rFonts w:ascii="Arial Narrow" w:hAnsi="Arial Narrow"/>
                <w:b/>
                <w:sz w:val="20"/>
              </w:rPr>
              <w:t>4,029</w:t>
            </w:r>
          </w:p>
        </w:tc>
        <w:tc>
          <w:tcPr>
            <w:tcW w:w="313" w:type="pct"/>
          </w:tcPr>
          <w:p w14:paraId="4C5949DC" w14:textId="77777777" w:rsidR="00860F8E" w:rsidRPr="0033044B" w:rsidRDefault="00860F8E" w:rsidP="00EF6063">
            <w:pPr>
              <w:keepNext/>
              <w:spacing w:before="80" w:after="80"/>
              <w:jc w:val="right"/>
              <w:rPr>
                <w:rFonts w:ascii="Arial Narrow" w:hAnsi="Arial Narrow"/>
                <w:b/>
                <w:sz w:val="20"/>
              </w:rPr>
            </w:pPr>
            <w:r w:rsidRPr="0033044B">
              <w:rPr>
                <w:rFonts w:ascii="Arial Narrow" w:hAnsi="Arial Narrow"/>
                <w:b/>
                <w:sz w:val="20"/>
              </w:rPr>
              <w:t>21,535</w:t>
            </w:r>
          </w:p>
        </w:tc>
        <w:tc>
          <w:tcPr>
            <w:tcW w:w="269" w:type="pct"/>
          </w:tcPr>
          <w:p w14:paraId="18736C58" w14:textId="77777777" w:rsidR="00860F8E" w:rsidRPr="0033044B" w:rsidRDefault="00860F8E" w:rsidP="00EF6063">
            <w:pPr>
              <w:keepNext/>
              <w:spacing w:before="80" w:after="80"/>
              <w:jc w:val="center"/>
              <w:rPr>
                <w:rFonts w:ascii="Arial Narrow" w:hAnsi="Arial Narrow"/>
                <w:b/>
                <w:sz w:val="20"/>
              </w:rPr>
            </w:pPr>
            <w:r w:rsidRPr="0033044B">
              <w:rPr>
                <w:rFonts w:ascii="Arial Narrow" w:hAnsi="Arial Narrow"/>
                <w:b/>
                <w:sz w:val="20"/>
              </w:rPr>
              <w:t>125</w:t>
            </w:r>
          </w:p>
        </w:tc>
        <w:tc>
          <w:tcPr>
            <w:tcW w:w="224" w:type="pct"/>
            <w:vAlign w:val="bottom"/>
          </w:tcPr>
          <w:p w14:paraId="1F102345" w14:textId="77777777" w:rsidR="00860F8E" w:rsidRPr="0033044B" w:rsidRDefault="00860F8E" w:rsidP="00EF6063">
            <w:pPr>
              <w:keepNext/>
              <w:spacing w:before="80" w:after="80"/>
              <w:jc w:val="right"/>
              <w:rPr>
                <w:rFonts w:ascii="Arial Narrow" w:hAnsi="Arial Narrow"/>
                <w:b/>
                <w:sz w:val="20"/>
              </w:rPr>
            </w:pPr>
            <w:r w:rsidRPr="0033044B">
              <w:rPr>
                <w:rFonts w:ascii="Arial Narrow" w:hAnsi="Arial Narrow"/>
                <w:b/>
                <w:sz w:val="20"/>
              </w:rPr>
              <w:t>4,229</w:t>
            </w:r>
          </w:p>
        </w:tc>
        <w:tc>
          <w:tcPr>
            <w:tcW w:w="313" w:type="pct"/>
            <w:vAlign w:val="bottom"/>
          </w:tcPr>
          <w:p w14:paraId="4925C37D" w14:textId="77777777" w:rsidR="00860F8E" w:rsidRPr="0033044B" w:rsidRDefault="00860F8E" w:rsidP="00EF6063">
            <w:pPr>
              <w:keepNext/>
              <w:spacing w:before="80" w:after="80"/>
              <w:jc w:val="right"/>
              <w:rPr>
                <w:rFonts w:ascii="Arial Narrow" w:hAnsi="Arial Narrow"/>
                <w:b/>
                <w:sz w:val="20"/>
              </w:rPr>
            </w:pPr>
            <w:r w:rsidRPr="0033044B">
              <w:rPr>
                <w:rFonts w:ascii="Arial Narrow" w:hAnsi="Arial Narrow"/>
                <w:b/>
                <w:sz w:val="20"/>
              </w:rPr>
              <w:t>19,901</w:t>
            </w:r>
          </w:p>
        </w:tc>
        <w:tc>
          <w:tcPr>
            <w:tcW w:w="269" w:type="pct"/>
            <w:vAlign w:val="bottom"/>
          </w:tcPr>
          <w:p w14:paraId="48C97FCE" w14:textId="77777777" w:rsidR="00860F8E" w:rsidRPr="0033044B" w:rsidRDefault="00860F8E" w:rsidP="00EF6063">
            <w:pPr>
              <w:keepNext/>
              <w:spacing w:before="80" w:after="80"/>
              <w:jc w:val="center"/>
              <w:rPr>
                <w:rFonts w:ascii="Arial Narrow" w:hAnsi="Arial Narrow"/>
                <w:b/>
                <w:sz w:val="20"/>
              </w:rPr>
            </w:pPr>
            <w:r w:rsidRPr="0033044B">
              <w:rPr>
                <w:rFonts w:ascii="Arial Narrow" w:hAnsi="Arial Narrow"/>
                <w:b/>
                <w:sz w:val="20"/>
              </w:rPr>
              <w:t>66</w:t>
            </w:r>
          </w:p>
        </w:tc>
        <w:tc>
          <w:tcPr>
            <w:tcW w:w="268" w:type="pct"/>
          </w:tcPr>
          <w:p w14:paraId="7538E32A" w14:textId="77777777" w:rsidR="00860F8E" w:rsidRPr="0033044B" w:rsidRDefault="00860F8E" w:rsidP="00EF6063">
            <w:pPr>
              <w:keepNext/>
              <w:spacing w:before="80" w:after="80"/>
              <w:jc w:val="center"/>
              <w:rPr>
                <w:rFonts w:ascii="Arial Narrow" w:hAnsi="Arial Narrow"/>
                <w:b/>
                <w:sz w:val="20"/>
              </w:rPr>
            </w:pPr>
            <w:r w:rsidRPr="0033044B">
              <w:rPr>
                <w:rFonts w:ascii="Arial Narrow" w:hAnsi="Arial Narrow"/>
                <w:b/>
                <w:sz w:val="20"/>
              </w:rPr>
              <w:t>4,718</w:t>
            </w:r>
          </w:p>
        </w:tc>
        <w:tc>
          <w:tcPr>
            <w:tcW w:w="313" w:type="pct"/>
          </w:tcPr>
          <w:p w14:paraId="226FC097" w14:textId="77777777" w:rsidR="00860F8E" w:rsidRPr="0033044B" w:rsidRDefault="00860F8E" w:rsidP="00EF6063">
            <w:pPr>
              <w:keepNext/>
              <w:spacing w:before="80" w:after="80"/>
              <w:jc w:val="right"/>
              <w:rPr>
                <w:rFonts w:ascii="Arial Narrow" w:hAnsi="Arial Narrow"/>
                <w:b/>
                <w:sz w:val="20"/>
              </w:rPr>
            </w:pPr>
            <w:r w:rsidRPr="0033044B">
              <w:rPr>
                <w:rFonts w:ascii="Arial Narrow" w:hAnsi="Arial Narrow"/>
                <w:b/>
                <w:sz w:val="20"/>
              </w:rPr>
              <w:t>23,928</w:t>
            </w:r>
          </w:p>
        </w:tc>
        <w:tc>
          <w:tcPr>
            <w:tcW w:w="269" w:type="pct"/>
          </w:tcPr>
          <w:p w14:paraId="343C1DEC" w14:textId="77777777" w:rsidR="00860F8E" w:rsidRPr="0033044B" w:rsidRDefault="00860F8E" w:rsidP="00EF6063">
            <w:pPr>
              <w:keepNext/>
              <w:spacing w:before="80" w:after="80"/>
              <w:jc w:val="center"/>
              <w:rPr>
                <w:rFonts w:ascii="Arial Narrow" w:hAnsi="Arial Narrow"/>
                <w:b/>
                <w:sz w:val="20"/>
              </w:rPr>
            </w:pPr>
            <w:r w:rsidRPr="0033044B">
              <w:rPr>
                <w:rFonts w:ascii="Arial Narrow" w:hAnsi="Arial Narrow"/>
                <w:b/>
                <w:sz w:val="20"/>
              </w:rPr>
              <w:t>84</w:t>
            </w:r>
          </w:p>
        </w:tc>
        <w:tc>
          <w:tcPr>
            <w:tcW w:w="321" w:type="pct"/>
          </w:tcPr>
          <w:p w14:paraId="0154C200" w14:textId="77777777" w:rsidR="00860F8E" w:rsidRPr="00184D24" w:rsidRDefault="00860F8E" w:rsidP="00EF6063">
            <w:pPr>
              <w:keepNext/>
              <w:spacing w:before="80" w:after="80"/>
              <w:jc w:val="center"/>
              <w:rPr>
                <w:rFonts w:ascii="Arial Narrow" w:hAnsi="Arial Narrow"/>
                <w:b/>
                <w:sz w:val="20"/>
              </w:rPr>
            </w:pPr>
            <w:r w:rsidRPr="00184D24">
              <w:rPr>
                <w:rFonts w:ascii="Arial Narrow" w:hAnsi="Arial Narrow"/>
                <w:b/>
                <w:sz w:val="20"/>
              </w:rPr>
              <w:t>4,146</w:t>
            </w:r>
          </w:p>
        </w:tc>
        <w:tc>
          <w:tcPr>
            <w:tcW w:w="424" w:type="pct"/>
          </w:tcPr>
          <w:p w14:paraId="2BA3369E" w14:textId="77777777" w:rsidR="00860F8E" w:rsidRPr="00184D24" w:rsidRDefault="00860F8E" w:rsidP="00EF6063">
            <w:pPr>
              <w:keepNext/>
              <w:spacing w:before="80" w:after="80"/>
              <w:jc w:val="center"/>
              <w:rPr>
                <w:rFonts w:ascii="Arial Narrow" w:hAnsi="Arial Narrow"/>
                <w:b/>
                <w:sz w:val="20"/>
              </w:rPr>
            </w:pPr>
            <w:r w:rsidRPr="00184D24">
              <w:rPr>
                <w:rFonts w:ascii="Arial Narrow" w:hAnsi="Arial Narrow"/>
                <w:b/>
                <w:sz w:val="20"/>
              </w:rPr>
              <w:t>21,835</w:t>
            </w:r>
          </w:p>
        </w:tc>
        <w:tc>
          <w:tcPr>
            <w:tcW w:w="417" w:type="pct"/>
          </w:tcPr>
          <w:p w14:paraId="2F732338" w14:textId="77777777" w:rsidR="00860F8E" w:rsidRPr="00184D24" w:rsidRDefault="00860F8E" w:rsidP="00EF6063">
            <w:pPr>
              <w:keepNext/>
              <w:spacing w:before="80" w:after="80"/>
              <w:jc w:val="center"/>
              <w:rPr>
                <w:rFonts w:ascii="Arial Narrow" w:hAnsi="Arial Narrow"/>
                <w:b/>
                <w:sz w:val="20"/>
              </w:rPr>
            </w:pPr>
            <w:r w:rsidRPr="00184D24">
              <w:rPr>
                <w:rFonts w:ascii="Arial Narrow" w:hAnsi="Arial Narrow"/>
                <w:b/>
                <w:sz w:val="20"/>
              </w:rPr>
              <w:t>52</w:t>
            </w:r>
          </w:p>
        </w:tc>
      </w:tr>
    </w:tbl>
    <w:p w14:paraId="7389E3DE" w14:textId="77777777" w:rsidR="00860F8E" w:rsidRPr="00C473FA" w:rsidRDefault="00860F8E" w:rsidP="00860F8E">
      <w:pPr>
        <w:keepLines/>
        <w:tabs>
          <w:tab w:val="left" w:pos="284"/>
          <w:tab w:val="left" w:pos="567"/>
        </w:tabs>
        <w:spacing w:before="60"/>
        <w:rPr>
          <w:rFonts w:ascii="Arial Narrow" w:hAnsi="Arial Narrow"/>
          <w:sz w:val="16"/>
        </w:rPr>
      </w:pPr>
      <w:r w:rsidRPr="009F1C5D">
        <w:rPr>
          <w:rFonts w:ascii="Arial Narrow" w:hAnsi="Arial Narrow"/>
          <w:b/>
          <w:sz w:val="16"/>
          <w:szCs w:val="16"/>
        </w:rPr>
        <w:t>Note</w:t>
      </w:r>
      <w:r w:rsidRPr="009F1C5D">
        <w:rPr>
          <w:rFonts w:ascii="Arial Narrow" w:hAnsi="Arial Narrow"/>
          <w:sz w:val="16"/>
          <w:szCs w:val="16"/>
        </w:rPr>
        <w:t>: The certificate classes are 1 Professional pilots and flight engineers, 2 Student and private pilots, and 3 Air traffic control and flight service providers. A certificate issued may have more than one class of medical: for example, all Class 1 medicals are automatically issued a class 2 medical. The total shown is the total number of certificates issued, not the sum of the three licence classes for initial issues or renewals</w:t>
      </w:r>
      <w:r>
        <w:rPr>
          <w:rFonts w:ascii="Arial Narrow" w:hAnsi="Arial Narrow"/>
          <w:sz w:val="16"/>
          <w:szCs w:val="16"/>
        </w:rPr>
        <w:t>.</w:t>
      </w:r>
    </w:p>
    <w:p w14:paraId="0BF7A693" w14:textId="77777777" w:rsidR="00860F8E" w:rsidRPr="00C473FA" w:rsidRDefault="00860F8E" w:rsidP="00860F8E">
      <w:pPr>
        <w:keepNext/>
        <w:spacing w:before="180" w:after="240"/>
        <w:ind w:left="1440" w:hanging="1440"/>
        <w:rPr>
          <w:rFonts w:ascii="Arial Narrow" w:hAnsi="Arial Narrow"/>
          <w:sz w:val="16"/>
          <w:lang w:eastAsia="en-AU"/>
        </w:rPr>
        <w:sectPr w:rsidR="00860F8E" w:rsidRPr="00C473FA" w:rsidSect="002E1C33">
          <w:pgSz w:w="16838" w:h="11906" w:orient="landscape"/>
          <w:pgMar w:top="1440" w:right="567" w:bottom="1440" w:left="1440" w:header="708" w:footer="708" w:gutter="0"/>
          <w:cols w:space="708"/>
          <w:docGrid w:linePitch="360"/>
        </w:sectPr>
      </w:pPr>
    </w:p>
    <w:p w14:paraId="36BE10AC" w14:textId="77777777" w:rsidR="00860F8E" w:rsidRPr="002B180A" w:rsidRDefault="00860F8E" w:rsidP="00860F8E">
      <w:pPr>
        <w:pStyle w:val="Heading2"/>
      </w:pPr>
      <w:r w:rsidRPr="002B180A">
        <w:lastRenderedPageBreak/>
        <w:t>Maintenance organisations</w:t>
      </w:r>
    </w:p>
    <w:p w14:paraId="349263F6" w14:textId="77777777" w:rsidR="00860F8E" w:rsidRPr="00ED207A" w:rsidRDefault="00860F8E" w:rsidP="00860F8E">
      <w:pPr>
        <w:pStyle w:val="TableName"/>
      </w:pPr>
      <w:r w:rsidRPr="00ED207A">
        <w:t>Table A.6</w:t>
      </w:r>
      <w:r w:rsidRPr="00ED207A">
        <w:tab/>
        <w:t xml:space="preserve">Certificates of </w:t>
      </w:r>
      <w:r>
        <w:t>a</w:t>
      </w:r>
      <w:r w:rsidRPr="00ED207A">
        <w:t>pproval, 201</w:t>
      </w:r>
      <w:r>
        <w:t>3</w:t>
      </w:r>
      <w:r w:rsidRPr="00ED207A">
        <w:t>–1</w:t>
      </w:r>
      <w:r>
        <w:t>4</w:t>
      </w:r>
      <w:r w:rsidRPr="00ED207A">
        <w:t xml:space="preserve"> to 201</w:t>
      </w:r>
      <w:r>
        <w:t>7</w:t>
      </w:r>
      <w:r w:rsidRPr="00ED207A">
        <w:t>–1</w:t>
      </w:r>
      <w:r>
        <w:t>8</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5"/>
        <w:gridCol w:w="1424"/>
        <w:gridCol w:w="1424"/>
        <w:gridCol w:w="1424"/>
        <w:gridCol w:w="1424"/>
        <w:gridCol w:w="1422"/>
      </w:tblGrid>
      <w:tr w:rsidR="00860F8E" w:rsidRPr="00053FD1" w14:paraId="6E028CE6" w14:textId="77777777" w:rsidTr="005D646B">
        <w:trPr>
          <w:tblHeader/>
        </w:trPr>
        <w:tc>
          <w:tcPr>
            <w:tcW w:w="1056" w:type="pct"/>
            <w:tcMar>
              <w:top w:w="0" w:type="dxa"/>
              <w:left w:w="108" w:type="dxa"/>
              <w:bottom w:w="0" w:type="dxa"/>
              <w:right w:w="108" w:type="dxa"/>
            </w:tcMar>
            <w:hideMark/>
          </w:tcPr>
          <w:p w14:paraId="6F11A729"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Type of application</w:t>
            </w:r>
          </w:p>
        </w:tc>
        <w:tc>
          <w:tcPr>
            <w:tcW w:w="789" w:type="pct"/>
          </w:tcPr>
          <w:p w14:paraId="1346C516"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2013–14</w:t>
            </w:r>
          </w:p>
        </w:tc>
        <w:tc>
          <w:tcPr>
            <w:tcW w:w="789" w:type="pct"/>
          </w:tcPr>
          <w:p w14:paraId="1D0393C4"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2014–15</w:t>
            </w:r>
          </w:p>
        </w:tc>
        <w:tc>
          <w:tcPr>
            <w:tcW w:w="789" w:type="pct"/>
          </w:tcPr>
          <w:p w14:paraId="2D489794"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2015–16</w:t>
            </w:r>
          </w:p>
        </w:tc>
        <w:tc>
          <w:tcPr>
            <w:tcW w:w="789" w:type="pct"/>
          </w:tcPr>
          <w:p w14:paraId="54EBC648"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2016–17</w:t>
            </w:r>
          </w:p>
        </w:tc>
        <w:tc>
          <w:tcPr>
            <w:tcW w:w="789" w:type="pct"/>
            <w:hideMark/>
          </w:tcPr>
          <w:p w14:paraId="742296DD"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2017–18</w:t>
            </w:r>
          </w:p>
        </w:tc>
      </w:tr>
      <w:tr w:rsidR="00860F8E" w:rsidRPr="00053FD1" w14:paraId="3F50F116" w14:textId="77777777" w:rsidTr="005D646B">
        <w:tc>
          <w:tcPr>
            <w:tcW w:w="1056" w:type="pct"/>
            <w:tcMar>
              <w:top w:w="0" w:type="dxa"/>
              <w:left w:w="108" w:type="dxa"/>
              <w:bottom w:w="0" w:type="dxa"/>
              <w:right w:w="108" w:type="dxa"/>
            </w:tcMar>
            <w:hideMark/>
          </w:tcPr>
          <w:p w14:paraId="72E4540E"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 xml:space="preserve">Initial issue </w:t>
            </w:r>
          </w:p>
        </w:tc>
        <w:tc>
          <w:tcPr>
            <w:tcW w:w="789" w:type="pct"/>
          </w:tcPr>
          <w:p w14:paraId="3C798AB5" w14:textId="77777777" w:rsidR="00860F8E" w:rsidRPr="00053FD1" w:rsidRDefault="00860F8E" w:rsidP="00EF6063">
            <w:pPr>
              <w:keepNext/>
              <w:spacing w:before="80" w:after="80"/>
              <w:ind w:left="18" w:right="588"/>
              <w:jc w:val="right"/>
              <w:rPr>
                <w:rFonts w:ascii="Arial Narrow" w:hAnsi="Arial Narrow"/>
                <w:sz w:val="20"/>
              </w:rPr>
            </w:pPr>
            <w:r w:rsidRPr="00053FD1">
              <w:rPr>
                <w:rFonts w:ascii="Arial Narrow" w:hAnsi="Arial Narrow"/>
                <w:sz w:val="20"/>
              </w:rPr>
              <w:t>22</w:t>
            </w:r>
          </w:p>
        </w:tc>
        <w:tc>
          <w:tcPr>
            <w:tcW w:w="789" w:type="pct"/>
          </w:tcPr>
          <w:p w14:paraId="1DCB11B4"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19</w:t>
            </w:r>
          </w:p>
        </w:tc>
        <w:tc>
          <w:tcPr>
            <w:tcW w:w="789" w:type="pct"/>
          </w:tcPr>
          <w:p w14:paraId="1272F8F7"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17</w:t>
            </w:r>
          </w:p>
        </w:tc>
        <w:tc>
          <w:tcPr>
            <w:tcW w:w="789" w:type="pct"/>
          </w:tcPr>
          <w:p w14:paraId="5FC5D5A6"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13</w:t>
            </w:r>
          </w:p>
        </w:tc>
        <w:tc>
          <w:tcPr>
            <w:tcW w:w="789" w:type="pct"/>
          </w:tcPr>
          <w:p w14:paraId="43A22ACE"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12</w:t>
            </w:r>
          </w:p>
        </w:tc>
      </w:tr>
      <w:tr w:rsidR="00860F8E" w:rsidRPr="00053FD1" w14:paraId="0C9F6A2F" w14:textId="77777777" w:rsidTr="005D646B">
        <w:tc>
          <w:tcPr>
            <w:tcW w:w="1056" w:type="pct"/>
            <w:tcMar>
              <w:top w:w="0" w:type="dxa"/>
              <w:left w:w="108" w:type="dxa"/>
              <w:bottom w:w="0" w:type="dxa"/>
              <w:right w:w="108" w:type="dxa"/>
            </w:tcMar>
            <w:hideMark/>
          </w:tcPr>
          <w:p w14:paraId="1F3DA113"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 xml:space="preserve">Subsequent issue </w:t>
            </w:r>
          </w:p>
        </w:tc>
        <w:tc>
          <w:tcPr>
            <w:tcW w:w="789" w:type="pct"/>
          </w:tcPr>
          <w:p w14:paraId="1A5925B4"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79</w:t>
            </w:r>
          </w:p>
        </w:tc>
        <w:tc>
          <w:tcPr>
            <w:tcW w:w="789" w:type="pct"/>
          </w:tcPr>
          <w:p w14:paraId="69082F06"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32</w:t>
            </w:r>
          </w:p>
        </w:tc>
        <w:tc>
          <w:tcPr>
            <w:tcW w:w="789" w:type="pct"/>
          </w:tcPr>
          <w:p w14:paraId="7A00E1B4"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21</w:t>
            </w:r>
          </w:p>
        </w:tc>
        <w:tc>
          <w:tcPr>
            <w:tcW w:w="789" w:type="pct"/>
          </w:tcPr>
          <w:p w14:paraId="0EDF9F25"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18</w:t>
            </w:r>
          </w:p>
        </w:tc>
        <w:tc>
          <w:tcPr>
            <w:tcW w:w="789" w:type="pct"/>
          </w:tcPr>
          <w:p w14:paraId="33E8FF85"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13</w:t>
            </w:r>
          </w:p>
        </w:tc>
      </w:tr>
      <w:tr w:rsidR="00860F8E" w:rsidRPr="00053FD1" w14:paraId="414C67A2" w14:textId="77777777" w:rsidTr="005D646B">
        <w:tc>
          <w:tcPr>
            <w:tcW w:w="1056" w:type="pct"/>
            <w:tcMar>
              <w:top w:w="0" w:type="dxa"/>
              <w:left w:w="108" w:type="dxa"/>
              <w:bottom w:w="0" w:type="dxa"/>
              <w:right w:w="108" w:type="dxa"/>
            </w:tcMar>
            <w:hideMark/>
          </w:tcPr>
          <w:p w14:paraId="5AB950E2"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 xml:space="preserve">Variation </w:t>
            </w:r>
          </w:p>
        </w:tc>
        <w:tc>
          <w:tcPr>
            <w:tcW w:w="789" w:type="pct"/>
          </w:tcPr>
          <w:p w14:paraId="1260D6B4"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29</w:t>
            </w:r>
          </w:p>
        </w:tc>
        <w:tc>
          <w:tcPr>
            <w:tcW w:w="789" w:type="pct"/>
          </w:tcPr>
          <w:p w14:paraId="281980BF"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86</w:t>
            </w:r>
          </w:p>
        </w:tc>
        <w:tc>
          <w:tcPr>
            <w:tcW w:w="789" w:type="pct"/>
          </w:tcPr>
          <w:p w14:paraId="756CF28E"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95</w:t>
            </w:r>
          </w:p>
        </w:tc>
        <w:tc>
          <w:tcPr>
            <w:tcW w:w="789" w:type="pct"/>
          </w:tcPr>
          <w:p w14:paraId="6FA22340"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75</w:t>
            </w:r>
          </w:p>
        </w:tc>
        <w:tc>
          <w:tcPr>
            <w:tcW w:w="789" w:type="pct"/>
          </w:tcPr>
          <w:p w14:paraId="3A2F3D38"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63</w:t>
            </w:r>
          </w:p>
        </w:tc>
      </w:tr>
      <w:tr w:rsidR="00860F8E" w:rsidRPr="00053FD1" w14:paraId="3082D335" w14:textId="77777777" w:rsidTr="005D646B">
        <w:tc>
          <w:tcPr>
            <w:tcW w:w="1056" w:type="pct"/>
            <w:tcMar>
              <w:top w:w="0" w:type="dxa"/>
              <w:left w:w="108" w:type="dxa"/>
              <w:bottom w:w="0" w:type="dxa"/>
              <w:right w:w="108" w:type="dxa"/>
            </w:tcMar>
            <w:hideMark/>
          </w:tcPr>
          <w:p w14:paraId="2B3086F9" w14:textId="77777777" w:rsidR="00860F8E" w:rsidRPr="00053FD1" w:rsidRDefault="00860F8E" w:rsidP="00EF6063">
            <w:pPr>
              <w:keepNext/>
              <w:spacing w:before="80" w:after="80"/>
              <w:rPr>
                <w:rFonts w:ascii="Arial Narrow" w:hAnsi="Arial Narrow"/>
                <w:b/>
                <w:bCs/>
                <w:sz w:val="20"/>
              </w:rPr>
            </w:pPr>
            <w:r w:rsidRPr="00053FD1">
              <w:rPr>
                <w:rFonts w:ascii="Arial Narrow" w:hAnsi="Arial Narrow"/>
                <w:b/>
                <w:bCs/>
                <w:sz w:val="20"/>
              </w:rPr>
              <w:t xml:space="preserve">Total </w:t>
            </w:r>
          </w:p>
        </w:tc>
        <w:tc>
          <w:tcPr>
            <w:tcW w:w="789" w:type="pct"/>
          </w:tcPr>
          <w:p w14:paraId="7FB6BF1E" w14:textId="77777777" w:rsidR="00860F8E" w:rsidRPr="00053FD1" w:rsidRDefault="00860F8E" w:rsidP="00EF6063">
            <w:pPr>
              <w:keepNext/>
              <w:spacing w:before="80" w:after="80"/>
              <w:jc w:val="center"/>
              <w:rPr>
                <w:rFonts w:ascii="Arial Narrow" w:hAnsi="Arial Narrow"/>
                <w:b/>
                <w:bCs/>
                <w:sz w:val="20"/>
              </w:rPr>
            </w:pPr>
            <w:r w:rsidRPr="00053FD1">
              <w:rPr>
                <w:rFonts w:ascii="Arial Narrow" w:hAnsi="Arial Narrow"/>
                <w:b/>
                <w:bCs/>
                <w:sz w:val="20"/>
              </w:rPr>
              <w:t>130</w:t>
            </w:r>
          </w:p>
        </w:tc>
        <w:tc>
          <w:tcPr>
            <w:tcW w:w="789" w:type="pct"/>
          </w:tcPr>
          <w:p w14:paraId="20CED8BD" w14:textId="77777777" w:rsidR="00860F8E" w:rsidRPr="00053FD1" w:rsidRDefault="00860F8E" w:rsidP="00EF6063">
            <w:pPr>
              <w:keepNext/>
              <w:spacing w:before="80" w:after="80"/>
              <w:jc w:val="center"/>
              <w:rPr>
                <w:rFonts w:ascii="Arial Narrow" w:hAnsi="Arial Narrow"/>
                <w:b/>
                <w:bCs/>
                <w:sz w:val="20"/>
              </w:rPr>
            </w:pPr>
            <w:r w:rsidRPr="00053FD1">
              <w:rPr>
                <w:rFonts w:ascii="Arial Narrow" w:hAnsi="Arial Narrow"/>
                <w:b/>
                <w:bCs/>
                <w:sz w:val="20"/>
              </w:rPr>
              <w:t>137</w:t>
            </w:r>
          </w:p>
        </w:tc>
        <w:tc>
          <w:tcPr>
            <w:tcW w:w="789" w:type="pct"/>
          </w:tcPr>
          <w:p w14:paraId="3A5D816F" w14:textId="77777777" w:rsidR="00860F8E" w:rsidRPr="00053FD1" w:rsidRDefault="00860F8E" w:rsidP="00EF6063">
            <w:pPr>
              <w:keepNext/>
              <w:spacing w:before="80" w:after="80"/>
              <w:jc w:val="center"/>
              <w:rPr>
                <w:rFonts w:ascii="Arial Narrow" w:hAnsi="Arial Narrow"/>
                <w:b/>
                <w:bCs/>
                <w:sz w:val="20"/>
              </w:rPr>
            </w:pPr>
            <w:r w:rsidRPr="00053FD1">
              <w:rPr>
                <w:rFonts w:ascii="Arial Narrow" w:hAnsi="Arial Narrow"/>
                <w:b/>
                <w:bCs/>
                <w:sz w:val="20"/>
              </w:rPr>
              <w:t>133</w:t>
            </w:r>
          </w:p>
        </w:tc>
        <w:tc>
          <w:tcPr>
            <w:tcW w:w="789" w:type="pct"/>
          </w:tcPr>
          <w:p w14:paraId="303B50B3" w14:textId="77777777" w:rsidR="00860F8E" w:rsidRPr="00053FD1" w:rsidRDefault="00860F8E" w:rsidP="00EF6063">
            <w:pPr>
              <w:keepNext/>
              <w:spacing w:before="80" w:after="80"/>
              <w:jc w:val="center"/>
              <w:rPr>
                <w:rFonts w:ascii="Arial Narrow" w:hAnsi="Arial Narrow"/>
                <w:b/>
                <w:bCs/>
                <w:sz w:val="20"/>
              </w:rPr>
            </w:pPr>
            <w:r w:rsidRPr="00053FD1">
              <w:rPr>
                <w:rFonts w:ascii="Arial Narrow" w:hAnsi="Arial Narrow"/>
                <w:b/>
                <w:bCs/>
                <w:sz w:val="20"/>
              </w:rPr>
              <w:t>106</w:t>
            </w:r>
          </w:p>
        </w:tc>
        <w:tc>
          <w:tcPr>
            <w:tcW w:w="789" w:type="pct"/>
          </w:tcPr>
          <w:p w14:paraId="6E93A08A" w14:textId="77777777" w:rsidR="00860F8E" w:rsidRPr="00053FD1" w:rsidRDefault="00860F8E" w:rsidP="00EF6063">
            <w:pPr>
              <w:keepNext/>
              <w:spacing w:before="80" w:after="80"/>
              <w:jc w:val="center"/>
              <w:rPr>
                <w:rFonts w:ascii="Arial Narrow" w:hAnsi="Arial Narrow"/>
                <w:b/>
                <w:bCs/>
                <w:sz w:val="20"/>
              </w:rPr>
            </w:pPr>
            <w:r w:rsidRPr="00053FD1">
              <w:rPr>
                <w:rFonts w:ascii="Arial Narrow" w:hAnsi="Arial Narrow"/>
                <w:b/>
                <w:bCs/>
                <w:sz w:val="20"/>
              </w:rPr>
              <w:t>88</w:t>
            </w:r>
          </w:p>
        </w:tc>
      </w:tr>
      <w:tr w:rsidR="00860F8E" w:rsidRPr="00053FD1" w14:paraId="32528C77" w14:textId="77777777" w:rsidTr="005D646B">
        <w:tc>
          <w:tcPr>
            <w:tcW w:w="1056" w:type="pct"/>
            <w:tcMar>
              <w:top w:w="0" w:type="dxa"/>
              <w:left w:w="108" w:type="dxa"/>
              <w:bottom w:w="0" w:type="dxa"/>
              <w:right w:w="108" w:type="dxa"/>
            </w:tcMar>
            <w:hideMark/>
          </w:tcPr>
          <w:p w14:paraId="25ED6282"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Current certificates at 30 June</w:t>
            </w:r>
          </w:p>
        </w:tc>
        <w:tc>
          <w:tcPr>
            <w:tcW w:w="789" w:type="pct"/>
          </w:tcPr>
          <w:p w14:paraId="1EE8EF4B"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654</w:t>
            </w:r>
          </w:p>
        </w:tc>
        <w:tc>
          <w:tcPr>
            <w:tcW w:w="789" w:type="pct"/>
          </w:tcPr>
          <w:p w14:paraId="6930D075"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665</w:t>
            </w:r>
          </w:p>
        </w:tc>
        <w:tc>
          <w:tcPr>
            <w:tcW w:w="789" w:type="pct"/>
          </w:tcPr>
          <w:p w14:paraId="10BA0BE6"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653</w:t>
            </w:r>
          </w:p>
        </w:tc>
        <w:tc>
          <w:tcPr>
            <w:tcW w:w="789" w:type="pct"/>
          </w:tcPr>
          <w:p w14:paraId="4C671F8A"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619</w:t>
            </w:r>
            <w:r w:rsidRPr="00053FD1">
              <w:rPr>
                <w:rFonts w:ascii="Arial Narrow" w:hAnsi="Arial Narrow"/>
                <w:sz w:val="20"/>
                <w:vertAlign w:val="superscript"/>
              </w:rPr>
              <w:t>a</w:t>
            </w:r>
          </w:p>
        </w:tc>
        <w:tc>
          <w:tcPr>
            <w:tcW w:w="789" w:type="pct"/>
          </w:tcPr>
          <w:p w14:paraId="2B31D8AF"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629</w:t>
            </w:r>
          </w:p>
        </w:tc>
      </w:tr>
    </w:tbl>
    <w:p w14:paraId="23E3715F" w14:textId="77777777" w:rsidR="00860F8E" w:rsidRPr="00053FD1" w:rsidRDefault="00860F8E" w:rsidP="00860F8E">
      <w:pPr>
        <w:keepLines/>
        <w:tabs>
          <w:tab w:val="left" w:pos="284"/>
          <w:tab w:val="left" w:pos="567"/>
        </w:tabs>
        <w:spacing w:before="60" w:after="0"/>
        <w:rPr>
          <w:rFonts w:ascii="Arial Narrow" w:hAnsi="Arial Narrow"/>
          <w:sz w:val="16"/>
        </w:rPr>
      </w:pPr>
      <w:r w:rsidRPr="00053FD1">
        <w:rPr>
          <w:rFonts w:ascii="Arial Narrow" w:hAnsi="Arial Narrow"/>
          <w:b/>
          <w:sz w:val="16"/>
        </w:rPr>
        <w:t>Note</w:t>
      </w:r>
      <w:r w:rsidRPr="00053FD1">
        <w:rPr>
          <w:rFonts w:ascii="Arial Narrow" w:hAnsi="Arial Narrow"/>
          <w:sz w:val="16"/>
        </w:rPr>
        <w:t>:</w:t>
      </w:r>
      <w:r w:rsidRPr="00053FD1">
        <w:rPr>
          <w:rFonts w:ascii="Geometric415BT-BlackA" w:hAnsi="Geometric415BT-BlackA" w:cs="Geometric415BT-BlackA"/>
          <w:sz w:val="16"/>
        </w:rPr>
        <w:t xml:space="preserve"> </w:t>
      </w:r>
      <w:r w:rsidRPr="00053FD1">
        <w:rPr>
          <w:rFonts w:ascii="Arial Narrow" w:hAnsi="Arial Narrow"/>
          <w:sz w:val="16"/>
        </w:rPr>
        <w:t xml:space="preserve">Includes operators involved in one or more of aircraft and component maintenance, design (aircraft, components and materials), distribution (components and materials), aircraft maintenance engineer training and examinations. </w:t>
      </w:r>
    </w:p>
    <w:p w14:paraId="67810F91" w14:textId="77777777" w:rsidR="00860F8E" w:rsidRPr="00053FD1" w:rsidRDefault="00860F8E" w:rsidP="00860F8E">
      <w:pPr>
        <w:pStyle w:val="TableNotesLast"/>
      </w:pPr>
      <w:r w:rsidRPr="00053FD1">
        <w:t>a</w:t>
      </w:r>
      <w:r w:rsidRPr="00053FD1">
        <w:tab/>
        <w:t xml:space="preserve">In 2016–17, </w:t>
      </w:r>
      <w:r w:rsidRPr="00053FD1">
        <w:rPr>
          <w:rFonts w:eastAsia="Calibri"/>
        </w:rPr>
        <w:t>the cancelled and suspended certificates were subtracted from the total for current certificates.</w:t>
      </w:r>
    </w:p>
    <w:p w14:paraId="5D3F2782" w14:textId="77777777" w:rsidR="00860F8E" w:rsidRPr="00053FD1" w:rsidRDefault="00860F8E" w:rsidP="00860F8E">
      <w:pPr>
        <w:pStyle w:val="TableName"/>
      </w:pPr>
      <w:r w:rsidRPr="00053FD1">
        <w:t>Table A.7</w:t>
      </w:r>
      <w:r w:rsidRPr="00053FD1">
        <w:tab/>
        <w:t>Civil Aviation Safety Regulations Part 145 approval certificates, 2013–14 to 2017–18</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7"/>
        <w:gridCol w:w="1190"/>
        <w:gridCol w:w="1190"/>
        <w:gridCol w:w="1190"/>
        <w:gridCol w:w="1190"/>
        <w:gridCol w:w="1190"/>
      </w:tblGrid>
      <w:tr w:rsidR="00860F8E" w:rsidRPr="00053FD1" w14:paraId="0C92F567" w14:textId="77777777" w:rsidTr="005D646B">
        <w:trPr>
          <w:tblHeader/>
        </w:trPr>
        <w:tc>
          <w:tcPr>
            <w:tcW w:w="1705" w:type="pct"/>
            <w:tcMar>
              <w:top w:w="0" w:type="dxa"/>
              <w:left w:w="108" w:type="dxa"/>
              <w:bottom w:w="0" w:type="dxa"/>
              <w:right w:w="108" w:type="dxa"/>
            </w:tcMar>
            <w:hideMark/>
          </w:tcPr>
          <w:p w14:paraId="5ADB8D67"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Type of application</w:t>
            </w:r>
          </w:p>
        </w:tc>
        <w:tc>
          <w:tcPr>
            <w:tcW w:w="659" w:type="pct"/>
          </w:tcPr>
          <w:p w14:paraId="33CC86D4"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2013–14</w:t>
            </w:r>
          </w:p>
        </w:tc>
        <w:tc>
          <w:tcPr>
            <w:tcW w:w="659" w:type="pct"/>
          </w:tcPr>
          <w:p w14:paraId="485D47C2"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2014–15</w:t>
            </w:r>
          </w:p>
        </w:tc>
        <w:tc>
          <w:tcPr>
            <w:tcW w:w="659" w:type="pct"/>
          </w:tcPr>
          <w:p w14:paraId="3D96C806"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2015–16</w:t>
            </w:r>
          </w:p>
        </w:tc>
        <w:tc>
          <w:tcPr>
            <w:tcW w:w="659" w:type="pct"/>
          </w:tcPr>
          <w:p w14:paraId="5C847342"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2016–17</w:t>
            </w:r>
          </w:p>
        </w:tc>
        <w:tc>
          <w:tcPr>
            <w:tcW w:w="659" w:type="pct"/>
            <w:hideMark/>
          </w:tcPr>
          <w:p w14:paraId="60468616"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2017–18</w:t>
            </w:r>
          </w:p>
        </w:tc>
      </w:tr>
      <w:tr w:rsidR="00860F8E" w:rsidRPr="00053FD1" w14:paraId="1AEC9DAC" w14:textId="77777777" w:rsidTr="005D646B">
        <w:tc>
          <w:tcPr>
            <w:tcW w:w="1705" w:type="pct"/>
            <w:tcMar>
              <w:top w:w="0" w:type="dxa"/>
              <w:left w:w="108" w:type="dxa"/>
              <w:bottom w:w="0" w:type="dxa"/>
              <w:right w:w="108" w:type="dxa"/>
            </w:tcMar>
            <w:hideMark/>
          </w:tcPr>
          <w:p w14:paraId="7CDD2A1C"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Initial issue</w:t>
            </w:r>
          </w:p>
        </w:tc>
        <w:tc>
          <w:tcPr>
            <w:tcW w:w="659" w:type="pct"/>
          </w:tcPr>
          <w:p w14:paraId="4BA56F21"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30</w:t>
            </w:r>
          </w:p>
        </w:tc>
        <w:tc>
          <w:tcPr>
            <w:tcW w:w="659" w:type="pct"/>
          </w:tcPr>
          <w:p w14:paraId="24A521AD"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16</w:t>
            </w:r>
          </w:p>
        </w:tc>
        <w:tc>
          <w:tcPr>
            <w:tcW w:w="659" w:type="pct"/>
          </w:tcPr>
          <w:p w14:paraId="6E09B7C5"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10</w:t>
            </w:r>
          </w:p>
        </w:tc>
        <w:tc>
          <w:tcPr>
            <w:tcW w:w="659" w:type="pct"/>
          </w:tcPr>
          <w:p w14:paraId="05DBFD2D"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13</w:t>
            </w:r>
          </w:p>
        </w:tc>
        <w:tc>
          <w:tcPr>
            <w:tcW w:w="659" w:type="pct"/>
          </w:tcPr>
          <w:p w14:paraId="638C5D85"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3</w:t>
            </w:r>
          </w:p>
        </w:tc>
      </w:tr>
      <w:tr w:rsidR="00860F8E" w:rsidRPr="00053FD1" w14:paraId="77E16A17" w14:textId="77777777" w:rsidTr="005D646B">
        <w:tc>
          <w:tcPr>
            <w:tcW w:w="1705" w:type="pct"/>
            <w:tcMar>
              <w:top w:w="0" w:type="dxa"/>
              <w:left w:w="108" w:type="dxa"/>
              <w:bottom w:w="0" w:type="dxa"/>
              <w:right w:w="108" w:type="dxa"/>
            </w:tcMar>
            <w:hideMark/>
          </w:tcPr>
          <w:p w14:paraId="0269879C"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Subsequent issue</w:t>
            </w:r>
          </w:p>
        </w:tc>
        <w:tc>
          <w:tcPr>
            <w:tcW w:w="659" w:type="pct"/>
          </w:tcPr>
          <w:p w14:paraId="25842106"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14</w:t>
            </w:r>
          </w:p>
        </w:tc>
        <w:tc>
          <w:tcPr>
            <w:tcW w:w="659" w:type="pct"/>
          </w:tcPr>
          <w:p w14:paraId="58F3A33F"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17</w:t>
            </w:r>
          </w:p>
        </w:tc>
        <w:tc>
          <w:tcPr>
            <w:tcW w:w="659" w:type="pct"/>
          </w:tcPr>
          <w:p w14:paraId="15CA7DFB"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29</w:t>
            </w:r>
          </w:p>
        </w:tc>
        <w:tc>
          <w:tcPr>
            <w:tcW w:w="659" w:type="pct"/>
          </w:tcPr>
          <w:p w14:paraId="144FD4B6"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21</w:t>
            </w:r>
          </w:p>
        </w:tc>
        <w:tc>
          <w:tcPr>
            <w:tcW w:w="659" w:type="pct"/>
          </w:tcPr>
          <w:p w14:paraId="55A00B61"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49</w:t>
            </w:r>
          </w:p>
        </w:tc>
      </w:tr>
      <w:tr w:rsidR="00860F8E" w:rsidRPr="00053FD1" w14:paraId="22A4EEBA" w14:textId="77777777" w:rsidTr="005D646B">
        <w:tc>
          <w:tcPr>
            <w:tcW w:w="1705" w:type="pct"/>
            <w:tcMar>
              <w:top w:w="0" w:type="dxa"/>
              <w:left w:w="108" w:type="dxa"/>
              <w:bottom w:w="0" w:type="dxa"/>
              <w:right w:w="108" w:type="dxa"/>
            </w:tcMar>
            <w:hideMark/>
          </w:tcPr>
          <w:p w14:paraId="1DAFFD1A"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Variation</w:t>
            </w:r>
          </w:p>
        </w:tc>
        <w:tc>
          <w:tcPr>
            <w:tcW w:w="659" w:type="pct"/>
          </w:tcPr>
          <w:p w14:paraId="038D94F5"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107</w:t>
            </w:r>
          </w:p>
        </w:tc>
        <w:tc>
          <w:tcPr>
            <w:tcW w:w="659" w:type="pct"/>
          </w:tcPr>
          <w:p w14:paraId="69982B8E"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119</w:t>
            </w:r>
          </w:p>
        </w:tc>
        <w:tc>
          <w:tcPr>
            <w:tcW w:w="659" w:type="pct"/>
          </w:tcPr>
          <w:p w14:paraId="0DCBDB67"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157</w:t>
            </w:r>
          </w:p>
        </w:tc>
        <w:tc>
          <w:tcPr>
            <w:tcW w:w="659" w:type="pct"/>
          </w:tcPr>
          <w:p w14:paraId="60ACB8B6"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125</w:t>
            </w:r>
          </w:p>
        </w:tc>
        <w:tc>
          <w:tcPr>
            <w:tcW w:w="659" w:type="pct"/>
          </w:tcPr>
          <w:p w14:paraId="5D370418"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30</w:t>
            </w:r>
          </w:p>
        </w:tc>
      </w:tr>
      <w:tr w:rsidR="00860F8E" w:rsidRPr="00053FD1" w14:paraId="38C9D8C1" w14:textId="77777777" w:rsidTr="005D646B">
        <w:tc>
          <w:tcPr>
            <w:tcW w:w="1705" w:type="pct"/>
            <w:tcMar>
              <w:top w:w="0" w:type="dxa"/>
              <w:left w:w="108" w:type="dxa"/>
              <w:bottom w:w="0" w:type="dxa"/>
              <w:right w:w="108" w:type="dxa"/>
            </w:tcMar>
            <w:hideMark/>
          </w:tcPr>
          <w:p w14:paraId="2C671F87" w14:textId="77777777" w:rsidR="00860F8E" w:rsidRPr="00053FD1" w:rsidRDefault="00860F8E" w:rsidP="00EF6063">
            <w:pPr>
              <w:keepNext/>
              <w:spacing w:before="80" w:after="80"/>
              <w:rPr>
                <w:rFonts w:ascii="Arial Narrow" w:hAnsi="Arial Narrow"/>
                <w:b/>
                <w:bCs/>
                <w:sz w:val="20"/>
              </w:rPr>
            </w:pPr>
            <w:r w:rsidRPr="00053FD1">
              <w:rPr>
                <w:rFonts w:ascii="Arial Narrow" w:hAnsi="Arial Narrow"/>
                <w:b/>
                <w:bCs/>
                <w:sz w:val="20"/>
              </w:rPr>
              <w:t>Total</w:t>
            </w:r>
          </w:p>
        </w:tc>
        <w:tc>
          <w:tcPr>
            <w:tcW w:w="659" w:type="pct"/>
          </w:tcPr>
          <w:p w14:paraId="0B313C3D"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151</w:t>
            </w:r>
          </w:p>
        </w:tc>
        <w:tc>
          <w:tcPr>
            <w:tcW w:w="659" w:type="pct"/>
          </w:tcPr>
          <w:p w14:paraId="7AE09A7E" w14:textId="77777777" w:rsidR="00860F8E" w:rsidRPr="00053FD1" w:rsidRDefault="00860F8E" w:rsidP="00EF6063">
            <w:pPr>
              <w:keepNext/>
              <w:spacing w:before="80" w:after="80"/>
              <w:jc w:val="center"/>
              <w:rPr>
                <w:rFonts w:ascii="Arial Narrow" w:hAnsi="Arial Narrow"/>
                <w:b/>
                <w:bCs/>
                <w:sz w:val="20"/>
              </w:rPr>
            </w:pPr>
            <w:r w:rsidRPr="00053FD1">
              <w:rPr>
                <w:rFonts w:ascii="Arial Narrow" w:hAnsi="Arial Narrow"/>
                <w:b/>
                <w:bCs/>
                <w:sz w:val="20"/>
              </w:rPr>
              <w:t>152</w:t>
            </w:r>
          </w:p>
        </w:tc>
        <w:tc>
          <w:tcPr>
            <w:tcW w:w="659" w:type="pct"/>
          </w:tcPr>
          <w:p w14:paraId="1593C5AB" w14:textId="77777777" w:rsidR="00860F8E" w:rsidRPr="00053FD1" w:rsidRDefault="00860F8E" w:rsidP="00EF6063">
            <w:pPr>
              <w:keepNext/>
              <w:spacing w:before="80" w:after="80"/>
              <w:jc w:val="center"/>
              <w:rPr>
                <w:rFonts w:ascii="Arial Narrow" w:hAnsi="Arial Narrow"/>
                <w:b/>
                <w:bCs/>
                <w:sz w:val="20"/>
              </w:rPr>
            </w:pPr>
            <w:r w:rsidRPr="00053FD1">
              <w:rPr>
                <w:rFonts w:ascii="Arial Narrow" w:hAnsi="Arial Narrow"/>
                <w:b/>
                <w:bCs/>
                <w:sz w:val="20"/>
              </w:rPr>
              <w:t>196</w:t>
            </w:r>
          </w:p>
        </w:tc>
        <w:tc>
          <w:tcPr>
            <w:tcW w:w="659" w:type="pct"/>
          </w:tcPr>
          <w:p w14:paraId="6112E831" w14:textId="77777777" w:rsidR="00860F8E" w:rsidRPr="00053FD1" w:rsidRDefault="00860F8E" w:rsidP="00EF6063">
            <w:pPr>
              <w:keepNext/>
              <w:spacing w:before="80" w:after="80"/>
              <w:jc w:val="center"/>
              <w:rPr>
                <w:rFonts w:ascii="Arial Narrow" w:hAnsi="Arial Narrow"/>
                <w:b/>
                <w:bCs/>
                <w:sz w:val="20"/>
              </w:rPr>
            </w:pPr>
            <w:r w:rsidRPr="00053FD1">
              <w:rPr>
                <w:rFonts w:ascii="Arial Narrow" w:hAnsi="Arial Narrow"/>
                <w:b/>
                <w:bCs/>
                <w:sz w:val="20"/>
              </w:rPr>
              <w:t>159</w:t>
            </w:r>
          </w:p>
        </w:tc>
        <w:tc>
          <w:tcPr>
            <w:tcW w:w="659" w:type="pct"/>
          </w:tcPr>
          <w:p w14:paraId="2D628D0C" w14:textId="77777777" w:rsidR="00860F8E" w:rsidRPr="00053FD1" w:rsidRDefault="00860F8E" w:rsidP="00EF6063">
            <w:pPr>
              <w:keepNext/>
              <w:spacing w:before="80" w:after="80"/>
              <w:jc w:val="center"/>
              <w:rPr>
                <w:rFonts w:ascii="Arial Narrow" w:hAnsi="Arial Narrow"/>
                <w:b/>
                <w:sz w:val="20"/>
              </w:rPr>
            </w:pPr>
            <w:r w:rsidRPr="00053FD1">
              <w:rPr>
                <w:rFonts w:ascii="Arial Narrow" w:hAnsi="Arial Narrow"/>
                <w:b/>
                <w:sz w:val="20"/>
              </w:rPr>
              <w:t>82</w:t>
            </w:r>
          </w:p>
        </w:tc>
      </w:tr>
      <w:tr w:rsidR="00860F8E" w:rsidRPr="00053FD1" w14:paraId="6234C29B" w14:textId="77777777" w:rsidTr="005D646B">
        <w:tc>
          <w:tcPr>
            <w:tcW w:w="1705" w:type="pct"/>
            <w:tcMar>
              <w:top w:w="0" w:type="dxa"/>
              <w:left w:w="108" w:type="dxa"/>
              <w:bottom w:w="0" w:type="dxa"/>
              <w:right w:w="108" w:type="dxa"/>
            </w:tcMar>
            <w:hideMark/>
          </w:tcPr>
          <w:p w14:paraId="328D4453"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Current certificates at 30 June</w:t>
            </w:r>
          </w:p>
        </w:tc>
        <w:tc>
          <w:tcPr>
            <w:tcW w:w="659" w:type="pct"/>
          </w:tcPr>
          <w:p w14:paraId="7082E051"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139</w:t>
            </w:r>
          </w:p>
        </w:tc>
        <w:tc>
          <w:tcPr>
            <w:tcW w:w="659" w:type="pct"/>
          </w:tcPr>
          <w:p w14:paraId="67E47E28"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159</w:t>
            </w:r>
          </w:p>
        </w:tc>
        <w:tc>
          <w:tcPr>
            <w:tcW w:w="659" w:type="pct"/>
          </w:tcPr>
          <w:p w14:paraId="43C8B2C0"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158</w:t>
            </w:r>
          </w:p>
        </w:tc>
        <w:tc>
          <w:tcPr>
            <w:tcW w:w="659" w:type="pct"/>
          </w:tcPr>
          <w:p w14:paraId="057E5103"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117</w:t>
            </w:r>
          </w:p>
        </w:tc>
        <w:tc>
          <w:tcPr>
            <w:tcW w:w="659" w:type="pct"/>
          </w:tcPr>
          <w:p w14:paraId="59F68AB9" w14:textId="77777777" w:rsidR="00860F8E" w:rsidRPr="00053FD1" w:rsidRDefault="00860F8E" w:rsidP="00EF6063">
            <w:pPr>
              <w:keepNext/>
              <w:spacing w:before="80" w:after="80"/>
              <w:jc w:val="center"/>
              <w:rPr>
                <w:rFonts w:ascii="Arial Narrow" w:hAnsi="Arial Narrow"/>
                <w:sz w:val="20"/>
              </w:rPr>
            </w:pPr>
            <w:r w:rsidRPr="00053FD1">
              <w:rPr>
                <w:rFonts w:ascii="Arial Narrow" w:hAnsi="Arial Narrow"/>
                <w:sz w:val="20"/>
              </w:rPr>
              <w:t>154</w:t>
            </w:r>
          </w:p>
        </w:tc>
      </w:tr>
    </w:tbl>
    <w:p w14:paraId="1D1AA7A0" w14:textId="77777777" w:rsidR="00860F8E" w:rsidRPr="00053FD1" w:rsidRDefault="00860F8E" w:rsidP="00860F8E">
      <w:pPr>
        <w:pStyle w:val="TableNotesLast"/>
      </w:pPr>
      <w:r w:rsidRPr="00053FD1">
        <w:rPr>
          <w:b/>
        </w:rPr>
        <w:t>Note</w:t>
      </w:r>
      <w:r w:rsidRPr="00053FD1">
        <w:t xml:space="preserve">: Civil Aviation Safety Regulations (CASR) Part 145 came into effect on 27 June 2012. The total number of certificates as at 30 June includes certificates transitioned from Civil Aviation Regulations Part 30 to CASR Part 145 approvals. These are not included in the figures for initial issue in the table. </w:t>
      </w:r>
    </w:p>
    <w:p w14:paraId="229D6D82" w14:textId="77777777" w:rsidR="00860F8E" w:rsidRPr="00053FD1" w:rsidRDefault="00860F8E" w:rsidP="00860F8E">
      <w:pPr>
        <w:pStyle w:val="Heading2"/>
      </w:pPr>
      <w:r w:rsidRPr="00053FD1">
        <w:t>Maintenance personnel</w:t>
      </w:r>
    </w:p>
    <w:p w14:paraId="0C7ED98A" w14:textId="77777777" w:rsidR="00860F8E" w:rsidRPr="00053FD1" w:rsidRDefault="00860F8E" w:rsidP="00860F8E">
      <w:pPr>
        <w:pStyle w:val="TableName"/>
      </w:pPr>
      <w:r w:rsidRPr="00053FD1">
        <w:t>Table A.8</w:t>
      </w:r>
      <w:r w:rsidRPr="00053FD1">
        <w:tab/>
        <w:t>Aircraft maintenance engineer examinations, 2013–14 to 2017–18</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3578"/>
        <w:gridCol w:w="1062"/>
        <w:gridCol w:w="1062"/>
        <w:gridCol w:w="1061"/>
        <w:gridCol w:w="1062"/>
        <w:gridCol w:w="1061"/>
      </w:tblGrid>
      <w:tr w:rsidR="00860F8E" w:rsidRPr="00053FD1" w14:paraId="7D2AB63C" w14:textId="77777777" w:rsidTr="005D646B">
        <w:trPr>
          <w:tblHeader/>
        </w:trPr>
        <w:tc>
          <w:tcPr>
            <w:tcW w:w="3724" w:type="dxa"/>
          </w:tcPr>
          <w:p w14:paraId="796C3748" w14:textId="77777777" w:rsidR="00860F8E" w:rsidRPr="00053FD1" w:rsidRDefault="00860F8E" w:rsidP="00EF6063">
            <w:pPr>
              <w:keepNext/>
              <w:spacing w:before="80" w:after="80"/>
              <w:rPr>
                <w:rFonts w:ascii="Arial Narrow" w:hAnsi="Arial Narrow"/>
                <w:b/>
                <w:sz w:val="20"/>
              </w:rPr>
            </w:pPr>
          </w:p>
        </w:tc>
        <w:tc>
          <w:tcPr>
            <w:tcW w:w="1086" w:type="dxa"/>
            <w:vAlign w:val="bottom"/>
          </w:tcPr>
          <w:p w14:paraId="4791AF2E"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2013–14</w:t>
            </w:r>
          </w:p>
        </w:tc>
        <w:tc>
          <w:tcPr>
            <w:tcW w:w="1086" w:type="dxa"/>
            <w:vAlign w:val="bottom"/>
          </w:tcPr>
          <w:p w14:paraId="3AFA5273"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2014–15</w:t>
            </w:r>
          </w:p>
        </w:tc>
        <w:tc>
          <w:tcPr>
            <w:tcW w:w="1085" w:type="dxa"/>
            <w:vAlign w:val="bottom"/>
          </w:tcPr>
          <w:p w14:paraId="3039DE58"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2015–16</w:t>
            </w:r>
            <w:r w:rsidRPr="00053FD1">
              <w:rPr>
                <w:rFonts w:ascii="Arial Narrow" w:hAnsi="Arial Narrow"/>
                <w:b/>
                <w:sz w:val="20"/>
                <w:vertAlign w:val="superscript"/>
              </w:rPr>
              <w:t xml:space="preserve"> </w:t>
            </w:r>
          </w:p>
        </w:tc>
        <w:tc>
          <w:tcPr>
            <w:tcW w:w="1086" w:type="dxa"/>
          </w:tcPr>
          <w:p w14:paraId="3713A445"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2016–17</w:t>
            </w:r>
          </w:p>
        </w:tc>
        <w:tc>
          <w:tcPr>
            <w:tcW w:w="1085" w:type="dxa"/>
          </w:tcPr>
          <w:p w14:paraId="0791BDCA" w14:textId="77777777" w:rsidR="00860F8E" w:rsidRPr="00053FD1" w:rsidRDefault="00860F8E" w:rsidP="00EF6063">
            <w:pPr>
              <w:keepNext/>
              <w:spacing w:before="80" w:after="80"/>
              <w:rPr>
                <w:rFonts w:ascii="Arial Narrow" w:hAnsi="Arial Narrow"/>
                <w:b/>
                <w:sz w:val="20"/>
              </w:rPr>
            </w:pPr>
            <w:r w:rsidRPr="00053FD1">
              <w:rPr>
                <w:rFonts w:ascii="Arial Narrow" w:hAnsi="Arial Narrow"/>
                <w:b/>
                <w:sz w:val="20"/>
              </w:rPr>
              <w:t>2017–18</w:t>
            </w:r>
          </w:p>
        </w:tc>
      </w:tr>
      <w:tr w:rsidR="00860F8E" w:rsidRPr="006514BA" w14:paraId="41D6995A" w14:textId="77777777" w:rsidTr="005D646B">
        <w:tc>
          <w:tcPr>
            <w:tcW w:w="3724" w:type="dxa"/>
          </w:tcPr>
          <w:p w14:paraId="6A9E236A"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Scheduled examination sittings</w:t>
            </w:r>
            <w:r w:rsidRPr="00053FD1">
              <w:rPr>
                <w:rFonts w:ascii="Arial Narrow" w:hAnsi="Arial Narrow"/>
                <w:sz w:val="20"/>
                <w:vertAlign w:val="superscript"/>
              </w:rPr>
              <w:t>a</w:t>
            </w:r>
            <w:r w:rsidRPr="00053FD1">
              <w:rPr>
                <w:rFonts w:ascii="Arial Narrow" w:hAnsi="Arial Narrow"/>
                <w:sz w:val="20"/>
              </w:rPr>
              <w:t xml:space="preserve"> </w:t>
            </w:r>
          </w:p>
        </w:tc>
        <w:tc>
          <w:tcPr>
            <w:tcW w:w="1086" w:type="dxa"/>
            <w:vAlign w:val="bottom"/>
          </w:tcPr>
          <w:p w14:paraId="4FC19105"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3,863</w:t>
            </w:r>
          </w:p>
        </w:tc>
        <w:tc>
          <w:tcPr>
            <w:tcW w:w="1086" w:type="dxa"/>
            <w:vAlign w:val="bottom"/>
          </w:tcPr>
          <w:p w14:paraId="4FE53BCA"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3,569</w:t>
            </w:r>
          </w:p>
        </w:tc>
        <w:tc>
          <w:tcPr>
            <w:tcW w:w="1085" w:type="dxa"/>
            <w:vAlign w:val="bottom"/>
          </w:tcPr>
          <w:p w14:paraId="28339F75"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842</w:t>
            </w:r>
          </w:p>
        </w:tc>
        <w:tc>
          <w:tcPr>
            <w:tcW w:w="1086" w:type="dxa"/>
          </w:tcPr>
          <w:p w14:paraId="5F7914A2" w14:textId="77777777" w:rsidR="00860F8E" w:rsidRPr="00053FD1" w:rsidRDefault="00860F8E" w:rsidP="00EF6063">
            <w:pPr>
              <w:keepNext/>
              <w:spacing w:before="80" w:after="80"/>
              <w:rPr>
                <w:rFonts w:ascii="Arial Narrow" w:hAnsi="Arial Narrow"/>
                <w:sz w:val="20"/>
              </w:rPr>
            </w:pPr>
            <w:r w:rsidRPr="00053FD1">
              <w:rPr>
                <w:rFonts w:ascii="Arial Narrow" w:hAnsi="Arial Narrow"/>
                <w:sz w:val="20"/>
              </w:rPr>
              <w:t>908</w:t>
            </w:r>
          </w:p>
        </w:tc>
        <w:tc>
          <w:tcPr>
            <w:tcW w:w="1085" w:type="dxa"/>
          </w:tcPr>
          <w:p w14:paraId="43196F7B" w14:textId="77777777" w:rsidR="00860F8E" w:rsidRPr="00184D24" w:rsidRDefault="00860F8E" w:rsidP="00EF6063">
            <w:pPr>
              <w:keepNext/>
              <w:spacing w:before="80" w:after="80"/>
              <w:rPr>
                <w:rFonts w:ascii="Arial Narrow" w:hAnsi="Arial Narrow"/>
                <w:sz w:val="20"/>
              </w:rPr>
            </w:pPr>
            <w:r w:rsidRPr="00053FD1">
              <w:rPr>
                <w:rFonts w:ascii="Arial Narrow" w:hAnsi="Arial Narrow"/>
                <w:sz w:val="20"/>
              </w:rPr>
              <w:t>905</w:t>
            </w:r>
          </w:p>
        </w:tc>
      </w:tr>
      <w:tr w:rsidR="00860F8E" w:rsidRPr="006514BA" w14:paraId="32C2B2A1" w14:textId="77777777" w:rsidTr="005D646B">
        <w:tc>
          <w:tcPr>
            <w:tcW w:w="3724" w:type="dxa"/>
          </w:tcPr>
          <w:p w14:paraId="60C5D91A"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Special examination sittings</w:t>
            </w:r>
            <w:r w:rsidRPr="006514BA">
              <w:rPr>
                <w:rFonts w:ascii="Arial Narrow" w:hAnsi="Arial Narrow"/>
                <w:sz w:val="20"/>
                <w:vertAlign w:val="superscript"/>
              </w:rPr>
              <w:t>b</w:t>
            </w:r>
            <w:r w:rsidRPr="006514BA">
              <w:rPr>
                <w:rFonts w:ascii="Arial Narrow" w:hAnsi="Arial Narrow"/>
                <w:sz w:val="20"/>
              </w:rPr>
              <w:t xml:space="preserve"> </w:t>
            </w:r>
          </w:p>
        </w:tc>
        <w:tc>
          <w:tcPr>
            <w:tcW w:w="1086" w:type="dxa"/>
            <w:vAlign w:val="bottom"/>
          </w:tcPr>
          <w:p w14:paraId="21269842"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400</w:t>
            </w:r>
          </w:p>
        </w:tc>
        <w:tc>
          <w:tcPr>
            <w:tcW w:w="1086" w:type="dxa"/>
            <w:vAlign w:val="bottom"/>
          </w:tcPr>
          <w:p w14:paraId="60ABDF56"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157</w:t>
            </w:r>
          </w:p>
        </w:tc>
        <w:tc>
          <w:tcPr>
            <w:tcW w:w="1085" w:type="dxa"/>
            <w:vAlign w:val="bottom"/>
          </w:tcPr>
          <w:p w14:paraId="3CA3CB65"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n/a</w:t>
            </w:r>
          </w:p>
        </w:tc>
        <w:tc>
          <w:tcPr>
            <w:tcW w:w="1086" w:type="dxa"/>
          </w:tcPr>
          <w:p w14:paraId="72BEC3C5"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n/a</w:t>
            </w:r>
          </w:p>
        </w:tc>
        <w:tc>
          <w:tcPr>
            <w:tcW w:w="1085" w:type="dxa"/>
          </w:tcPr>
          <w:p w14:paraId="1B6953DB" w14:textId="77777777" w:rsidR="00860F8E" w:rsidRPr="00184D24" w:rsidRDefault="00860F8E" w:rsidP="00EF6063">
            <w:pPr>
              <w:keepNext/>
              <w:spacing w:before="80" w:after="80"/>
              <w:rPr>
                <w:rFonts w:ascii="Arial Narrow" w:hAnsi="Arial Narrow"/>
                <w:sz w:val="20"/>
              </w:rPr>
            </w:pPr>
            <w:r w:rsidRPr="00184D24">
              <w:rPr>
                <w:rFonts w:ascii="Arial Narrow" w:hAnsi="Arial Narrow"/>
                <w:sz w:val="20"/>
              </w:rPr>
              <w:t>n/a</w:t>
            </w:r>
          </w:p>
        </w:tc>
      </w:tr>
      <w:tr w:rsidR="00860F8E" w:rsidRPr="006514BA" w14:paraId="608359BF" w14:textId="77777777" w:rsidTr="005D646B">
        <w:tc>
          <w:tcPr>
            <w:tcW w:w="3724" w:type="dxa"/>
          </w:tcPr>
          <w:p w14:paraId="724B9B8F"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Category technical competency examinations</w:t>
            </w:r>
            <w:r w:rsidRPr="006514BA">
              <w:rPr>
                <w:rFonts w:ascii="Arial Narrow" w:hAnsi="Arial Narrow"/>
                <w:sz w:val="20"/>
                <w:vertAlign w:val="superscript"/>
              </w:rPr>
              <w:t>c</w:t>
            </w:r>
            <w:r w:rsidRPr="006514BA">
              <w:rPr>
                <w:rFonts w:ascii="Arial Narrow" w:hAnsi="Arial Narrow"/>
                <w:sz w:val="20"/>
              </w:rPr>
              <w:t xml:space="preserve"> </w:t>
            </w:r>
          </w:p>
        </w:tc>
        <w:tc>
          <w:tcPr>
            <w:tcW w:w="1086" w:type="dxa"/>
            <w:vAlign w:val="center"/>
          </w:tcPr>
          <w:p w14:paraId="599BAB51"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29</w:t>
            </w:r>
          </w:p>
        </w:tc>
        <w:tc>
          <w:tcPr>
            <w:tcW w:w="1086" w:type="dxa"/>
            <w:vAlign w:val="center"/>
          </w:tcPr>
          <w:p w14:paraId="440831B2"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53</w:t>
            </w:r>
          </w:p>
        </w:tc>
        <w:tc>
          <w:tcPr>
            <w:tcW w:w="1085" w:type="dxa"/>
            <w:vAlign w:val="center"/>
          </w:tcPr>
          <w:p w14:paraId="09674964"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n/a</w:t>
            </w:r>
          </w:p>
        </w:tc>
        <w:tc>
          <w:tcPr>
            <w:tcW w:w="1086" w:type="dxa"/>
            <w:vAlign w:val="center"/>
          </w:tcPr>
          <w:p w14:paraId="5A773EFE"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n/a</w:t>
            </w:r>
          </w:p>
        </w:tc>
        <w:tc>
          <w:tcPr>
            <w:tcW w:w="1085" w:type="dxa"/>
            <w:vAlign w:val="center"/>
          </w:tcPr>
          <w:p w14:paraId="2BB882EC" w14:textId="77777777" w:rsidR="00860F8E" w:rsidRPr="00184D24" w:rsidRDefault="00860F8E" w:rsidP="00EF6063">
            <w:pPr>
              <w:keepNext/>
              <w:spacing w:before="80" w:after="80"/>
              <w:rPr>
                <w:rFonts w:ascii="Arial Narrow" w:hAnsi="Arial Narrow"/>
                <w:sz w:val="20"/>
              </w:rPr>
            </w:pPr>
            <w:r w:rsidRPr="00184D24">
              <w:rPr>
                <w:rFonts w:ascii="Arial Narrow" w:hAnsi="Arial Narrow"/>
                <w:sz w:val="20"/>
              </w:rPr>
              <w:t>n/a</w:t>
            </w:r>
          </w:p>
        </w:tc>
      </w:tr>
      <w:tr w:rsidR="00860F8E" w:rsidRPr="006514BA" w14:paraId="6BCC0DEA" w14:textId="77777777" w:rsidTr="005D646B">
        <w:tc>
          <w:tcPr>
            <w:tcW w:w="3724" w:type="dxa"/>
          </w:tcPr>
          <w:p w14:paraId="2A16CF34"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 xml:space="preserve">Weight control authority examinations </w:t>
            </w:r>
          </w:p>
        </w:tc>
        <w:tc>
          <w:tcPr>
            <w:tcW w:w="1086" w:type="dxa"/>
            <w:vAlign w:val="bottom"/>
          </w:tcPr>
          <w:p w14:paraId="4817B710"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48</w:t>
            </w:r>
          </w:p>
        </w:tc>
        <w:tc>
          <w:tcPr>
            <w:tcW w:w="1086" w:type="dxa"/>
            <w:vAlign w:val="bottom"/>
          </w:tcPr>
          <w:p w14:paraId="50D6AAFE"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93</w:t>
            </w:r>
          </w:p>
        </w:tc>
        <w:tc>
          <w:tcPr>
            <w:tcW w:w="1085" w:type="dxa"/>
            <w:vAlign w:val="bottom"/>
          </w:tcPr>
          <w:p w14:paraId="566AA55E"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27</w:t>
            </w:r>
          </w:p>
        </w:tc>
        <w:tc>
          <w:tcPr>
            <w:tcW w:w="1086" w:type="dxa"/>
          </w:tcPr>
          <w:p w14:paraId="5456F1D8" w14:textId="77777777" w:rsidR="00860F8E" w:rsidRPr="006514BA" w:rsidRDefault="00860F8E" w:rsidP="00EF6063">
            <w:pPr>
              <w:keepNext/>
              <w:spacing w:before="80" w:after="80"/>
              <w:rPr>
                <w:rFonts w:ascii="Arial Narrow" w:hAnsi="Arial Narrow"/>
                <w:sz w:val="20"/>
              </w:rPr>
            </w:pPr>
            <w:r w:rsidRPr="006514BA">
              <w:rPr>
                <w:rFonts w:ascii="Arial Narrow" w:hAnsi="Arial Narrow"/>
                <w:sz w:val="20"/>
              </w:rPr>
              <w:t>18</w:t>
            </w:r>
          </w:p>
        </w:tc>
        <w:tc>
          <w:tcPr>
            <w:tcW w:w="1085" w:type="dxa"/>
          </w:tcPr>
          <w:p w14:paraId="2688DE7C" w14:textId="77777777" w:rsidR="00860F8E" w:rsidRPr="00184D24" w:rsidRDefault="00860F8E" w:rsidP="00EF6063">
            <w:pPr>
              <w:keepNext/>
              <w:spacing w:before="80" w:after="80"/>
              <w:rPr>
                <w:rFonts w:ascii="Arial Narrow" w:hAnsi="Arial Narrow"/>
                <w:sz w:val="20"/>
              </w:rPr>
            </w:pPr>
            <w:r w:rsidRPr="00184D24">
              <w:rPr>
                <w:rFonts w:ascii="Arial Narrow" w:hAnsi="Arial Narrow"/>
                <w:sz w:val="20"/>
              </w:rPr>
              <w:t>30</w:t>
            </w:r>
          </w:p>
        </w:tc>
      </w:tr>
      <w:tr w:rsidR="00860F8E" w:rsidRPr="006514BA" w14:paraId="7C546215" w14:textId="77777777" w:rsidTr="005D646B">
        <w:tc>
          <w:tcPr>
            <w:tcW w:w="3724" w:type="dxa"/>
          </w:tcPr>
          <w:p w14:paraId="0E3EC62B" w14:textId="77777777" w:rsidR="00860F8E" w:rsidRPr="006514BA" w:rsidRDefault="00860F8E" w:rsidP="00EF6063">
            <w:pPr>
              <w:keepNext/>
              <w:spacing w:before="80" w:after="80"/>
              <w:rPr>
                <w:rFonts w:ascii="Arial Narrow" w:hAnsi="Arial Narrow"/>
                <w:b/>
                <w:sz w:val="20"/>
              </w:rPr>
            </w:pPr>
            <w:r w:rsidRPr="006514BA">
              <w:rPr>
                <w:rFonts w:ascii="Arial Narrow" w:hAnsi="Arial Narrow"/>
                <w:b/>
                <w:sz w:val="20"/>
              </w:rPr>
              <w:t xml:space="preserve">Total </w:t>
            </w:r>
          </w:p>
        </w:tc>
        <w:tc>
          <w:tcPr>
            <w:tcW w:w="1086" w:type="dxa"/>
            <w:vAlign w:val="bottom"/>
          </w:tcPr>
          <w:p w14:paraId="1945125A" w14:textId="77777777" w:rsidR="00860F8E" w:rsidRPr="006514BA" w:rsidRDefault="00860F8E" w:rsidP="00EF6063">
            <w:pPr>
              <w:keepNext/>
              <w:spacing w:before="80" w:after="80"/>
              <w:rPr>
                <w:rFonts w:ascii="Arial Narrow" w:hAnsi="Arial Narrow"/>
                <w:b/>
                <w:sz w:val="20"/>
              </w:rPr>
            </w:pPr>
            <w:r w:rsidRPr="006514BA">
              <w:rPr>
                <w:rFonts w:ascii="Arial Narrow" w:hAnsi="Arial Narrow"/>
                <w:b/>
                <w:sz w:val="20"/>
              </w:rPr>
              <w:t>4,340</w:t>
            </w:r>
          </w:p>
        </w:tc>
        <w:tc>
          <w:tcPr>
            <w:tcW w:w="1086" w:type="dxa"/>
            <w:vAlign w:val="bottom"/>
          </w:tcPr>
          <w:p w14:paraId="09DDB90D" w14:textId="77777777" w:rsidR="00860F8E" w:rsidRPr="006514BA" w:rsidRDefault="00860F8E" w:rsidP="00EF6063">
            <w:pPr>
              <w:keepNext/>
              <w:spacing w:before="80" w:after="80"/>
              <w:rPr>
                <w:rFonts w:ascii="Arial Narrow" w:hAnsi="Arial Narrow"/>
                <w:b/>
                <w:sz w:val="20"/>
              </w:rPr>
            </w:pPr>
            <w:r w:rsidRPr="006514BA">
              <w:rPr>
                <w:rFonts w:ascii="Arial Narrow" w:hAnsi="Arial Narrow"/>
                <w:b/>
                <w:sz w:val="20"/>
              </w:rPr>
              <w:t>3,872</w:t>
            </w:r>
          </w:p>
        </w:tc>
        <w:tc>
          <w:tcPr>
            <w:tcW w:w="1085" w:type="dxa"/>
            <w:vAlign w:val="bottom"/>
          </w:tcPr>
          <w:p w14:paraId="1A10DD99" w14:textId="77777777" w:rsidR="00860F8E" w:rsidRPr="006514BA" w:rsidRDefault="00860F8E" w:rsidP="00EF6063">
            <w:pPr>
              <w:keepNext/>
              <w:spacing w:before="80" w:after="80"/>
              <w:rPr>
                <w:rFonts w:ascii="Arial Narrow" w:hAnsi="Arial Narrow"/>
                <w:b/>
                <w:sz w:val="20"/>
              </w:rPr>
            </w:pPr>
            <w:r w:rsidRPr="006514BA">
              <w:rPr>
                <w:rFonts w:ascii="Arial Narrow" w:hAnsi="Arial Narrow"/>
                <w:b/>
                <w:sz w:val="20"/>
              </w:rPr>
              <w:t>869</w:t>
            </w:r>
          </w:p>
        </w:tc>
        <w:tc>
          <w:tcPr>
            <w:tcW w:w="1086" w:type="dxa"/>
          </w:tcPr>
          <w:p w14:paraId="14120110" w14:textId="77777777" w:rsidR="00860F8E" w:rsidRPr="006514BA" w:rsidRDefault="00860F8E" w:rsidP="00EF6063">
            <w:pPr>
              <w:keepNext/>
              <w:spacing w:before="80" w:after="80"/>
              <w:rPr>
                <w:rFonts w:ascii="Arial Narrow" w:hAnsi="Arial Narrow"/>
                <w:b/>
                <w:sz w:val="20"/>
              </w:rPr>
            </w:pPr>
            <w:r w:rsidRPr="006514BA">
              <w:rPr>
                <w:rFonts w:ascii="Arial Narrow" w:hAnsi="Arial Narrow"/>
                <w:b/>
                <w:sz w:val="20"/>
              </w:rPr>
              <w:t>926</w:t>
            </w:r>
          </w:p>
        </w:tc>
        <w:tc>
          <w:tcPr>
            <w:tcW w:w="1085" w:type="dxa"/>
          </w:tcPr>
          <w:p w14:paraId="11BF8B6C" w14:textId="77777777" w:rsidR="00860F8E" w:rsidRPr="00184D24" w:rsidRDefault="00860F8E" w:rsidP="00EF6063">
            <w:pPr>
              <w:keepNext/>
              <w:spacing w:before="80" w:after="80"/>
              <w:rPr>
                <w:rFonts w:ascii="Arial Narrow" w:hAnsi="Arial Narrow"/>
                <w:b/>
                <w:sz w:val="20"/>
              </w:rPr>
            </w:pPr>
            <w:r w:rsidRPr="00184D24">
              <w:rPr>
                <w:rFonts w:ascii="Arial Narrow" w:hAnsi="Arial Narrow"/>
                <w:b/>
                <w:sz w:val="20"/>
              </w:rPr>
              <w:t>935</w:t>
            </w:r>
          </w:p>
        </w:tc>
      </w:tr>
    </w:tbl>
    <w:p w14:paraId="4C43B424" w14:textId="77777777" w:rsidR="00860F8E" w:rsidRPr="006514BA" w:rsidRDefault="00860F8E" w:rsidP="00860F8E">
      <w:pPr>
        <w:keepLines/>
        <w:tabs>
          <w:tab w:val="left" w:pos="284"/>
          <w:tab w:val="left" w:pos="567"/>
        </w:tabs>
        <w:spacing w:before="60" w:after="0"/>
        <w:ind w:left="284" w:hanging="284"/>
        <w:rPr>
          <w:rFonts w:ascii="Arial Narrow" w:hAnsi="Arial Narrow"/>
          <w:sz w:val="16"/>
        </w:rPr>
      </w:pPr>
      <w:r w:rsidRPr="006514BA">
        <w:rPr>
          <w:rFonts w:ascii="Arial Narrow" w:hAnsi="Arial Narrow"/>
          <w:sz w:val="16"/>
        </w:rPr>
        <w:t>n/a = not applicable</w:t>
      </w:r>
    </w:p>
    <w:p w14:paraId="5C62B44D" w14:textId="77777777" w:rsidR="00860F8E" w:rsidRPr="006514BA" w:rsidRDefault="00860F8E" w:rsidP="00860F8E">
      <w:pPr>
        <w:keepLines/>
        <w:tabs>
          <w:tab w:val="left" w:pos="284"/>
          <w:tab w:val="left" w:pos="567"/>
        </w:tabs>
        <w:spacing w:before="60" w:after="0"/>
        <w:ind w:left="284" w:hanging="284"/>
        <w:rPr>
          <w:rFonts w:ascii="Arial Narrow" w:hAnsi="Arial Narrow"/>
          <w:sz w:val="16"/>
        </w:rPr>
      </w:pPr>
      <w:r w:rsidRPr="006514BA">
        <w:rPr>
          <w:rFonts w:ascii="Arial Narrow" w:hAnsi="Arial Narrow"/>
          <w:sz w:val="16"/>
        </w:rPr>
        <w:t>a</w:t>
      </w:r>
      <w:r w:rsidRPr="006514BA">
        <w:rPr>
          <w:rFonts w:ascii="Arial Narrow" w:hAnsi="Arial Narrow"/>
          <w:sz w:val="16"/>
        </w:rPr>
        <w:tab/>
        <w:t>Scheduled examination sittings (including weight control authority examination sittings) are conducted by a CASA-approved examination provider.</w:t>
      </w:r>
    </w:p>
    <w:p w14:paraId="51ABC50A" w14:textId="77777777" w:rsidR="00860F8E" w:rsidRDefault="00860F8E" w:rsidP="00860F8E">
      <w:pPr>
        <w:keepLines/>
        <w:tabs>
          <w:tab w:val="left" w:pos="284"/>
          <w:tab w:val="left" w:pos="567"/>
        </w:tabs>
        <w:spacing w:before="60" w:after="0"/>
        <w:ind w:left="284" w:hanging="284"/>
        <w:rPr>
          <w:rFonts w:ascii="Arial Narrow" w:hAnsi="Arial Narrow"/>
          <w:sz w:val="16"/>
        </w:rPr>
      </w:pPr>
      <w:r w:rsidRPr="006514BA">
        <w:rPr>
          <w:rFonts w:ascii="Arial Narrow" w:hAnsi="Arial Narrow"/>
          <w:sz w:val="16"/>
        </w:rPr>
        <w:t>b</w:t>
      </w:r>
      <w:r w:rsidRPr="006514BA">
        <w:rPr>
          <w:rFonts w:ascii="Arial Narrow" w:hAnsi="Arial Narrow"/>
          <w:sz w:val="16"/>
        </w:rPr>
        <w:tab/>
        <w:t>Before 2016–17, individuals who had a particular reason to seek an aircraft maintenance engineer licence but were unable to attend scheduled examination sittings could seek a special sitting. Training organisations were also able to seek special sittings, to coincide with completion of their courses. Special examination sittings were conducted by CASA until 1 July 2015 and by a CASA-approved examination provider in 2015–16. Special sittings ceased in 2016–17.</w:t>
      </w:r>
    </w:p>
    <w:p w14:paraId="45B2ED05" w14:textId="77777777" w:rsidR="00860F8E" w:rsidRPr="00C473FA" w:rsidRDefault="00860F8E" w:rsidP="00860F8E">
      <w:pPr>
        <w:pStyle w:val="TableNotesHang"/>
      </w:pPr>
      <w:r>
        <w:t>c</w:t>
      </w:r>
      <w:r>
        <w:rPr>
          <w:szCs w:val="16"/>
        </w:rPr>
        <w:tab/>
      </w:r>
      <w:r w:rsidRPr="00333450">
        <w:t>These examinations are for Australian Defence Force and overseas licence holders only. CASA stopped carrying out category technical competency examinations in July 2015; they are now managed by CASA-approved Civil Aviation Safety Regulations Part 147 maintenance training organisations</w:t>
      </w:r>
      <w:r>
        <w:t>.</w:t>
      </w:r>
    </w:p>
    <w:p w14:paraId="7C3BB13A" w14:textId="77777777" w:rsidR="00860F8E" w:rsidRPr="00C473FA" w:rsidRDefault="00860F8E" w:rsidP="00860F8E">
      <w:pPr>
        <w:pStyle w:val="TableName"/>
        <w:ind w:left="0" w:firstLine="0"/>
      </w:pPr>
      <w:r w:rsidRPr="00C473FA">
        <w:lastRenderedPageBreak/>
        <w:t>Table A.9</w:t>
      </w:r>
      <w:r w:rsidRPr="00C473FA">
        <w:tab/>
        <w:t>Aircraft maintenance engineer licences, 201</w:t>
      </w:r>
      <w:r>
        <w:t>3</w:t>
      </w:r>
      <w:r w:rsidRPr="00C473FA">
        <w:t>–1</w:t>
      </w:r>
      <w:r>
        <w:t>4</w:t>
      </w:r>
      <w:r w:rsidRPr="00C473FA">
        <w:t xml:space="preserve"> to 201</w:t>
      </w:r>
      <w:r>
        <w:t>7</w:t>
      </w:r>
      <w:r w:rsidRPr="00C473FA">
        <w:t>–1</w:t>
      </w:r>
      <w:r>
        <w:t>8</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2981"/>
        <w:gridCol w:w="1206"/>
        <w:gridCol w:w="1207"/>
        <w:gridCol w:w="1207"/>
        <w:gridCol w:w="1207"/>
        <w:gridCol w:w="1105"/>
      </w:tblGrid>
      <w:tr w:rsidR="00860F8E" w:rsidRPr="00DF2EAB" w14:paraId="69341AA1" w14:textId="77777777" w:rsidTr="005D646B">
        <w:trPr>
          <w:tblHeader/>
        </w:trPr>
        <w:tc>
          <w:tcPr>
            <w:tcW w:w="3078" w:type="dxa"/>
          </w:tcPr>
          <w:p w14:paraId="190B0B2A" w14:textId="77777777" w:rsidR="00860F8E" w:rsidRPr="00DF2EAB" w:rsidRDefault="00860F8E" w:rsidP="00EF6063">
            <w:pPr>
              <w:keepNext/>
              <w:spacing w:before="80" w:after="80"/>
              <w:rPr>
                <w:rFonts w:ascii="Arial Narrow" w:hAnsi="Arial Narrow"/>
                <w:b/>
                <w:sz w:val="20"/>
              </w:rPr>
            </w:pPr>
            <w:bookmarkStart w:id="166" w:name="tablea15"/>
            <w:bookmarkEnd w:id="166"/>
            <w:r w:rsidRPr="00DF2EAB">
              <w:rPr>
                <w:rFonts w:ascii="Arial Narrow" w:hAnsi="Arial Narrow"/>
                <w:b/>
                <w:sz w:val="20"/>
              </w:rPr>
              <w:tab/>
            </w:r>
          </w:p>
        </w:tc>
        <w:tc>
          <w:tcPr>
            <w:tcW w:w="1240" w:type="dxa"/>
            <w:vAlign w:val="bottom"/>
          </w:tcPr>
          <w:p w14:paraId="57B7FEEE" w14:textId="77777777" w:rsidR="00860F8E" w:rsidRPr="00DF2EAB" w:rsidRDefault="00860F8E" w:rsidP="00EF6063">
            <w:pPr>
              <w:keepNext/>
              <w:spacing w:before="80" w:after="80"/>
              <w:jc w:val="right"/>
              <w:rPr>
                <w:rFonts w:ascii="Arial Narrow" w:hAnsi="Arial Narrow"/>
                <w:b/>
                <w:sz w:val="20"/>
              </w:rPr>
            </w:pPr>
            <w:r w:rsidRPr="00DF2EAB">
              <w:rPr>
                <w:rFonts w:ascii="Arial Narrow" w:hAnsi="Arial Narrow"/>
                <w:b/>
                <w:sz w:val="20"/>
              </w:rPr>
              <w:t>2013–14</w:t>
            </w:r>
          </w:p>
        </w:tc>
        <w:tc>
          <w:tcPr>
            <w:tcW w:w="1242" w:type="dxa"/>
            <w:vAlign w:val="bottom"/>
          </w:tcPr>
          <w:p w14:paraId="48BBE4E6" w14:textId="77777777" w:rsidR="00860F8E" w:rsidRPr="00DF2EAB" w:rsidRDefault="00860F8E" w:rsidP="00EF6063">
            <w:pPr>
              <w:keepNext/>
              <w:spacing w:before="80" w:after="80"/>
              <w:jc w:val="right"/>
              <w:rPr>
                <w:rFonts w:ascii="Arial Narrow" w:hAnsi="Arial Narrow"/>
                <w:b/>
                <w:sz w:val="20"/>
              </w:rPr>
            </w:pPr>
            <w:r w:rsidRPr="00DF2EAB">
              <w:rPr>
                <w:rFonts w:ascii="Arial Narrow" w:hAnsi="Arial Narrow"/>
                <w:b/>
                <w:sz w:val="20"/>
              </w:rPr>
              <w:t>2014–15</w:t>
            </w:r>
          </w:p>
        </w:tc>
        <w:tc>
          <w:tcPr>
            <w:tcW w:w="1242" w:type="dxa"/>
            <w:vAlign w:val="bottom"/>
          </w:tcPr>
          <w:p w14:paraId="6B492FBB" w14:textId="77777777" w:rsidR="00860F8E" w:rsidRPr="00DF2EAB" w:rsidRDefault="00860F8E" w:rsidP="00EF6063">
            <w:pPr>
              <w:keepNext/>
              <w:spacing w:before="80" w:after="80"/>
              <w:jc w:val="right"/>
              <w:rPr>
                <w:rFonts w:ascii="Arial Narrow" w:hAnsi="Arial Narrow"/>
                <w:b/>
                <w:sz w:val="20"/>
              </w:rPr>
            </w:pPr>
            <w:r w:rsidRPr="00DF2EAB">
              <w:rPr>
                <w:rFonts w:ascii="Arial Narrow" w:hAnsi="Arial Narrow"/>
                <w:b/>
                <w:sz w:val="20"/>
              </w:rPr>
              <w:t>2015–16</w:t>
            </w:r>
            <w:r w:rsidRPr="00DF2EAB">
              <w:rPr>
                <w:rFonts w:ascii="Arial Narrow" w:hAnsi="Arial Narrow"/>
                <w:b/>
                <w:sz w:val="20"/>
                <w:vertAlign w:val="superscript"/>
              </w:rPr>
              <w:t>a</w:t>
            </w:r>
          </w:p>
        </w:tc>
        <w:tc>
          <w:tcPr>
            <w:tcW w:w="1242" w:type="dxa"/>
            <w:vAlign w:val="bottom"/>
          </w:tcPr>
          <w:p w14:paraId="71B91383" w14:textId="77777777" w:rsidR="00860F8E" w:rsidRPr="00DF2EAB" w:rsidRDefault="00860F8E" w:rsidP="00EF6063">
            <w:pPr>
              <w:keepNext/>
              <w:spacing w:before="80" w:after="80"/>
              <w:jc w:val="right"/>
              <w:rPr>
                <w:rFonts w:ascii="Arial Narrow" w:hAnsi="Arial Narrow"/>
                <w:b/>
                <w:sz w:val="20"/>
              </w:rPr>
            </w:pPr>
            <w:r w:rsidRPr="00DF2EAB">
              <w:rPr>
                <w:rFonts w:ascii="Arial Narrow" w:hAnsi="Arial Narrow"/>
                <w:b/>
                <w:sz w:val="20"/>
              </w:rPr>
              <w:t>2016–17</w:t>
            </w:r>
          </w:p>
        </w:tc>
        <w:tc>
          <w:tcPr>
            <w:tcW w:w="1136" w:type="dxa"/>
            <w:vAlign w:val="bottom"/>
          </w:tcPr>
          <w:p w14:paraId="642E8F16" w14:textId="77777777" w:rsidR="00860F8E" w:rsidRPr="00DF2EAB" w:rsidRDefault="00860F8E" w:rsidP="00EF6063">
            <w:pPr>
              <w:keepNext/>
              <w:spacing w:before="80" w:after="80"/>
              <w:jc w:val="right"/>
              <w:rPr>
                <w:rFonts w:ascii="Arial Narrow" w:hAnsi="Arial Narrow"/>
                <w:b/>
                <w:sz w:val="20"/>
              </w:rPr>
            </w:pPr>
            <w:r>
              <w:rPr>
                <w:rFonts w:ascii="Arial Narrow" w:hAnsi="Arial Narrow"/>
                <w:b/>
                <w:sz w:val="20"/>
              </w:rPr>
              <w:t>2017–18</w:t>
            </w:r>
          </w:p>
        </w:tc>
      </w:tr>
      <w:tr w:rsidR="00860F8E" w:rsidRPr="00DF2EAB" w14:paraId="6C963A7C" w14:textId="77777777" w:rsidTr="005D646B">
        <w:tc>
          <w:tcPr>
            <w:tcW w:w="9180" w:type="dxa"/>
            <w:gridSpan w:val="6"/>
            <w:shd w:val="clear" w:color="auto" w:fill="F2F2F2"/>
          </w:tcPr>
          <w:p w14:paraId="0EEE71F3" w14:textId="77777777" w:rsidR="00860F8E" w:rsidRPr="00FC265A" w:rsidRDefault="00860F8E" w:rsidP="00EF6063">
            <w:pPr>
              <w:keepNext/>
              <w:spacing w:before="80" w:after="80"/>
              <w:rPr>
                <w:rFonts w:ascii="Arial Narrow" w:hAnsi="Arial Narrow"/>
                <w:b/>
                <w:sz w:val="20"/>
              </w:rPr>
            </w:pPr>
            <w:r w:rsidRPr="00FC265A">
              <w:rPr>
                <w:rFonts w:ascii="Arial Narrow" w:hAnsi="Arial Narrow"/>
                <w:b/>
                <w:sz w:val="20"/>
              </w:rPr>
              <w:t>Licence assessments</w:t>
            </w:r>
          </w:p>
        </w:tc>
      </w:tr>
      <w:tr w:rsidR="00860F8E" w:rsidRPr="00DF2EAB" w14:paraId="160E7873" w14:textId="77777777" w:rsidTr="005D646B">
        <w:tc>
          <w:tcPr>
            <w:tcW w:w="9180" w:type="dxa"/>
            <w:gridSpan w:val="6"/>
          </w:tcPr>
          <w:p w14:paraId="5A4EA4A0" w14:textId="77777777" w:rsidR="00860F8E" w:rsidRPr="00DF2EAB" w:rsidRDefault="00860F8E" w:rsidP="00EF6063">
            <w:pPr>
              <w:keepNext/>
              <w:spacing w:before="80" w:after="80"/>
              <w:rPr>
                <w:rFonts w:ascii="Arial Narrow" w:hAnsi="Arial Narrow"/>
                <w:sz w:val="20"/>
              </w:rPr>
            </w:pPr>
            <w:r w:rsidRPr="00DF2EAB">
              <w:rPr>
                <w:rFonts w:ascii="Arial Narrow" w:hAnsi="Arial Narrow"/>
                <w:sz w:val="20"/>
              </w:rPr>
              <w:t>Category Technical Competency Assessment and Licence Technical Assessment (combined)</w:t>
            </w:r>
          </w:p>
        </w:tc>
      </w:tr>
      <w:tr w:rsidR="00860F8E" w:rsidRPr="00DF2EAB" w14:paraId="272C88D4" w14:textId="77777777" w:rsidTr="005D646B">
        <w:tc>
          <w:tcPr>
            <w:tcW w:w="3078" w:type="dxa"/>
          </w:tcPr>
          <w:p w14:paraId="442FA3F3" w14:textId="77777777" w:rsidR="00860F8E" w:rsidRPr="00DF2EAB" w:rsidRDefault="00860F8E" w:rsidP="00EF6063">
            <w:pPr>
              <w:keepNext/>
              <w:tabs>
                <w:tab w:val="num" w:pos="360"/>
              </w:tabs>
              <w:spacing w:before="40" w:after="40"/>
              <w:ind w:left="360" w:hanging="360"/>
              <w:rPr>
                <w:rFonts w:ascii="Arial Narrow" w:hAnsi="Arial Narrow"/>
                <w:sz w:val="20"/>
              </w:rPr>
            </w:pPr>
            <w:r w:rsidRPr="00DF2EAB">
              <w:rPr>
                <w:rFonts w:ascii="Arial Narrow" w:hAnsi="Arial Narrow"/>
                <w:sz w:val="20"/>
              </w:rPr>
              <w:t>Australian military</w:t>
            </w:r>
          </w:p>
        </w:tc>
        <w:tc>
          <w:tcPr>
            <w:tcW w:w="1240" w:type="dxa"/>
            <w:vAlign w:val="bottom"/>
          </w:tcPr>
          <w:p w14:paraId="72B188C0" w14:textId="77777777" w:rsidR="00860F8E" w:rsidRPr="00DF2EAB" w:rsidRDefault="00860F8E" w:rsidP="00EF6063">
            <w:pPr>
              <w:keepNext/>
              <w:spacing w:before="80" w:after="80"/>
              <w:jc w:val="right"/>
              <w:rPr>
                <w:rFonts w:ascii="Arial Narrow" w:hAnsi="Arial Narrow"/>
                <w:sz w:val="20"/>
              </w:rPr>
            </w:pPr>
            <w:r w:rsidRPr="00DF2EAB">
              <w:rPr>
                <w:rFonts w:ascii="Arial Narrow" w:hAnsi="Arial Narrow"/>
                <w:sz w:val="20"/>
              </w:rPr>
              <w:t>112</w:t>
            </w:r>
          </w:p>
        </w:tc>
        <w:tc>
          <w:tcPr>
            <w:tcW w:w="1242" w:type="dxa"/>
            <w:vAlign w:val="bottom"/>
          </w:tcPr>
          <w:p w14:paraId="1FD82809" w14:textId="77777777" w:rsidR="00860F8E" w:rsidRPr="00DF2EAB" w:rsidRDefault="00860F8E" w:rsidP="00EF6063">
            <w:pPr>
              <w:keepNext/>
              <w:spacing w:before="80" w:after="80"/>
              <w:jc w:val="right"/>
              <w:rPr>
                <w:rFonts w:ascii="Arial Narrow" w:hAnsi="Arial Narrow"/>
                <w:sz w:val="20"/>
              </w:rPr>
            </w:pPr>
            <w:r w:rsidRPr="00DF2EAB">
              <w:rPr>
                <w:rFonts w:ascii="Arial Narrow" w:hAnsi="Arial Narrow"/>
                <w:sz w:val="20"/>
              </w:rPr>
              <w:t>114</w:t>
            </w:r>
          </w:p>
        </w:tc>
        <w:tc>
          <w:tcPr>
            <w:tcW w:w="1242" w:type="dxa"/>
            <w:vAlign w:val="bottom"/>
          </w:tcPr>
          <w:p w14:paraId="4284A588" w14:textId="77777777" w:rsidR="00860F8E" w:rsidRPr="00DF2EAB" w:rsidRDefault="00860F8E" w:rsidP="00EF6063">
            <w:pPr>
              <w:keepNext/>
              <w:spacing w:before="80" w:after="80"/>
              <w:jc w:val="right"/>
              <w:rPr>
                <w:rFonts w:ascii="Arial Narrow" w:hAnsi="Arial Narrow"/>
                <w:sz w:val="20"/>
              </w:rPr>
            </w:pPr>
            <w:r w:rsidRPr="00DF2EAB">
              <w:rPr>
                <w:rFonts w:ascii="Arial Narrow" w:hAnsi="Arial Narrow"/>
                <w:sz w:val="20"/>
              </w:rPr>
              <w:t>8</w:t>
            </w:r>
          </w:p>
        </w:tc>
        <w:tc>
          <w:tcPr>
            <w:tcW w:w="1242" w:type="dxa"/>
            <w:vAlign w:val="bottom"/>
          </w:tcPr>
          <w:p w14:paraId="75CF1816" w14:textId="77777777" w:rsidR="00860F8E" w:rsidRPr="009C06CE" w:rsidRDefault="00860F8E" w:rsidP="00EF6063">
            <w:pPr>
              <w:keepNext/>
              <w:spacing w:before="80" w:after="80"/>
              <w:jc w:val="right"/>
              <w:rPr>
                <w:rFonts w:ascii="Arial Narrow" w:hAnsi="Arial Narrow"/>
                <w:sz w:val="20"/>
              </w:rPr>
            </w:pPr>
            <w:r w:rsidRPr="009C06CE">
              <w:rPr>
                <w:rFonts w:ascii="Arial Narrow" w:hAnsi="Arial Narrow"/>
                <w:sz w:val="20"/>
              </w:rPr>
              <w:t>0</w:t>
            </w:r>
          </w:p>
        </w:tc>
        <w:tc>
          <w:tcPr>
            <w:tcW w:w="1136" w:type="dxa"/>
          </w:tcPr>
          <w:p w14:paraId="24DC0159" w14:textId="77777777" w:rsidR="00860F8E" w:rsidRPr="009C06CE" w:rsidRDefault="00860F8E" w:rsidP="00EF6063">
            <w:pPr>
              <w:keepNext/>
              <w:spacing w:before="80" w:after="80"/>
              <w:jc w:val="right"/>
              <w:rPr>
                <w:rFonts w:ascii="Arial Narrow" w:hAnsi="Arial Narrow"/>
                <w:sz w:val="20"/>
              </w:rPr>
            </w:pPr>
            <w:r w:rsidRPr="009C06CE">
              <w:rPr>
                <w:rFonts w:ascii="Arial Narrow" w:hAnsi="Arial Narrow"/>
                <w:sz w:val="20"/>
              </w:rPr>
              <w:t>1</w:t>
            </w:r>
          </w:p>
        </w:tc>
      </w:tr>
      <w:tr w:rsidR="00860F8E" w:rsidRPr="00DF2EAB" w14:paraId="773BFFD8" w14:textId="77777777" w:rsidTr="005D646B">
        <w:tc>
          <w:tcPr>
            <w:tcW w:w="3078" w:type="dxa"/>
          </w:tcPr>
          <w:p w14:paraId="7289EA28" w14:textId="77777777" w:rsidR="00860F8E" w:rsidRPr="00DF2EAB" w:rsidRDefault="00860F8E" w:rsidP="00EF6063">
            <w:pPr>
              <w:keepNext/>
              <w:tabs>
                <w:tab w:val="num" w:pos="360"/>
              </w:tabs>
              <w:spacing w:before="40" w:after="40"/>
              <w:ind w:left="360" w:hanging="360"/>
              <w:rPr>
                <w:rFonts w:ascii="Arial Narrow" w:hAnsi="Arial Narrow"/>
                <w:sz w:val="20"/>
              </w:rPr>
            </w:pPr>
            <w:r w:rsidRPr="00DF2EAB">
              <w:rPr>
                <w:rFonts w:ascii="Arial Narrow" w:hAnsi="Arial Narrow"/>
                <w:sz w:val="20"/>
              </w:rPr>
              <w:t>Foreign civil</w:t>
            </w:r>
          </w:p>
        </w:tc>
        <w:tc>
          <w:tcPr>
            <w:tcW w:w="1240" w:type="dxa"/>
            <w:vAlign w:val="bottom"/>
          </w:tcPr>
          <w:p w14:paraId="2FE8E2C3" w14:textId="77777777" w:rsidR="00860F8E" w:rsidRPr="00DF2EAB" w:rsidRDefault="00860F8E" w:rsidP="00EF6063">
            <w:pPr>
              <w:keepNext/>
              <w:spacing w:before="80" w:after="80"/>
              <w:jc w:val="right"/>
              <w:rPr>
                <w:rFonts w:ascii="Arial Narrow" w:hAnsi="Arial Narrow"/>
                <w:sz w:val="20"/>
              </w:rPr>
            </w:pPr>
            <w:r w:rsidRPr="00DF2EAB">
              <w:rPr>
                <w:rFonts w:ascii="Arial Narrow" w:hAnsi="Arial Narrow"/>
                <w:sz w:val="20"/>
              </w:rPr>
              <w:t>114</w:t>
            </w:r>
          </w:p>
        </w:tc>
        <w:tc>
          <w:tcPr>
            <w:tcW w:w="1242" w:type="dxa"/>
            <w:vAlign w:val="bottom"/>
          </w:tcPr>
          <w:p w14:paraId="145031C7" w14:textId="77777777" w:rsidR="00860F8E" w:rsidRPr="00DF2EAB" w:rsidRDefault="00860F8E" w:rsidP="00EF6063">
            <w:pPr>
              <w:keepNext/>
              <w:spacing w:before="80" w:after="80"/>
              <w:jc w:val="right"/>
              <w:rPr>
                <w:rFonts w:ascii="Arial Narrow" w:hAnsi="Arial Narrow"/>
                <w:sz w:val="20"/>
              </w:rPr>
            </w:pPr>
            <w:r w:rsidRPr="00DF2EAB">
              <w:rPr>
                <w:rFonts w:ascii="Arial Narrow" w:hAnsi="Arial Narrow"/>
                <w:sz w:val="20"/>
              </w:rPr>
              <w:t>72</w:t>
            </w:r>
          </w:p>
        </w:tc>
        <w:tc>
          <w:tcPr>
            <w:tcW w:w="1242" w:type="dxa"/>
            <w:vAlign w:val="bottom"/>
          </w:tcPr>
          <w:p w14:paraId="63925816" w14:textId="77777777" w:rsidR="00860F8E" w:rsidRPr="00DF2EAB" w:rsidRDefault="00860F8E" w:rsidP="00EF6063">
            <w:pPr>
              <w:keepNext/>
              <w:spacing w:before="80" w:after="80"/>
              <w:jc w:val="right"/>
              <w:rPr>
                <w:rFonts w:ascii="Arial Narrow" w:hAnsi="Arial Narrow"/>
                <w:sz w:val="20"/>
              </w:rPr>
            </w:pPr>
            <w:r w:rsidRPr="00DF2EAB">
              <w:rPr>
                <w:rFonts w:ascii="Arial Narrow" w:hAnsi="Arial Narrow"/>
                <w:sz w:val="20"/>
              </w:rPr>
              <w:t>2</w:t>
            </w:r>
          </w:p>
        </w:tc>
        <w:tc>
          <w:tcPr>
            <w:tcW w:w="1242" w:type="dxa"/>
            <w:vAlign w:val="bottom"/>
          </w:tcPr>
          <w:p w14:paraId="004A380F" w14:textId="77777777" w:rsidR="00860F8E" w:rsidRPr="009C06CE" w:rsidRDefault="00860F8E" w:rsidP="00EF6063">
            <w:pPr>
              <w:keepNext/>
              <w:spacing w:before="80" w:after="80"/>
              <w:jc w:val="right"/>
              <w:rPr>
                <w:rFonts w:ascii="Arial Narrow" w:hAnsi="Arial Narrow"/>
                <w:sz w:val="20"/>
              </w:rPr>
            </w:pPr>
            <w:r w:rsidRPr="009C06CE">
              <w:rPr>
                <w:rFonts w:ascii="Arial Narrow" w:hAnsi="Arial Narrow"/>
                <w:sz w:val="20"/>
              </w:rPr>
              <w:t>14</w:t>
            </w:r>
          </w:p>
        </w:tc>
        <w:tc>
          <w:tcPr>
            <w:tcW w:w="1136" w:type="dxa"/>
          </w:tcPr>
          <w:p w14:paraId="3A5558CA" w14:textId="77777777" w:rsidR="00860F8E" w:rsidRPr="009C06CE" w:rsidRDefault="00860F8E" w:rsidP="00EF6063">
            <w:pPr>
              <w:keepNext/>
              <w:spacing w:before="80" w:after="80"/>
              <w:jc w:val="right"/>
              <w:rPr>
                <w:rFonts w:ascii="Arial Narrow" w:hAnsi="Arial Narrow"/>
                <w:sz w:val="20"/>
              </w:rPr>
            </w:pPr>
            <w:r w:rsidRPr="009C06CE">
              <w:rPr>
                <w:rFonts w:ascii="Arial Narrow" w:hAnsi="Arial Narrow"/>
                <w:sz w:val="20"/>
              </w:rPr>
              <w:t>23</w:t>
            </w:r>
          </w:p>
        </w:tc>
      </w:tr>
      <w:tr w:rsidR="00860F8E" w:rsidRPr="00855244" w14:paraId="4FCA8F8B" w14:textId="77777777" w:rsidTr="005D646B">
        <w:tc>
          <w:tcPr>
            <w:tcW w:w="3078" w:type="dxa"/>
          </w:tcPr>
          <w:p w14:paraId="53D2EE1D" w14:textId="77777777" w:rsidR="00860F8E" w:rsidRPr="00DF2EAB" w:rsidRDefault="00860F8E" w:rsidP="00EF6063">
            <w:pPr>
              <w:keepNext/>
              <w:tabs>
                <w:tab w:val="num" w:pos="360"/>
              </w:tabs>
              <w:spacing w:before="40" w:after="40"/>
              <w:ind w:left="360" w:hanging="360"/>
              <w:rPr>
                <w:rFonts w:ascii="Arial Narrow" w:hAnsi="Arial Narrow"/>
                <w:b/>
                <w:sz w:val="20"/>
              </w:rPr>
            </w:pPr>
            <w:r w:rsidRPr="00DF2EAB">
              <w:rPr>
                <w:rFonts w:ascii="Arial Narrow" w:hAnsi="Arial Narrow"/>
                <w:b/>
                <w:sz w:val="20"/>
              </w:rPr>
              <w:t>Total</w:t>
            </w:r>
          </w:p>
        </w:tc>
        <w:tc>
          <w:tcPr>
            <w:tcW w:w="1240" w:type="dxa"/>
            <w:vAlign w:val="bottom"/>
          </w:tcPr>
          <w:p w14:paraId="5E05B70F" w14:textId="77777777" w:rsidR="00860F8E" w:rsidRPr="00DF2EAB" w:rsidRDefault="00860F8E" w:rsidP="00EF6063">
            <w:pPr>
              <w:keepNext/>
              <w:spacing w:before="80" w:after="80"/>
              <w:jc w:val="right"/>
              <w:rPr>
                <w:rFonts w:ascii="Arial Narrow" w:hAnsi="Arial Narrow"/>
                <w:b/>
                <w:sz w:val="20"/>
              </w:rPr>
            </w:pPr>
            <w:r w:rsidRPr="00DF2EAB">
              <w:rPr>
                <w:rFonts w:ascii="Arial Narrow" w:hAnsi="Arial Narrow"/>
                <w:b/>
                <w:sz w:val="20"/>
              </w:rPr>
              <w:t>226</w:t>
            </w:r>
          </w:p>
        </w:tc>
        <w:tc>
          <w:tcPr>
            <w:tcW w:w="1242" w:type="dxa"/>
            <w:vAlign w:val="bottom"/>
          </w:tcPr>
          <w:p w14:paraId="1C4CA334" w14:textId="77777777" w:rsidR="00860F8E" w:rsidRPr="00DF2EAB" w:rsidRDefault="00860F8E" w:rsidP="00EF6063">
            <w:pPr>
              <w:keepNext/>
              <w:spacing w:before="80" w:after="80"/>
              <w:jc w:val="right"/>
              <w:rPr>
                <w:rFonts w:ascii="Arial Narrow" w:hAnsi="Arial Narrow"/>
                <w:b/>
                <w:sz w:val="20"/>
              </w:rPr>
            </w:pPr>
            <w:r w:rsidRPr="00DF2EAB">
              <w:rPr>
                <w:rFonts w:ascii="Arial Narrow" w:hAnsi="Arial Narrow"/>
                <w:b/>
                <w:sz w:val="20"/>
              </w:rPr>
              <w:t>186</w:t>
            </w:r>
          </w:p>
        </w:tc>
        <w:tc>
          <w:tcPr>
            <w:tcW w:w="1242" w:type="dxa"/>
            <w:vAlign w:val="bottom"/>
          </w:tcPr>
          <w:p w14:paraId="431DB2D2" w14:textId="77777777" w:rsidR="00860F8E" w:rsidRPr="00DF2EAB" w:rsidRDefault="00860F8E" w:rsidP="00EF6063">
            <w:pPr>
              <w:keepNext/>
              <w:spacing w:before="80" w:after="80"/>
              <w:jc w:val="right"/>
              <w:rPr>
                <w:rFonts w:ascii="Arial Narrow" w:hAnsi="Arial Narrow"/>
                <w:b/>
                <w:sz w:val="20"/>
              </w:rPr>
            </w:pPr>
            <w:r w:rsidRPr="00DF2EAB">
              <w:rPr>
                <w:rFonts w:ascii="Arial Narrow" w:hAnsi="Arial Narrow"/>
                <w:b/>
                <w:sz w:val="20"/>
              </w:rPr>
              <w:t>10</w:t>
            </w:r>
          </w:p>
        </w:tc>
        <w:tc>
          <w:tcPr>
            <w:tcW w:w="1242" w:type="dxa"/>
            <w:vAlign w:val="bottom"/>
          </w:tcPr>
          <w:p w14:paraId="6561ED37" w14:textId="77777777" w:rsidR="00860F8E" w:rsidRPr="009C06CE" w:rsidRDefault="00860F8E" w:rsidP="00EF6063">
            <w:pPr>
              <w:keepNext/>
              <w:spacing w:before="80" w:after="80"/>
              <w:jc w:val="right"/>
              <w:rPr>
                <w:rFonts w:ascii="Arial Narrow" w:hAnsi="Arial Narrow"/>
                <w:b/>
                <w:sz w:val="20"/>
              </w:rPr>
            </w:pPr>
            <w:r w:rsidRPr="009C06CE">
              <w:rPr>
                <w:rFonts w:ascii="Arial Narrow" w:hAnsi="Arial Narrow"/>
                <w:b/>
                <w:sz w:val="20"/>
              </w:rPr>
              <w:t>14</w:t>
            </w:r>
          </w:p>
        </w:tc>
        <w:tc>
          <w:tcPr>
            <w:tcW w:w="1136" w:type="dxa"/>
          </w:tcPr>
          <w:p w14:paraId="78D64965" w14:textId="77777777" w:rsidR="00860F8E" w:rsidRPr="009C06CE" w:rsidRDefault="00860F8E" w:rsidP="00EF6063">
            <w:pPr>
              <w:keepNext/>
              <w:spacing w:before="80" w:after="80"/>
              <w:jc w:val="right"/>
              <w:rPr>
                <w:rFonts w:ascii="Arial Narrow" w:hAnsi="Arial Narrow"/>
                <w:b/>
                <w:sz w:val="20"/>
              </w:rPr>
            </w:pPr>
            <w:r w:rsidRPr="009C06CE">
              <w:rPr>
                <w:rFonts w:ascii="Arial Narrow" w:hAnsi="Arial Narrow"/>
                <w:b/>
                <w:sz w:val="20"/>
              </w:rPr>
              <w:t>24</w:t>
            </w:r>
          </w:p>
        </w:tc>
      </w:tr>
      <w:tr w:rsidR="00860F8E" w:rsidRPr="00DF2EAB" w14:paraId="5762C1F3" w14:textId="77777777" w:rsidTr="005D646B">
        <w:tc>
          <w:tcPr>
            <w:tcW w:w="9180" w:type="dxa"/>
            <w:gridSpan w:val="6"/>
          </w:tcPr>
          <w:p w14:paraId="28F1980C" w14:textId="77777777" w:rsidR="00860F8E" w:rsidRPr="009C06CE" w:rsidRDefault="00860F8E" w:rsidP="00EF6063">
            <w:pPr>
              <w:keepNext/>
              <w:spacing w:before="80" w:after="80"/>
              <w:rPr>
                <w:rFonts w:ascii="Arial Narrow" w:hAnsi="Arial Narrow"/>
                <w:sz w:val="20"/>
              </w:rPr>
            </w:pPr>
            <w:r w:rsidRPr="009C06CE">
              <w:rPr>
                <w:rFonts w:ascii="Arial Narrow" w:hAnsi="Arial Narrow"/>
                <w:i/>
                <w:sz w:val="20"/>
              </w:rPr>
              <w:t>Trans-Tasman Mutual Recognition Act 1997</w:t>
            </w:r>
            <w:r w:rsidRPr="009C06CE">
              <w:rPr>
                <w:rFonts w:ascii="Arial Narrow" w:hAnsi="Arial Narrow"/>
                <w:sz w:val="20"/>
              </w:rPr>
              <w:t xml:space="preserve"> assessments</w:t>
            </w:r>
          </w:p>
        </w:tc>
      </w:tr>
      <w:tr w:rsidR="00860F8E" w:rsidRPr="00DF2EAB" w14:paraId="24D314B9" w14:textId="77777777" w:rsidTr="005D646B">
        <w:tc>
          <w:tcPr>
            <w:tcW w:w="3078" w:type="dxa"/>
          </w:tcPr>
          <w:p w14:paraId="02B76CF6" w14:textId="77777777" w:rsidR="00860F8E" w:rsidRPr="00DF2EAB" w:rsidRDefault="00860F8E" w:rsidP="00EF6063">
            <w:pPr>
              <w:keepNext/>
              <w:spacing w:before="80" w:after="80"/>
              <w:rPr>
                <w:rFonts w:ascii="Arial Narrow" w:hAnsi="Arial Narrow"/>
                <w:b/>
                <w:sz w:val="20"/>
              </w:rPr>
            </w:pPr>
            <w:r w:rsidRPr="00DF2EAB">
              <w:rPr>
                <w:rFonts w:ascii="Arial Narrow" w:hAnsi="Arial Narrow"/>
                <w:b/>
                <w:sz w:val="20"/>
              </w:rPr>
              <w:t>Total</w:t>
            </w:r>
          </w:p>
        </w:tc>
        <w:tc>
          <w:tcPr>
            <w:tcW w:w="1240" w:type="dxa"/>
            <w:vAlign w:val="bottom"/>
          </w:tcPr>
          <w:p w14:paraId="51DBB923" w14:textId="77777777" w:rsidR="00860F8E" w:rsidRPr="00DF2EAB" w:rsidRDefault="00860F8E" w:rsidP="00EF6063">
            <w:pPr>
              <w:keepNext/>
              <w:spacing w:before="80" w:after="80"/>
              <w:jc w:val="right"/>
              <w:rPr>
                <w:rFonts w:ascii="Arial Narrow" w:hAnsi="Arial Narrow"/>
                <w:b/>
                <w:sz w:val="20"/>
              </w:rPr>
            </w:pPr>
            <w:r w:rsidRPr="00DF2EAB">
              <w:rPr>
                <w:rFonts w:ascii="Arial Narrow" w:hAnsi="Arial Narrow"/>
                <w:b/>
                <w:sz w:val="20"/>
              </w:rPr>
              <w:t>46</w:t>
            </w:r>
          </w:p>
        </w:tc>
        <w:tc>
          <w:tcPr>
            <w:tcW w:w="1242" w:type="dxa"/>
            <w:vAlign w:val="bottom"/>
          </w:tcPr>
          <w:p w14:paraId="755A4E27" w14:textId="77777777" w:rsidR="00860F8E" w:rsidRPr="00DF2EAB" w:rsidRDefault="00860F8E" w:rsidP="00EF6063">
            <w:pPr>
              <w:keepNext/>
              <w:spacing w:before="80" w:after="80"/>
              <w:jc w:val="right"/>
              <w:rPr>
                <w:rFonts w:ascii="Arial Narrow" w:hAnsi="Arial Narrow"/>
                <w:b/>
                <w:sz w:val="20"/>
              </w:rPr>
            </w:pPr>
            <w:r w:rsidRPr="00DF2EAB">
              <w:rPr>
                <w:rFonts w:ascii="Arial Narrow" w:hAnsi="Arial Narrow"/>
                <w:b/>
                <w:sz w:val="20"/>
              </w:rPr>
              <w:t>51</w:t>
            </w:r>
          </w:p>
        </w:tc>
        <w:tc>
          <w:tcPr>
            <w:tcW w:w="1242" w:type="dxa"/>
            <w:vAlign w:val="bottom"/>
          </w:tcPr>
          <w:p w14:paraId="2475283A" w14:textId="77777777" w:rsidR="00860F8E" w:rsidRPr="00DF2EAB" w:rsidRDefault="00860F8E" w:rsidP="00EF6063">
            <w:pPr>
              <w:keepNext/>
              <w:spacing w:before="80" w:after="80"/>
              <w:jc w:val="right"/>
              <w:rPr>
                <w:rFonts w:ascii="Arial Narrow" w:hAnsi="Arial Narrow"/>
                <w:b/>
                <w:sz w:val="20"/>
              </w:rPr>
            </w:pPr>
            <w:r w:rsidRPr="00DF2EAB">
              <w:rPr>
                <w:rFonts w:ascii="Arial Narrow" w:hAnsi="Arial Narrow"/>
                <w:b/>
                <w:sz w:val="20"/>
              </w:rPr>
              <w:t>34</w:t>
            </w:r>
          </w:p>
        </w:tc>
        <w:tc>
          <w:tcPr>
            <w:tcW w:w="1242" w:type="dxa"/>
          </w:tcPr>
          <w:p w14:paraId="3D950EDD" w14:textId="77777777" w:rsidR="00860F8E" w:rsidRPr="009C06CE" w:rsidRDefault="00860F8E" w:rsidP="00EF6063">
            <w:pPr>
              <w:keepNext/>
              <w:spacing w:before="80" w:after="80"/>
              <w:jc w:val="right"/>
              <w:rPr>
                <w:rFonts w:ascii="Arial Narrow" w:hAnsi="Arial Narrow"/>
                <w:b/>
                <w:sz w:val="20"/>
              </w:rPr>
            </w:pPr>
            <w:r w:rsidRPr="009C06CE">
              <w:rPr>
                <w:rFonts w:ascii="Arial Narrow" w:hAnsi="Arial Narrow"/>
                <w:b/>
                <w:sz w:val="20"/>
              </w:rPr>
              <w:t>12</w:t>
            </w:r>
          </w:p>
        </w:tc>
        <w:tc>
          <w:tcPr>
            <w:tcW w:w="1136" w:type="dxa"/>
          </w:tcPr>
          <w:p w14:paraId="1A680D4D" w14:textId="77777777" w:rsidR="00860F8E" w:rsidRPr="009C06CE" w:rsidRDefault="00860F8E" w:rsidP="00EF6063">
            <w:pPr>
              <w:keepNext/>
              <w:spacing w:before="80" w:after="80"/>
              <w:jc w:val="right"/>
              <w:rPr>
                <w:rFonts w:ascii="Arial Narrow" w:hAnsi="Arial Narrow"/>
                <w:b/>
                <w:sz w:val="20"/>
              </w:rPr>
            </w:pPr>
            <w:r w:rsidRPr="009C06CE">
              <w:rPr>
                <w:rFonts w:ascii="Arial Narrow" w:hAnsi="Arial Narrow"/>
                <w:b/>
                <w:sz w:val="20"/>
              </w:rPr>
              <w:t>8</w:t>
            </w:r>
          </w:p>
        </w:tc>
      </w:tr>
      <w:tr w:rsidR="00860F8E" w:rsidRPr="00DF2EAB" w14:paraId="1288C6C7" w14:textId="77777777" w:rsidTr="005D646B">
        <w:tc>
          <w:tcPr>
            <w:tcW w:w="3078" w:type="dxa"/>
            <w:shd w:val="clear" w:color="auto" w:fill="F2F2F2"/>
          </w:tcPr>
          <w:p w14:paraId="50CEB733" w14:textId="77777777" w:rsidR="00860F8E" w:rsidRPr="00FC265A" w:rsidRDefault="00860F8E" w:rsidP="00EF6063">
            <w:pPr>
              <w:keepNext/>
              <w:spacing w:before="80" w:after="80"/>
              <w:rPr>
                <w:rFonts w:ascii="Arial Narrow" w:hAnsi="Arial Narrow"/>
                <w:b/>
                <w:sz w:val="20"/>
              </w:rPr>
            </w:pPr>
            <w:r w:rsidRPr="00FC265A">
              <w:rPr>
                <w:rFonts w:ascii="Arial Narrow" w:hAnsi="Arial Narrow"/>
                <w:b/>
                <w:sz w:val="20"/>
              </w:rPr>
              <w:t>Licences</w:t>
            </w:r>
          </w:p>
        </w:tc>
        <w:tc>
          <w:tcPr>
            <w:tcW w:w="1240" w:type="dxa"/>
            <w:shd w:val="clear" w:color="auto" w:fill="F2F2F2"/>
            <w:vAlign w:val="bottom"/>
          </w:tcPr>
          <w:p w14:paraId="25570FFF" w14:textId="77777777" w:rsidR="00860F8E" w:rsidRPr="00DF2EAB" w:rsidRDefault="00860F8E" w:rsidP="00EF6063">
            <w:pPr>
              <w:keepNext/>
              <w:spacing w:before="80" w:after="80"/>
              <w:jc w:val="right"/>
              <w:rPr>
                <w:rFonts w:ascii="Arial Narrow" w:hAnsi="Arial Narrow"/>
                <w:sz w:val="20"/>
              </w:rPr>
            </w:pPr>
          </w:p>
        </w:tc>
        <w:tc>
          <w:tcPr>
            <w:tcW w:w="1242" w:type="dxa"/>
            <w:shd w:val="clear" w:color="auto" w:fill="F2F2F2"/>
            <w:vAlign w:val="bottom"/>
          </w:tcPr>
          <w:p w14:paraId="180D75C4" w14:textId="77777777" w:rsidR="00860F8E" w:rsidRPr="00DF2EAB" w:rsidRDefault="00860F8E" w:rsidP="00EF6063">
            <w:pPr>
              <w:keepNext/>
              <w:spacing w:before="80" w:after="80"/>
              <w:jc w:val="right"/>
              <w:rPr>
                <w:rFonts w:ascii="Arial Narrow" w:hAnsi="Arial Narrow"/>
                <w:sz w:val="20"/>
              </w:rPr>
            </w:pPr>
          </w:p>
        </w:tc>
        <w:tc>
          <w:tcPr>
            <w:tcW w:w="1242" w:type="dxa"/>
            <w:shd w:val="clear" w:color="auto" w:fill="F2F2F2"/>
            <w:vAlign w:val="bottom"/>
          </w:tcPr>
          <w:p w14:paraId="576BA8A8" w14:textId="77777777" w:rsidR="00860F8E" w:rsidRPr="00DF2EAB" w:rsidRDefault="00860F8E" w:rsidP="00EF6063">
            <w:pPr>
              <w:keepNext/>
              <w:spacing w:before="80" w:after="80"/>
              <w:jc w:val="right"/>
              <w:rPr>
                <w:rFonts w:ascii="Arial Narrow" w:hAnsi="Arial Narrow"/>
                <w:sz w:val="20"/>
              </w:rPr>
            </w:pPr>
          </w:p>
        </w:tc>
        <w:tc>
          <w:tcPr>
            <w:tcW w:w="1242" w:type="dxa"/>
            <w:shd w:val="clear" w:color="auto" w:fill="F2F2F2"/>
            <w:vAlign w:val="bottom"/>
          </w:tcPr>
          <w:p w14:paraId="583227AC" w14:textId="77777777" w:rsidR="00860F8E" w:rsidRPr="009C06CE" w:rsidRDefault="00860F8E" w:rsidP="00EF6063">
            <w:pPr>
              <w:keepNext/>
              <w:spacing w:before="80" w:after="80"/>
              <w:jc w:val="right"/>
              <w:rPr>
                <w:rFonts w:ascii="Arial Narrow" w:hAnsi="Arial Narrow"/>
                <w:sz w:val="20"/>
              </w:rPr>
            </w:pPr>
          </w:p>
        </w:tc>
        <w:tc>
          <w:tcPr>
            <w:tcW w:w="1136" w:type="dxa"/>
            <w:shd w:val="clear" w:color="auto" w:fill="F2F2F2"/>
          </w:tcPr>
          <w:p w14:paraId="1728C7E1" w14:textId="77777777" w:rsidR="00860F8E" w:rsidRPr="009C06CE" w:rsidRDefault="00860F8E" w:rsidP="00EF6063">
            <w:pPr>
              <w:keepNext/>
              <w:spacing w:before="80" w:after="80"/>
              <w:jc w:val="right"/>
              <w:rPr>
                <w:rFonts w:ascii="Arial Narrow" w:hAnsi="Arial Narrow"/>
                <w:sz w:val="20"/>
              </w:rPr>
            </w:pPr>
          </w:p>
        </w:tc>
      </w:tr>
      <w:tr w:rsidR="00860F8E" w:rsidRPr="00DF2EAB" w14:paraId="466A60EC" w14:textId="77777777" w:rsidTr="005D646B">
        <w:tc>
          <w:tcPr>
            <w:tcW w:w="3078" w:type="dxa"/>
          </w:tcPr>
          <w:p w14:paraId="243E7113" w14:textId="77777777" w:rsidR="00860F8E" w:rsidRPr="00DF2EAB" w:rsidRDefault="00860F8E" w:rsidP="00EF6063">
            <w:pPr>
              <w:keepNext/>
              <w:spacing w:before="80" w:after="80"/>
              <w:rPr>
                <w:rFonts w:ascii="Arial Narrow" w:hAnsi="Arial Narrow"/>
                <w:sz w:val="20"/>
              </w:rPr>
            </w:pPr>
            <w:r w:rsidRPr="00DF2EAB">
              <w:rPr>
                <w:rFonts w:ascii="Arial Narrow" w:hAnsi="Arial Narrow"/>
                <w:sz w:val="20"/>
              </w:rPr>
              <w:t xml:space="preserve">Issued </w:t>
            </w:r>
          </w:p>
        </w:tc>
        <w:tc>
          <w:tcPr>
            <w:tcW w:w="1240" w:type="dxa"/>
            <w:vAlign w:val="bottom"/>
          </w:tcPr>
          <w:p w14:paraId="0A84A2E6" w14:textId="77777777" w:rsidR="00860F8E" w:rsidRPr="00DF2EAB" w:rsidRDefault="00860F8E" w:rsidP="00EF6063">
            <w:pPr>
              <w:keepNext/>
              <w:spacing w:before="80" w:after="80"/>
              <w:jc w:val="right"/>
              <w:rPr>
                <w:rFonts w:ascii="Arial Narrow" w:hAnsi="Arial Narrow"/>
                <w:sz w:val="20"/>
              </w:rPr>
            </w:pPr>
            <w:r w:rsidRPr="00DF2EAB">
              <w:rPr>
                <w:rFonts w:ascii="Arial Narrow" w:hAnsi="Arial Narrow"/>
                <w:sz w:val="20"/>
              </w:rPr>
              <w:t>341</w:t>
            </w:r>
          </w:p>
        </w:tc>
        <w:tc>
          <w:tcPr>
            <w:tcW w:w="1242" w:type="dxa"/>
            <w:vAlign w:val="bottom"/>
          </w:tcPr>
          <w:p w14:paraId="1D69FF7D" w14:textId="77777777" w:rsidR="00860F8E" w:rsidRPr="00DF2EAB" w:rsidRDefault="00860F8E" w:rsidP="00EF6063">
            <w:pPr>
              <w:keepNext/>
              <w:spacing w:before="80" w:after="80"/>
              <w:jc w:val="right"/>
              <w:rPr>
                <w:rFonts w:ascii="Arial Narrow" w:hAnsi="Arial Narrow"/>
                <w:sz w:val="20"/>
              </w:rPr>
            </w:pPr>
            <w:r w:rsidRPr="00DF2EAB">
              <w:rPr>
                <w:rFonts w:ascii="Arial Narrow" w:hAnsi="Arial Narrow"/>
                <w:sz w:val="20"/>
              </w:rPr>
              <w:t>417</w:t>
            </w:r>
          </w:p>
        </w:tc>
        <w:tc>
          <w:tcPr>
            <w:tcW w:w="1242" w:type="dxa"/>
            <w:vAlign w:val="bottom"/>
          </w:tcPr>
          <w:p w14:paraId="067B1F27" w14:textId="77777777" w:rsidR="00860F8E" w:rsidRPr="00DF2EAB" w:rsidRDefault="00860F8E" w:rsidP="00EF6063">
            <w:pPr>
              <w:keepNext/>
              <w:spacing w:before="80" w:after="80"/>
              <w:jc w:val="right"/>
              <w:rPr>
                <w:rFonts w:ascii="Arial Narrow" w:hAnsi="Arial Narrow"/>
                <w:sz w:val="20"/>
              </w:rPr>
            </w:pPr>
            <w:r w:rsidRPr="00DF2EAB">
              <w:rPr>
                <w:rFonts w:ascii="Arial Narrow" w:hAnsi="Arial Narrow"/>
                <w:sz w:val="20"/>
              </w:rPr>
              <w:t>236</w:t>
            </w:r>
          </w:p>
        </w:tc>
        <w:tc>
          <w:tcPr>
            <w:tcW w:w="1242" w:type="dxa"/>
          </w:tcPr>
          <w:p w14:paraId="3C66CC3F" w14:textId="77777777" w:rsidR="00860F8E" w:rsidRPr="009C06CE" w:rsidRDefault="00860F8E" w:rsidP="00EF6063">
            <w:pPr>
              <w:keepNext/>
              <w:spacing w:before="80" w:after="80"/>
              <w:jc w:val="right"/>
              <w:rPr>
                <w:rFonts w:ascii="Arial Narrow" w:hAnsi="Arial Narrow"/>
                <w:sz w:val="20"/>
              </w:rPr>
            </w:pPr>
            <w:r w:rsidRPr="009C06CE">
              <w:rPr>
                <w:rFonts w:ascii="Arial Narrow" w:hAnsi="Arial Narrow"/>
                <w:sz w:val="20"/>
              </w:rPr>
              <w:t>90</w:t>
            </w:r>
            <w:r w:rsidRPr="00166B52">
              <w:rPr>
                <w:rFonts w:ascii="Arial Narrow" w:hAnsi="Arial Narrow"/>
                <w:sz w:val="20"/>
                <w:vertAlign w:val="superscript"/>
              </w:rPr>
              <w:t>b</w:t>
            </w:r>
          </w:p>
        </w:tc>
        <w:tc>
          <w:tcPr>
            <w:tcW w:w="1136" w:type="dxa"/>
          </w:tcPr>
          <w:p w14:paraId="4EB665C0" w14:textId="77777777" w:rsidR="00860F8E" w:rsidRPr="009C06CE" w:rsidRDefault="00860F8E" w:rsidP="00EF6063">
            <w:pPr>
              <w:keepNext/>
              <w:spacing w:before="80" w:after="80"/>
              <w:jc w:val="right"/>
              <w:rPr>
                <w:rFonts w:ascii="Arial Narrow" w:hAnsi="Arial Narrow"/>
                <w:sz w:val="20"/>
              </w:rPr>
            </w:pPr>
            <w:r w:rsidRPr="009C06CE">
              <w:rPr>
                <w:rFonts w:ascii="Arial Narrow" w:hAnsi="Arial Narrow"/>
                <w:sz w:val="20"/>
              </w:rPr>
              <w:t>135</w:t>
            </w:r>
          </w:p>
        </w:tc>
      </w:tr>
      <w:tr w:rsidR="00860F8E" w:rsidRPr="00DF2EAB" w14:paraId="5C017B66" w14:textId="77777777" w:rsidTr="005D646B">
        <w:tc>
          <w:tcPr>
            <w:tcW w:w="3078" w:type="dxa"/>
          </w:tcPr>
          <w:p w14:paraId="7A152655" w14:textId="77777777" w:rsidR="00860F8E" w:rsidRPr="00DF2EAB" w:rsidRDefault="00860F8E" w:rsidP="00EF6063">
            <w:pPr>
              <w:keepNext/>
              <w:spacing w:before="80" w:after="80"/>
              <w:rPr>
                <w:rFonts w:ascii="Arial Narrow" w:hAnsi="Arial Narrow"/>
                <w:b/>
                <w:sz w:val="20"/>
              </w:rPr>
            </w:pPr>
            <w:r w:rsidRPr="00DF2EAB">
              <w:rPr>
                <w:rFonts w:ascii="Arial Narrow" w:hAnsi="Arial Narrow"/>
                <w:b/>
                <w:sz w:val="20"/>
              </w:rPr>
              <w:t>Total current</w:t>
            </w:r>
            <w:r>
              <w:rPr>
                <w:rFonts w:ascii="Arial Narrow" w:hAnsi="Arial Narrow"/>
                <w:b/>
                <w:sz w:val="20"/>
                <w:vertAlign w:val="superscript"/>
              </w:rPr>
              <w:t>c</w:t>
            </w:r>
          </w:p>
        </w:tc>
        <w:tc>
          <w:tcPr>
            <w:tcW w:w="1240" w:type="dxa"/>
            <w:vAlign w:val="bottom"/>
          </w:tcPr>
          <w:p w14:paraId="186C7A9A" w14:textId="77777777" w:rsidR="00860F8E" w:rsidRPr="00DF2EAB" w:rsidRDefault="00860F8E" w:rsidP="00EF6063">
            <w:pPr>
              <w:keepNext/>
              <w:spacing w:before="80" w:after="80"/>
              <w:jc w:val="right"/>
              <w:rPr>
                <w:rFonts w:ascii="Arial Narrow" w:hAnsi="Arial Narrow"/>
                <w:b/>
                <w:sz w:val="20"/>
              </w:rPr>
            </w:pPr>
            <w:r w:rsidRPr="00DF2EAB">
              <w:rPr>
                <w:rFonts w:ascii="Arial Narrow" w:hAnsi="Arial Narrow"/>
                <w:b/>
                <w:sz w:val="20"/>
              </w:rPr>
              <w:t>8,041</w:t>
            </w:r>
          </w:p>
        </w:tc>
        <w:tc>
          <w:tcPr>
            <w:tcW w:w="1242" w:type="dxa"/>
            <w:vAlign w:val="bottom"/>
          </w:tcPr>
          <w:p w14:paraId="14A812D5" w14:textId="77777777" w:rsidR="00860F8E" w:rsidRPr="00DF2EAB" w:rsidRDefault="00860F8E" w:rsidP="00EF6063">
            <w:pPr>
              <w:keepNext/>
              <w:spacing w:before="80" w:after="80"/>
              <w:jc w:val="right"/>
              <w:rPr>
                <w:rFonts w:ascii="Arial Narrow" w:hAnsi="Arial Narrow"/>
                <w:b/>
                <w:sz w:val="20"/>
              </w:rPr>
            </w:pPr>
            <w:r w:rsidRPr="00DF2EAB">
              <w:rPr>
                <w:rFonts w:ascii="Arial Narrow" w:hAnsi="Arial Narrow"/>
                <w:b/>
                <w:sz w:val="20"/>
              </w:rPr>
              <w:t>8,458</w:t>
            </w:r>
          </w:p>
        </w:tc>
        <w:tc>
          <w:tcPr>
            <w:tcW w:w="1242" w:type="dxa"/>
            <w:vAlign w:val="bottom"/>
          </w:tcPr>
          <w:p w14:paraId="0EE7214A" w14:textId="77777777" w:rsidR="00860F8E" w:rsidRPr="00DF2EAB" w:rsidRDefault="00860F8E" w:rsidP="00EF6063">
            <w:pPr>
              <w:keepNext/>
              <w:spacing w:before="80" w:after="80"/>
              <w:jc w:val="right"/>
              <w:rPr>
                <w:rFonts w:ascii="Arial Narrow" w:hAnsi="Arial Narrow"/>
                <w:b/>
                <w:sz w:val="20"/>
              </w:rPr>
            </w:pPr>
            <w:r w:rsidRPr="00DF2EAB">
              <w:rPr>
                <w:rFonts w:ascii="Arial Narrow" w:hAnsi="Arial Narrow"/>
                <w:b/>
                <w:sz w:val="20"/>
              </w:rPr>
              <w:t>8,695</w:t>
            </w:r>
          </w:p>
        </w:tc>
        <w:tc>
          <w:tcPr>
            <w:tcW w:w="1242" w:type="dxa"/>
          </w:tcPr>
          <w:p w14:paraId="53F4D84B" w14:textId="77777777" w:rsidR="00860F8E" w:rsidRPr="009C06CE" w:rsidRDefault="00860F8E" w:rsidP="00EF6063">
            <w:pPr>
              <w:keepNext/>
              <w:spacing w:before="80" w:after="80"/>
              <w:jc w:val="right"/>
              <w:rPr>
                <w:rFonts w:ascii="Arial Narrow" w:hAnsi="Arial Narrow"/>
                <w:b/>
                <w:sz w:val="20"/>
              </w:rPr>
            </w:pPr>
            <w:r w:rsidRPr="009C06CE">
              <w:rPr>
                <w:rFonts w:ascii="Arial Narrow" w:hAnsi="Arial Narrow"/>
                <w:b/>
                <w:sz w:val="20"/>
              </w:rPr>
              <w:t>8,784</w:t>
            </w:r>
          </w:p>
        </w:tc>
        <w:tc>
          <w:tcPr>
            <w:tcW w:w="1136" w:type="dxa"/>
          </w:tcPr>
          <w:p w14:paraId="731A88DD" w14:textId="77777777" w:rsidR="00860F8E" w:rsidRPr="009C06CE" w:rsidRDefault="00860F8E" w:rsidP="00EF6063">
            <w:pPr>
              <w:keepNext/>
              <w:spacing w:before="80" w:after="80"/>
              <w:jc w:val="right"/>
              <w:rPr>
                <w:rFonts w:ascii="Arial Narrow" w:hAnsi="Arial Narrow"/>
                <w:b/>
                <w:sz w:val="20"/>
              </w:rPr>
            </w:pPr>
            <w:r w:rsidRPr="009C06CE">
              <w:rPr>
                <w:rFonts w:ascii="Arial Narrow" w:hAnsi="Arial Narrow"/>
                <w:b/>
                <w:sz w:val="20"/>
              </w:rPr>
              <w:t>8,913</w:t>
            </w:r>
          </w:p>
        </w:tc>
      </w:tr>
      <w:tr w:rsidR="00860F8E" w:rsidRPr="00DF2EAB" w14:paraId="38159058" w14:textId="77777777" w:rsidTr="005D646B">
        <w:tc>
          <w:tcPr>
            <w:tcW w:w="3078" w:type="dxa"/>
          </w:tcPr>
          <w:p w14:paraId="3FE7CE4C" w14:textId="77777777" w:rsidR="00860F8E" w:rsidRPr="00DF2EAB" w:rsidRDefault="00860F8E" w:rsidP="00EF6063">
            <w:pPr>
              <w:keepNext/>
              <w:spacing w:before="80" w:after="80"/>
              <w:rPr>
                <w:rFonts w:ascii="Arial Narrow" w:hAnsi="Arial Narrow"/>
                <w:sz w:val="20"/>
              </w:rPr>
            </w:pPr>
            <w:r w:rsidRPr="00DF2EAB">
              <w:rPr>
                <w:rFonts w:ascii="Arial Narrow" w:hAnsi="Arial Narrow"/>
                <w:sz w:val="20"/>
              </w:rPr>
              <w:t>Average age of licence holder</w:t>
            </w:r>
          </w:p>
        </w:tc>
        <w:tc>
          <w:tcPr>
            <w:tcW w:w="1240" w:type="dxa"/>
            <w:vAlign w:val="bottom"/>
          </w:tcPr>
          <w:p w14:paraId="3AE21612" w14:textId="77777777" w:rsidR="00860F8E" w:rsidRPr="00DF2EAB" w:rsidRDefault="00860F8E" w:rsidP="00EF6063">
            <w:pPr>
              <w:keepNext/>
              <w:spacing w:before="80" w:after="80"/>
              <w:jc w:val="right"/>
              <w:rPr>
                <w:rFonts w:ascii="Arial Narrow" w:hAnsi="Arial Narrow"/>
                <w:sz w:val="20"/>
              </w:rPr>
            </w:pPr>
            <w:r w:rsidRPr="00DF2EAB">
              <w:rPr>
                <w:rFonts w:ascii="Arial Narrow" w:hAnsi="Arial Narrow"/>
                <w:sz w:val="20"/>
              </w:rPr>
              <w:t>48.7</w:t>
            </w:r>
          </w:p>
        </w:tc>
        <w:tc>
          <w:tcPr>
            <w:tcW w:w="1242" w:type="dxa"/>
            <w:vAlign w:val="bottom"/>
          </w:tcPr>
          <w:p w14:paraId="0E758FED" w14:textId="77777777" w:rsidR="00860F8E" w:rsidRPr="00DF2EAB" w:rsidRDefault="00860F8E" w:rsidP="00EF6063">
            <w:pPr>
              <w:keepNext/>
              <w:spacing w:before="80" w:after="80"/>
              <w:jc w:val="right"/>
              <w:rPr>
                <w:rFonts w:ascii="Arial Narrow" w:hAnsi="Arial Narrow"/>
                <w:sz w:val="20"/>
              </w:rPr>
            </w:pPr>
            <w:r w:rsidRPr="00DF2EAB">
              <w:rPr>
                <w:rFonts w:ascii="Arial Narrow" w:hAnsi="Arial Narrow"/>
                <w:sz w:val="20"/>
              </w:rPr>
              <w:t>49.1</w:t>
            </w:r>
          </w:p>
        </w:tc>
        <w:tc>
          <w:tcPr>
            <w:tcW w:w="1242" w:type="dxa"/>
            <w:vAlign w:val="bottom"/>
          </w:tcPr>
          <w:p w14:paraId="4F1F3357" w14:textId="77777777" w:rsidR="00860F8E" w:rsidRPr="00DF2EAB" w:rsidRDefault="00860F8E" w:rsidP="00EF6063">
            <w:pPr>
              <w:keepNext/>
              <w:spacing w:before="80" w:after="80"/>
              <w:jc w:val="right"/>
              <w:rPr>
                <w:rFonts w:ascii="Arial Narrow" w:hAnsi="Arial Narrow"/>
                <w:sz w:val="20"/>
              </w:rPr>
            </w:pPr>
            <w:r w:rsidRPr="00DF2EAB">
              <w:rPr>
                <w:rFonts w:ascii="Arial Narrow" w:hAnsi="Arial Narrow"/>
                <w:sz w:val="20"/>
              </w:rPr>
              <w:t>49.7</w:t>
            </w:r>
          </w:p>
        </w:tc>
        <w:tc>
          <w:tcPr>
            <w:tcW w:w="1242" w:type="dxa"/>
          </w:tcPr>
          <w:p w14:paraId="7B016BF1" w14:textId="77777777" w:rsidR="00860F8E" w:rsidRPr="009C06CE" w:rsidRDefault="00860F8E" w:rsidP="00EF6063">
            <w:pPr>
              <w:keepNext/>
              <w:spacing w:before="80" w:after="80"/>
              <w:jc w:val="right"/>
              <w:rPr>
                <w:rFonts w:ascii="Arial Narrow" w:hAnsi="Arial Narrow"/>
                <w:sz w:val="20"/>
              </w:rPr>
            </w:pPr>
            <w:r w:rsidRPr="009C06CE">
              <w:rPr>
                <w:rFonts w:ascii="Arial Narrow" w:hAnsi="Arial Narrow"/>
                <w:sz w:val="20"/>
              </w:rPr>
              <w:t>50.5</w:t>
            </w:r>
          </w:p>
        </w:tc>
        <w:tc>
          <w:tcPr>
            <w:tcW w:w="1136" w:type="dxa"/>
          </w:tcPr>
          <w:p w14:paraId="0096E681" w14:textId="77777777" w:rsidR="00860F8E" w:rsidRPr="009C06CE" w:rsidRDefault="00860F8E" w:rsidP="00EF6063">
            <w:pPr>
              <w:keepNext/>
              <w:spacing w:before="80" w:after="80"/>
              <w:jc w:val="right"/>
              <w:rPr>
                <w:rFonts w:ascii="Arial Narrow" w:hAnsi="Arial Narrow"/>
                <w:sz w:val="20"/>
              </w:rPr>
            </w:pPr>
            <w:r w:rsidRPr="009C06CE">
              <w:rPr>
                <w:rFonts w:ascii="Arial Narrow" w:hAnsi="Arial Narrow"/>
                <w:sz w:val="20"/>
              </w:rPr>
              <w:t>51.2</w:t>
            </w:r>
          </w:p>
        </w:tc>
      </w:tr>
    </w:tbl>
    <w:p w14:paraId="2E4F63A0" w14:textId="77777777" w:rsidR="00860F8E" w:rsidRDefault="00860F8E" w:rsidP="00860F8E">
      <w:pPr>
        <w:keepLines/>
        <w:tabs>
          <w:tab w:val="left" w:pos="284"/>
          <w:tab w:val="left" w:pos="567"/>
        </w:tabs>
        <w:spacing w:before="60" w:after="0"/>
        <w:ind w:left="284" w:hanging="284"/>
        <w:rPr>
          <w:rFonts w:ascii="Arial Narrow" w:hAnsi="Arial Narrow"/>
          <w:sz w:val="16"/>
        </w:rPr>
      </w:pPr>
      <w:bookmarkStart w:id="167" w:name="tablea16"/>
      <w:bookmarkEnd w:id="167"/>
      <w:r w:rsidRPr="00DF2EAB">
        <w:rPr>
          <w:rFonts w:ascii="Arial Narrow" w:hAnsi="Arial Narrow"/>
          <w:sz w:val="16"/>
        </w:rPr>
        <w:t>a</w:t>
      </w:r>
      <w:r w:rsidRPr="00DF2EAB">
        <w:rPr>
          <w:rFonts w:ascii="Arial Narrow" w:hAnsi="Arial Narrow"/>
          <w:sz w:val="16"/>
        </w:rPr>
        <w:tab/>
        <w:t>In 2015–16, CASA ceased conducting Australian military and foreign civil licensing assessments; they are now conducted by the CASA-approved Civil Aviation Safety Regulations (CASR) Part 147 maintenance training organisations.</w:t>
      </w:r>
    </w:p>
    <w:p w14:paraId="36ADC665" w14:textId="77777777" w:rsidR="00860F8E" w:rsidRPr="00DF2EAB" w:rsidRDefault="00860F8E" w:rsidP="00860F8E">
      <w:pPr>
        <w:keepLines/>
        <w:tabs>
          <w:tab w:val="left" w:pos="284"/>
          <w:tab w:val="left" w:pos="567"/>
        </w:tabs>
        <w:spacing w:before="60" w:after="0"/>
        <w:ind w:left="284" w:hanging="284"/>
        <w:rPr>
          <w:rFonts w:ascii="Arial Narrow" w:hAnsi="Arial Narrow"/>
          <w:sz w:val="16"/>
        </w:rPr>
      </w:pPr>
      <w:r>
        <w:rPr>
          <w:rFonts w:ascii="Arial Narrow" w:hAnsi="Arial Narrow"/>
          <w:sz w:val="16"/>
        </w:rPr>
        <w:t>b</w:t>
      </w:r>
      <w:r>
        <w:rPr>
          <w:rFonts w:ascii="Arial Narrow" w:hAnsi="Arial Narrow"/>
          <w:sz w:val="16"/>
        </w:rPr>
        <w:tab/>
        <w:t>Figures for 2016–17 were reviewed and have changed.</w:t>
      </w:r>
    </w:p>
    <w:p w14:paraId="43A0DF4B" w14:textId="77777777" w:rsidR="00860F8E" w:rsidRPr="00C473FA" w:rsidRDefault="00860F8E" w:rsidP="00860F8E">
      <w:pPr>
        <w:pStyle w:val="TableNotesHangLast"/>
      </w:pPr>
      <w:r>
        <w:t>c</w:t>
      </w:r>
      <w:r w:rsidRPr="00DF2EAB">
        <w:tab/>
        <w:t>CASR Part 66 licences.</w:t>
      </w:r>
    </w:p>
    <w:p w14:paraId="0DA3087B" w14:textId="77777777" w:rsidR="00860F8E" w:rsidRPr="00C473FA" w:rsidRDefault="00860F8E" w:rsidP="00860F8E">
      <w:pPr>
        <w:pStyle w:val="TableName"/>
      </w:pPr>
      <w:r w:rsidRPr="00C473FA">
        <w:t>Table A.10</w:t>
      </w:r>
      <w:r w:rsidRPr="00C473FA">
        <w:tab/>
        <w:t>Airworthiness authorities, 201</w:t>
      </w:r>
      <w:r>
        <w:t>3</w:t>
      </w:r>
      <w:r w:rsidRPr="00C473FA">
        <w:t>–1</w:t>
      </w:r>
      <w:r>
        <w:t>4</w:t>
      </w:r>
      <w:r w:rsidRPr="00C473FA">
        <w:t xml:space="preserve"> to 201</w:t>
      </w:r>
      <w:r>
        <w:t>7</w:t>
      </w:r>
      <w:r w:rsidRPr="00C473FA">
        <w:t>–1</w:t>
      </w:r>
      <w:r>
        <w:t>8</w:t>
      </w:r>
    </w:p>
    <w:tbl>
      <w:tblPr>
        <w:tblW w:w="4899"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4"/>
        <w:gridCol w:w="943"/>
        <w:gridCol w:w="942"/>
        <w:gridCol w:w="942"/>
        <w:gridCol w:w="942"/>
        <w:gridCol w:w="951"/>
      </w:tblGrid>
      <w:tr w:rsidR="00860F8E" w:rsidRPr="00C473FA" w14:paraId="76FA5E47" w14:textId="77777777" w:rsidTr="005D646B">
        <w:trPr>
          <w:tblHeader/>
        </w:trPr>
        <w:tc>
          <w:tcPr>
            <w:tcW w:w="4241" w:type="dxa"/>
            <w:tcMar>
              <w:top w:w="0" w:type="dxa"/>
              <w:left w:w="108" w:type="dxa"/>
              <w:bottom w:w="0" w:type="dxa"/>
              <w:right w:w="108" w:type="dxa"/>
            </w:tcMar>
          </w:tcPr>
          <w:p w14:paraId="42890E0E" w14:textId="77777777" w:rsidR="00860F8E" w:rsidRPr="00C473FA" w:rsidRDefault="00860F8E" w:rsidP="00EF6063">
            <w:pPr>
              <w:keepNext/>
              <w:spacing w:before="60" w:after="60"/>
              <w:rPr>
                <w:rFonts w:ascii="Arial Narrow" w:hAnsi="Arial Narrow"/>
                <w:sz w:val="16"/>
                <w:szCs w:val="16"/>
              </w:rPr>
            </w:pPr>
          </w:p>
        </w:tc>
        <w:tc>
          <w:tcPr>
            <w:tcW w:w="963" w:type="dxa"/>
          </w:tcPr>
          <w:p w14:paraId="1EED11D8" w14:textId="77777777" w:rsidR="00860F8E" w:rsidRPr="00C473FA" w:rsidRDefault="00860F8E" w:rsidP="00EF6063">
            <w:pPr>
              <w:keepNext/>
              <w:spacing w:before="80" w:after="80"/>
              <w:rPr>
                <w:rFonts w:ascii="Arial Narrow" w:hAnsi="Arial Narrow"/>
                <w:b/>
                <w:bCs/>
                <w:sz w:val="16"/>
                <w:szCs w:val="16"/>
              </w:rPr>
            </w:pPr>
            <w:r w:rsidRPr="00C473FA">
              <w:rPr>
                <w:rFonts w:ascii="Arial Narrow" w:hAnsi="Arial Narrow"/>
                <w:b/>
                <w:bCs/>
                <w:sz w:val="20"/>
              </w:rPr>
              <w:t>2013–14</w:t>
            </w:r>
          </w:p>
        </w:tc>
        <w:tc>
          <w:tcPr>
            <w:tcW w:w="963" w:type="dxa"/>
          </w:tcPr>
          <w:p w14:paraId="07D24E62" w14:textId="77777777" w:rsidR="00860F8E" w:rsidRPr="00C473FA" w:rsidRDefault="00860F8E" w:rsidP="00EF6063">
            <w:pPr>
              <w:keepNext/>
              <w:spacing w:before="80" w:after="80"/>
              <w:rPr>
                <w:rFonts w:ascii="Arial Narrow" w:hAnsi="Arial Narrow"/>
                <w:b/>
                <w:bCs/>
                <w:sz w:val="16"/>
                <w:szCs w:val="16"/>
              </w:rPr>
            </w:pPr>
            <w:r w:rsidRPr="00C473FA">
              <w:rPr>
                <w:rFonts w:ascii="Arial Narrow" w:hAnsi="Arial Narrow"/>
                <w:b/>
                <w:bCs/>
                <w:sz w:val="20"/>
              </w:rPr>
              <w:t>2014–15</w:t>
            </w:r>
          </w:p>
        </w:tc>
        <w:tc>
          <w:tcPr>
            <w:tcW w:w="963" w:type="dxa"/>
          </w:tcPr>
          <w:p w14:paraId="2A15C0F2" w14:textId="77777777" w:rsidR="00860F8E" w:rsidRPr="00C473FA" w:rsidRDefault="00860F8E" w:rsidP="00EF6063">
            <w:pPr>
              <w:keepNext/>
              <w:spacing w:before="80" w:after="80"/>
              <w:rPr>
                <w:rFonts w:ascii="Arial Narrow" w:hAnsi="Arial Narrow"/>
                <w:b/>
                <w:bCs/>
                <w:sz w:val="16"/>
                <w:szCs w:val="16"/>
              </w:rPr>
            </w:pPr>
            <w:r w:rsidRPr="00C473FA">
              <w:rPr>
                <w:rFonts w:ascii="Arial Narrow" w:hAnsi="Arial Narrow"/>
                <w:b/>
                <w:bCs/>
                <w:sz w:val="20"/>
              </w:rPr>
              <w:t>2015–16</w:t>
            </w:r>
          </w:p>
        </w:tc>
        <w:tc>
          <w:tcPr>
            <w:tcW w:w="963" w:type="dxa"/>
          </w:tcPr>
          <w:p w14:paraId="1F97D85C" w14:textId="77777777" w:rsidR="00860F8E" w:rsidRPr="00C473FA" w:rsidRDefault="00860F8E" w:rsidP="00EF6063">
            <w:pPr>
              <w:keepNext/>
              <w:spacing w:before="80" w:after="80"/>
              <w:rPr>
                <w:rFonts w:ascii="Arial Narrow" w:hAnsi="Arial Narrow"/>
                <w:b/>
                <w:bCs/>
                <w:sz w:val="16"/>
                <w:szCs w:val="16"/>
              </w:rPr>
            </w:pPr>
            <w:r w:rsidRPr="00C473FA">
              <w:rPr>
                <w:rFonts w:ascii="Arial Narrow" w:hAnsi="Arial Narrow"/>
                <w:b/>
                <w:bCs/>
                <w:sz w:val="20"/>
              </w:rPr>
              <w:t>2016–17</w:t>
            </w:r>
          </w:p>
        </w:tc>
        <w:tc>
          <w:tcPr>
            <w:tcW w:w="963" w:type="dxa"/>
            <w:tcMar>
              <w:top w:w="0" w:type="dxa"/>
              <w:left w:w="108" w:type="dxa"/>
              <w:bottom w:w="0" w:type="dxa"/>
              <w:right w:w="108" w:type="dxa"/>
            </w:tcMar>
          </w:tcPr>
          <w:p w14:paraId="1F541019" w14:textId="77777777" w:rsidR="00860F8E" w:rsidRPr="009C06CE" w:rsidRDefault="00860F8E" w:rsidP="00EF6063">
            <w:pPr>
              <w:keepNext/>
              <w:spacing w:before="80" w:after="80"/>
              <w:rPr>
                <w:rFonts w:ascii="Arial Narrow" w:hAnsi="Arial Narrow"/>
                <w:b/>
                <w:bCs/>
                <w:sz w:val="20"/>
              </w:rPr>
            </w:pPr>
            <w:r w:rsidRPr="009C06CE">
              <w:rPr>
                <w:rFonts w:ascii="Arial Narrow" w:hAnsi="Arial Narrow"/>
                <w:b/>
                <w:bCs/>
                <w:sz w:val="20"/>
              </w:rPr>
              <w:t>2017–18</w:t>
            </w:r>
          </w:p>
        </w:tc>
      </w:tr>
      <w:tr w:rsidR="00860F8E" w:rsidRPr="00C473FA" w14:paraId="0A83C52B" w14:textId="77777777" w:rsidTr="005D646B">
        <w:tc>
          <w:tcPr>
            <w:tcW w:w="4241" w:type="dxa"/>
            <w:tcMar>
              <w:top w:w="0" w:type="dxa"/>
              <w:left w:w="108" w:type="dxa"/>
              <w:bottom w:w="0" w:type="dxa"/>
              <w:right w:w="108" w:type="dxa"/>
            </w:tcMar>
            <w:hideMark/>
          </w:tcPr>
          <w:p w14:paraId="7DFFC9C4" w14:textId="77777777" w:rsidR="00860F8E" w:rsidRPr="00C473FA" w:rsidRDefault="00860F8E" w:rsidP="00EF6063">
            <w:pPr>
              <w:keepNext/>
              <w:spacing w:before="80" w:after="80"/>
              <w:rPr>
                <w:rFonts w:ascii="Arial Narrow" w:hAnsi="Arial Narrow"/>
                <w:sz w:val="20"/>
              </w:rPr>
            </w:pPr>
            <w:r w:rsidRPr="00C473FA">
              <w:rPr>
                <w:rFonts w:ascii="Arial Narrow" w:hAnsi="Arial Narrow"/>
                <w:sz w:val="20"/>
              </w:rPr>
              <w:t>Maintenance authorities</w:t>
            </w:r>
          </w:p>
        </w:tc>
        <w:tc>
          <w:tcPr>
            <w:tcW w:w="963" w:type="dxa"/>
          </w:tcPr>
          <w:p w14:paraId="58EC6DB2" w14:textId="77777777" w:rsidR="00860F8E" w:rsidRPr="00C473FA" w:rsidRDefault="00860F8E" w:rsidP="00EF6063">
            <w:pPr>
              <w:pStyle w:val="TableText"/>
              <w:jc w:val="center"/>
            </w:pPr>
            <w:r w:rsidRPr="00C473FA">
              <w:t>41</w:t>
            </w:r>
          </w:p>
        </w:tc>
        <w:tc>
          <w:tcPr>
            <w:tcW w:w="963" w:type="dxa"/>
          </w:tcPr>
          <w:p w14:paraId="01392B7F" w14:textId="77777777" w:rsidR="00860F8E" w:rsidRPr="00C473FA" w:rsidRDefault="00860F8E" w:rsidP="00EF6063">
            <w:pPr>
              <w:pStyle w:val="TableText"/>
              <w:jc w:val="center"/>
            </w:pPr>
            <w:r w:rsidRPr="00C473FA">
              <w:t>35</w:t>
            </w:r>
          </w:p>
        </w:tc>
        <w:tc>
          <w:tcPr>
            <w:tcW w:w="963" w:type="dxa"/>
          </w:tcPr>
          <w:p w14:paraId="094654D9" w14:textId="77777777" w:rsidR="00860F8E" w:rsidRPr="00C473FA" w:rsidRDefault="00860F8E" w:rsidP="00EF6063">
            <w:pPr>
              <w:pStyle w:val="TableText"/>
              <w:jc w:val="center"/>
            </w:pPr>
            <w:r w:rsidRPr="00C473FA">
              <w:t>28</w:t>
            </w:r>
          </w:p>
        </w:tc>
        <w:tc>
          <w:tcPr>
            <w:tcW w:w="963" w:type="dxa"/>
          </w:tcPr>
          <w:p w14:paraId="6A31B4AA" w14:textId="77777777" w:rsidR="00860F8E" w:rsidRPr="00C473FA" w:rsidRDefault="00860F8E" w:rsidP="00EF6063">
            <w:pPr>
              <w:pStyle w:val="TableText"/>
              <w:jc w:val="center"/>
            </w:pPr>
            <w:r w:rsidRPr="00C473FA">
              <w:t>18</w:t>
            </w:r>
          </w:p>
        </w:tc>
        <w:tc>
          <w:tcPr>
            <w:tcW w:w="963" w:type="dxa"/>
            <w:tcMar>
              <w:top w:w="0" w:type="dxa"/>
              <w:left w:w="108" w:type="dxa"/>
              <w:bottom w:w="0" w:type="dxa"/>
              <w:right w:w="108" w:type="dxa"/>
            </w:tcMar>
          </w:tcPr>
          <w:p w14:paraId="0FECCD11" w14:textId="77777777" w:rsidR="00860F8E" w:rsidRPr="00C473FA" w:rsidRDefault="00860F8E" w:rsidP="00EF6063">
            <w:pPr>
              <w:pStyle w:val="TableText"/>
              <w:jc w:val="center"/>
            </w:pPr>
            <w:r>
              <w:t>10</w:t>
            </w:r>
          </w:p>
        </w:tc>
      </w:tr>
      <w:tr w:rsidR="00860F8E" w:rsidRPr="00C473FA" w14:paraId="6673AA43" w14:textId="77777777" w:rsidTr="005D646B">
        <w:tc>
          <w:tcPr>
            <w:tcW w:w="4241" w:type="dxa"/>
            <w:tcMar>
              <w:top w:w="0" w:type="dxa"/>
              <w:left w:w="108" w:type="dxa"/>
              <w:bottom w:w="0" w:type="dxa"/>
              <w:right w:w="108" w:type="dxa"/>
            </w:tcMar>
            <w:hideMark/>
          </w:tcPr>
          <w:p w14:paraId="7C2FBABD" w14:textId="77777777" w:rsidR="00860F8E" w:rsidRPr="00C473FA" w:rsidRDefault="00860F8E" w:rsidP="00EF6063">
            <w:pPr>
              <w:keepNext/>
              <w:spacing w:before="80" w:after="80"/>
              <w:rPr>
                <w:rFonts w:ascii="Arial Narrow" w:hAnsi="Arial Narrow"/>
                <w:sz w:val="20"/>
              </w:rPr>
            </w:pPr>
            <w:r w:rsidRPr="00C473FA">
              <w:rPr>
                <w:rFonts w:ascii="Arial Narrow" w:hAnsi="Arial Narrow"/>
                <w:sz w:val="20"/>
              </w:rPr>
              <w:t>Non-destructive testing authorities</w:t>
            </w:r>
          </w:p>
        </w:tc>
        <w:tc>
          <w:tcPr>
            <w:tcW w:w="963" w:type="dxa"/>
          </w:tcPr>
          <w:p w14:paraId="4E1BE6BC" w14:textId="77777777" w:rsidR="00860F8E" w:rsidRPr="00C473FA" w:rsidRDefault="00860F8E" w:rsidP="00EF6063">
            <w:pPr>
              <w:pStyle w:val="TableText"/>
              <w:jc w:val="center"/>
            </w:pPr>
            <w:r w:rsidRPr="00C473FA">
              <w:t>34</w:t>
            </w:r>
          </w:p>
        </w:tc>
        <w:tc>
          <w:tcPr>
            <w:tcW w:w="963" w:type="dxa"/>
          </w:tcPr>
          <w:p w14:paraId="1F6FA0BA" w14:textId="77777777" w:rsidR="00860F8E" w:rsidRPr="00C473FA" w:rsidRDefault="00860F8E" w:rsidP="00EF6063">
            <w:pPr>
              <w:pStyle w:val="TableText"/>
              <w:jc w:val="center"/>
            </w:pPr>
            <w:r w:rsidRPr="00C473FA">
              <w:t>6</w:t>
            </w:r>
          </w:p>
        </w:tc>
        <w:tc>
          <w:tcPr>
            <w:tcW w:w="963" w:type="dxa"/>
          </w:tcPr>
          <w:p w14:paraId="1875BEAA" w14:textId="77777777" w:rsidR="00860F8E" w:rsidRPr="00C473FA" w:rsidRDefault="00860F8E" w:rsidP="00EF6063">
            <w:pPr>
              <w:pStyle w:val="TableText"/>
              <w:jc w:val="center"/>
            </w:pPr>
            <w:r w:rsidRPr="00C473FA">
              <w:t>9</w:t>
            </w:r>
          </w:p>
        </w:tc>
        <w:tc>
          <w:tcPr>
            <w:tcW w:w="963" w:type="dxa"/>
          </w:tcPr>
          <w:p w14:paraId="782030FC" w14:textId="77777777" w:rsidR="00860F8E" w:rsidRPr="00C473FA" w:rsidRDefault="00860F8E" w:rsidP="00EF6063">
            <w:pPr>
              <w:pStyle w:val="TableText"/>
              <w:jc w:val="center"/>
            </w:pPr>
            <w:r w:rsidRPr="00C473FA">
              <w:t>5</w:t>
            </w:r>
          </w:p>
        </w:tc>
        <w:tc>
          <w:tcPr>
            <w:tcW w:w="963" w:type="dxa"/>
            <w:tcMar>
              <w:top w:w="0" w:type="dxa"/>
              <w:left w:w="108" w:type="dxa"/>
              <w:bottom w:w="0" w:type="dxa"/>
              <w:right w:w="108" w:type="dxa"/>
            </w:tcMar>
          </w:tcPr>
          <w:p w14:paraId="06041A5A" w14:textId="77777777" w:rsidR="00860F8E" w:rsidRPr="00C473FA" w:rsidRDefault="00860F8E" w:rsidP="00EF6063">
            <w:pPr>
              <w:pStyle w:val="TableText"/>
              <w:jc w:val="center"/>
            </w:pPr>
            <w:r>
              <w:t>8</w:t>
            </w:r>
          </w:p>
        </w:tc>
      </w:tr>
      <w:tr w:rsidR="00860F8E" w:rsidRPr="00C473FA" w14:paraId="43B5DA15" w14:textId="77777777" w:rsidTr="005D646B">
        <w:tc>
          <w:tcPr>
            <w:tcW w:w="4241" w:type="dxa"/>
            <w:tcMar>
              <w:top w:w="0" w:type="dxa"/>
              <w:left w:w="108" w:type="dxa"/>
              <w:bottom w:w="0" w:type="dxa"/>
              <w:right w:w="108" w:type="dxa"/>
            </w:tcMar>
            <w:hideMark/>
          </w:tcPr>
          <w:p w14:paraId="7E57B5AF" w14:textId="77777777" w:rsidR="00860F8E" w:rsidRPr="00C473FA" w:rsidRDefault="00860F8E" w:rsidP="00EF6063">
            <w:pPr>
              <w:keepNext/>
              <w:spacing w:before="80" w:after="80"/>
              <w:rPr>
                <w:rFonts w:ascii="Arial Narrow" w:hAnsi="Arial Narrow"/>
                <w:sz w:val="20"/>
              </w:rPr>
            </w:pPr>
            <w:r w:rsidRPr="00C473FA">
              <w:rPr>
                <w:rFonts w:ascii="Arial Narrow" w:hAnsi="Arial Narrow"/>
                <w:sz w:val="20"/>
              </w:rPr>
              <w:t>Weight control authorities</w:t>
            </w:r>
          </w:p>
        </w:tc>
        <w:tc>
          <w:tcPr>
            <w:tcW w:w="963" w:type="dxa"/>
          </w:tcPr>
          <w:p w14:paraId="05E2099E" w14:textId="77777777" w:rsidR="00860F8E" w:rsidRPr="00C473FA" w:rsidRDefault="00860F8E" w:rsidP="00EF6063">
            <w:pPr>
              <w:pStyle w:val="TableText"/>
              <w:jc w:val="center"/>
            </w:pPr>
            <w:r w:rsidRPr="00C473FA">
              <w:t>3</w:t>
            </w:r>
          </w:p>
        </w:tc>
        <w:tc>
          <w:tcPr>
            <w:tcW w:w="963" w:type="dxa"/>
          </w:tcPr>
          <w:p w14:paraId="4B979C6F" w14:textId="77777777" w:rsidR="00860F8E" w:rsidRPr="00C473FA" w:rsidRDefault="00860F8E" w:rsidP="00EF6063">
            <w:pPr>
              <w:pStyle w:val="TableText"/>
              <w:jc w:val="center"/>
            </w:pPr>
            <w:r w:rsidRPr="00C473FA">
              <w:t>15</w:t>
            </w:r>
          </w:p>
        </w:tc>
        <w:tc>
          <w:tcPr>
            <w:tcW w:w="963" w:type="dxa"/>
          </w:tcPr>
          <w:p w14:paraId="12592458" w14:textId="77777777" w:rsidR="00860F8E" w:rsidRPr="00C473FA" w:rsidRDefault="00860F8E" w:rsidP="00EF6063">
            <w:pPr>
              <w:pStyle w:val="TableText"/>
              <w:jc w:val="center"/>
            </w:pPr>
            <w:r w:rsidRPr="00C473FA">
              <w:t>9</w:t>
            </w:r>
          </w:p>
        </w:tc>
        <w:tc>
          <w:tcPr>
            <w:tcW w:w="963" w:type="dxa"/>
          </w:tcPr>
          <w:p w14:paraId="00D40B88" w14:textId="77777777" w:rsidR="00860F8E" w:rsidRPr="00C473FA" w:rsidRDefault="00860F8E" w:rsidP="00EF6063">
            <w:pPr>
              <w:pStyle w:val="TableText"/>
              <w:jc w:val="center"/>
            </w:pPr>
            <w:r w:rsidRPr="00C473FA">
              <w:t>5</w:t>
            </w:r>
          </w:p>
        </w:tc>
        <w:tc>
          <w:tcPr>
            <w:tcW w:w="963" w:type="dxa"/>
            <w:tcMar>
              <w:top w:w="0" w:type="dxa"/>
              <w:left w:w="108" w:type="dxa"/>
              <w:bottom w:w="0" w:type="dxa"/>
              <w:right w:w="108" w:type="dxa"/>
            </w:tcMar>
          </w:tcPr>
          <w:p w14:paraId="61CAFF6D" w14:textId="77777777" w:rsidR="00860F8E" w:rsidRPr="00C473FA" w:rsidRDefault="00860F8E" w:rsidP="00EF6063">
            <w:pPr>
              <w:pStyle w:val="TableText"/>
              <w:jc w:val="center"/>
            </w:pPr>
            <w:r>
              <w:t>4</w:t>
            </w:r>
          </w:p>
        </w:tc>
      </w:tr>
      <w:tr w:rsidR="00860F8E" w:rsidRPr="00C473FA" w14:paraId="2370BE62" w14:textId="77777777" w:rsidTr="005D646B">
        <w:tc>
          <w:tcPr>
            <w:tcW w:w="4241" w:type="dxa"/>
            <w:tcMar>
              <w:top w:w="0" w:type="dxa"/>
              <w:left w:w="108" w:type="dxa"/>
              <w:bottom w:w="0" w:type="dxa"/>
              <w:right w:w="108" w:type="dxa"/>
            </w:tcMar>
            <w:hideMark/>
          </w:tcPr>
          <w:p w14:paraId="327C22A2" w14:textId="77777777" w:rsidR="00860F8E" w:rsidRPr="00C473FA" w:rsidRDefault="00860F8E" w:rsidP="00EF6063">
            <w:pPr>
              <w:keepNext/>
              <w:spacing w:before="80" w:after="80"/>
              <w:rPr>
                <w:rFonts w:ascii="Arial Narrow" w:hAnsi="Arial Narrow"/>
                <w:sz w:val="20"/>
              </w:rPr>
            </w:pPr>
            <w:r w:rsidRPr="00C473FA">
              <w:rPr>
                <w:rFonts w:ascii="Arial Narrow" w:hAnsi="Arial Narrow"/>
                <w:sz w:val="20"/>
              </w:rPr>
              <w:t>Welding authorities</w:t>
            </w:r>
          </w:p>
        </w:tc>
        <w:tc>
          <w:tcPr>
            <w:tcW w:w="963" w:type="dxa"/>
          </w:tcPr>
          <w:p w14:paraId="5F4973DF" w14:textId="77777777" w:rsidR="00860F8E" w:rsidRPr="00C473FA" w:rsidRDefault="00860F8E" w:rsidP="00EF6063">
            <w:pPr>
              <w:pStyle w:val="TableText"/>
              <w:jc w:val="center"/>
            </w:pPr>
            <w:r w:rsidRPr="00C473FA">
              <w:t>5</w:t>
            </w:r>
          </w:p>
        </w:tc>
        <w:tc>
          <w:tcPr>
            <w:tcW w:w="963" w:type="dxa"/>
          </w:tcPr>
          <w:p w14:paraId="1FEF15BE" w14:textId="77777777" w:rsidR="00860F8E" w:rsidRPr="00C473FA" w:rsidRDefault="00860F8E" w:rsidP="00EF6063">
            <w:pPr>
              <w:pStyle w:val="TableText"/>
              <w:jc w:val="center"/>
            </w:pPr>
            <w:r w:rsidRPr="00C473FA">
              <w:t>2</w:t>
            </w:r>
          </w:p>
        </w:tc>
        <w:tc>
          <w:tcPr>
            <w:tcW w:w="963" w:type="dxa"/>
          </w:tcPr>
          <w:p w14:paraId="3221EACC" w14:textId="77777777" w:rsidR="00860F8E" w:rsidRPr="00C473FA" w:rsidRDefault="00860F8E" w:rsidP="00EF6063">
            <w:pPr>
              <w:pStyle w:val="TableText"/>
              <w:jc w:val="center"/>
            </w:pPr>
            <w:r w:rsidRPr="00C473FA">
              <w:t>7</w:t>
            </w:r>
          </w:p>
        </w:tc>
        <w:tc>
          <w:tcPr>
            <w:tcW w:w="963" w:type="dxa"/>
          </w:tcPr>
          <w:p w14:paraId="5A39669B" w14:textId="77777777" w:rsidR="00860F8E" w:rsidRPr="00C473FA" w:rsidRDefault="00860F8E" w:rsidP="00EF6063">
            <w:pPr>
              <w:pStyle w:val="TableText"/>
              <w:jc w:val="center"/>
            </w:pPr>
            <w:r w:rsidRPr="00C473FA">
              <w:t>5</w:t>
            </w:r>
          </w:p>
        </w:tc>
        <w:tc>
          <w:tcPr>
            <w:tcW w:w="963" w:type="dxa"/>
            <w:tcMar>
              <w:top w:w="0" w:type="dxa"/>
              <w:left w:w="108" w:type="dxa"/>
              <w:bottom w:w="0" w:type="dxa"/>
              <w:right w:w="108" w:type="dxa"/>
            </w:tcMar>
          </w:tcPr>
          <w:p w14:paraId="6722219F" w14:textId="77777777" w:rsidR="00860F8E" w:rsidRPr="00C473FA" w:rsidRDefault="00860F8E" w:rsidP="00EF6063">
            <w:pPr>
              <w:pStyle w:val="TableText"/>
              <w:jc w:val="center"/>
            </w:pPr>
            <w:r>
              <w:t>6</w:t>
            </w:r>
          </w:p>
        </w:tc>
      </w:tr>
    </w:tbl>
    <w:p w14:paraId="3744857A" w14:textId="77777777" w:rsidR="00860F8E" w:rsidRPr="00C473FA" w:rsidRDefault="00860F8E" w:rsidP="00860F8E"/>
    <w:p w14:paraId="5AC164EC" w14:textId="77777777" w:rsidR="00860F8E" w:rsidRDefault="00860F8E" w:rsidP="00860F8E">
      <w:pPr>
        <w:pStyle w:val="Heading2"/>
      </w:pPr>
      <w:r>
        <w:lastRenderedPageBreak/>
        <w:t>Airworthiness</w:t>
      </w:r>
    </w:p>
    <w:p w14:paraId="48499623" w14:textId="77777777" w:rsidR="00860F8E" w:rsidRPr="00C473FA" w:rsidRDefault="00860F8E" w:rsidP="00860F8E">
      <w:pPr>
        <w:pStyle w:val="TableName"/>
        <w:rPr>
          <w:sz w:val="20"/>
        </w:rPr>
      </w:pPr>
      <w:r w:rsidRPr="00C473FA">
        <w:t>Table A.11</w:t>
      </w:r>
      <w:r w:rsidRPr="00C473FA">
        <w:tab/>
        <w:t>Airworthiness certificates, authorisations and approvals issued, 201</w:t>
      </w:r>
      <w:r>
        <w:t>3</w:t>
      </w:r>
      <w:r w:rsidRPr="00C473FA">
        <w:t>–1</w:t>
      </w:r>
      <w:r>
        <w:t>4</w:t>
      </w:r>
      <w:r w:rsidRPr="00C473FA">
        <w:t xml:space="preserve"> to 201</w:t>
      </w:r>
      <w:r>
        <w:t>7</w:t>
      </w:r>
      <w:r w:rsidRPr="00C473FA">
        <w:t>–1</w:t>
      </w:r>
      <w: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3381"/>
        <w:gridCol w:w="1125"/>
        <w:gridCol w:w="1082"/>
        <w:gridCol w:w="1086"/>
        <w:gridCol w:w="941"/>
        <w:gridCol w:w="1401"/>
      </w:tblGrid>
      <w:tr w:rsidR="00860F8E" w:rsidRPr="00E6285C" w14:paraId="262D3BA0" w14:textId="77777777" w:rsidTr="008E2A9C">
        <w:trPr>
          <w:tblHeader/>
        </w:trPr>
        <w:tc>
          <w:tcPr>
            <w:tcW w:w="1875" w:type="pct"/>
          </w:tcPr>
          <w:p w14:paraId="4A11A5D7" w14:textId="77777777" w:rsidR="00860F8E" w:rsidRPr="005D646B" w:rsidRDefault="00860F8E" w:rsidP="005D646B">
            <w:pPr>
              <w:pStyle w:val="TableText"/>
              <w:rPr>
                <w:b/>
              </w:rPr>
            </w:pPr>
            <w:r w:rsidRPr="005D646B">
              <w:rPr>
                <w:b/>
              </w:rPr>
              <w:tab/>
            </w:r>
          </w:p>
        </w:tc>
        <w:tc>
          <w:tcPr>
            <w:tcW w:w="624" w:type="pct"/>
          </w:tcPr>
          <w:p w14:paraId="2213FCE1" w14:textId="77777777" w:rsidR="00860F8E" w:rsidRPr="005D646B" w:rsidRDefault="00860F8E" w:rsidP="005D646B">
            <w:pPr>
              <w:pStyle w:val="TableText"/>
              <w:rPr>
                <w:b/>
              </w:rPr>
            </w:pPr>
            <w:r w:rsidRPr="005D646B">
              <w:rPr>
                <w:b/>
              </w:rPr>
              <w:t>2013–14</w:t>
            </w:r>
          </w:p>
        </w:tc>
        <w:tc>
          <w:tcPr>
            <w:tcW w:w="600" w:type="pct"/>
          </w:tcPr>
          <w:p w14:paraId="73D8FA0F" w14:textId="77777777" w:rsidR="00860F8E" w:rsidRPr="005D646B" w:rsidRDefault="00860F8E" w:rsidP="005D646B">
            <w:pPr>
              <w:pStyle w:val="TableText"/>
              <w:rPr>
                <w:b/>
              </w:rPr>
            </w:pPr>
            <w:r w:rsidRPr="005D646B">
              <w:rPr>
                <w:b/>
              </w:rPr>
              <w:t>2014–15</w:t>
            </w:r>
          </w:p>
        </w:tc>
        <w:tc>
          <w:tcPr>
            <w:tcW w:w="602" w:type="pct"/>
          </w:tcPr>
          <w:p w14:paraId="65FE05BC" w14:textId="77777777" w:rsidR="00860F8E" w:rsidRPr="005D646B" w:rsidRDefault="00860F8E" w:rsidP="005D646B">
            <w:pPr>
              <w:pStyle w:val="TableText"/>
              <w:rPr>
                <w:b/>
              </w:rPr>
            </w:pPr>
            <w:r w:rsidRPr="005D646B">
              <w:rPr>
                <w:b/>
              </w:rPr>
              <w:t>2015–16</w:t>
            </w:r>
          </w:p>
        </w:tc>
        <w:tc>
          <w:tcPr>
            <w:tcW w:w="522" w:type="pct"/>
          </w:tcPr>
          <w:p w14:paraId="5D2EF9E7" w14:textId="77777777" w:rsidR="00860F8E" w:rsidRPr="005D646B" w:rsidRDefault="00860F8E" w:rsidP="005D646B">
            <w:pPr>
              <w:pStyle w:val="TableText"/>
              <w:rPr>
                <w:b/>
              </w:rPr>
            </w:pPr>
            <w:r w:rsidRPr="005D646B">
              <w:rPr>
                <w:b/>
              </w:rPr>
              <w:t>2016–17</w:t>
            </w:r>
          </w:p>
        </w:tc>
        <w:tc>
          <w:tcPr>
            <w:tcW w:w="777" w:type="pct"/>
          </w:tcPr>
          <w:p w14:paraId="6E35EF61" w14:textId="77777777" w:rsidR="00860F8E" w:rsidRPr="005D646B" w:rsidRDefault="00860F8E" w:rsidP="005D646B">
            <w:pPr>
              <w:pStyle w:val="TableText"/>
              <w:rPr>
                <w:b/>
              </w:rPr>
            </w:pPr>
            <w:r w:rsidRPr="005D646B">
              <w:rPr>
                <w:b/>
              </w:rPr>
              <w:t>2017–18</w:t>
            </w:r>
          </w:p>
        </w:tc>
      </w:tr>
      <w:tr w:rsidR="00860F8E" w:rsidRPr="00E6285C" w14:paraId="4D8A425B" w14:textId="77777777" w:rsidTr="008E2A9C">
        <w:tc>
          <w:tcPr>
            <w:tcW w:w="5000" w:type="pct"/>
            <w:gridSpan w:val="6"/>
            <w:shd w:val="clear" w:color="auto" w:fill="E6E6E6"/>
          </w:tcPr>
          <w:p w14:paraId="30552572" w14:textId="77777777" w:rsidR="00860F8E" w:rsidRPr="005D646B" w:rsidRDefault="00860F8E" w:rsidP="005D646B">
            <w:pPr>
              <w:pStyle w:val="TableText"/>
              <w:rPr>
                <w:b/>
              </w:rPr>
            </w:pPr>
            <w:r w:rsidRPr="005D646B">
              <w:rPr>
                <w:b/>
              </w:rPr>
              <w:t>Type certificate (includes amendments)</w:t>
            </w:r>
            <w:r w:rsidRPr="005D646B">
              <w:rPr>
                <w:b/>
                <w:vertAlign w:val="superscript"/>
              </w:rPr>
              <w:t>a</w:t>
            </w:r>
          </w:p>
        </w:tc>
      </w:tr>
      <w:tr w:rsidR="00860F8E" w:rsidRPr="00E6285C" w14:paraId="760F9D6B" w14:textId="77777777" w:rsidTr="008E2A9C">
        <w:tc>
          <w:tcPr>
            <w:tcW w:w="1875" w:type="pct"/>
          </w:tcPr>
          <w:p w14:paraId="4C2082E3" w14:textId="77777777" w:rsidR="00860F8E" w:rsidRPr="00E6285C" w:rsidRDefault="00860F8E" w:rsidP="005D646B">
            <w:pPr>
              <w:pStyle w:val="TableText"/>
            </w:pPr>
            <w:r w:rsidRPr="00E6285C">
              <w:t xml:space="preserve">Aeroplanes </w:t>
            </w:r>
          </w:p>
        </w:tc>
        <w:tc>
          <w:tcPr>
            <w:tcW w:w="624" w:type="pct"/>
          </w:tcPr>
          <w:p w14:paraId="164A128A" w14:textId="77777777" w:rsidR="00860F8E" w:rsidRPr="00E6285C" w:rsidRDefault="00860F8E" w:rsidP="005D646B">
            <w:pPr>
              <w:pStyle w:val="TableText"/>
            </w:pPr>
            <w:r w:rsidRPr="00E6285C">
              <w:rPr>
                <w:color w:val="000000"/>
              </w:rPr>
              <w:t>2</w:t>
            </w:r>
          </w:p>
        </w:tc>
        <w:tc>
          <w:tcPr>
            <w:tcW w:w="600" w:type="pct"/>
          </w:tcPr>
          <w:p w14:paraId="32B5E3F8" w14:textId="77777777" w:rsidR="00860F8E" w:rsidRPr="00E6285C" w:rsidRDefault="00860F8E" w:rsidP="005D646B">
            <w:pPr>
              <w:pStyle w:val="TableText"/>
              <w:rPr>
                <w:color w:val="000000"/>
              </w:rPr>
            </w:pPr>
            <w:r w:rsidRPr="00E6285C">
              <w:rPr>
                <w:color w:val="000000"/>
              </w:rPr>
              <w:t>0</w:t>
            </w:r>
          </w:p>
        </w:tc>
        <w:tc>
          <w:tcPr>
            <w:tcW w:w="602" w:type="pct"/>
          </w:tcPr>
          <w:p w14:paraId="06F75E8A" w14:textId="77777777" w:rsidR="00860F8E" w:rsidRPr="00E6285C" w:rsidRDefault="00860F8E" w:rsidP="005D646B">
            <w:pPr>
              <w:pStyle w:val="TableText"/>
              <w:rPr>
                <w:color w:val="000000"/>
              </w:rPr>
            </w:pPr>
            <w:r w:rsidRPr="00E6285C">
              <w:rPr>
                <w:color w:val="000000"/>
              </w:rPr>
              <w:t>4</w:t>
            </w:r>
          </w:p>
        </w:tc>
        <w:tc>
          <w:tcPr>
            <w:tcW w:w="522" w:type="pct"/>
          </w:tcPr>
          <w:p w14:paraId="5AF28582" w14:textId="77777777" w:rsidR="00860F8E" w:rsidRPr="00E6285C" w:rsidRDefault="00860F8E" w:rsidP="005D646B">
            <w:pPr>
              <w:pStyle w:val="TableText"/>
              <w:rPr>
                <w:color w:val="000000"/>
              </w:rPr>
            </w:pPr>
            <w:r w:rsidRPr="00E6285C">
              <w:rPr>
                <w:color w:val="000000"/>
              </w:rPr>
              <w:t>3</w:t>
            </w:r>
          </w:p>
        </w:tc>
        <w:tc>
          <w:tcPr>
            <w:tcW w:w="777" w:type="pct"/>
          </w:tcPr>
          <w:p w14:paraId="24F8C0F8" w14:textId="77777777" w:rsidR="00860F8E" w:rsidRPr="00053FD1" w:rsidRDefault="00860F8E" w:rsidP="005D646B">
            <w:pPr>
              <w:pStyle w:val="TableText"/>
            </w:pPr>
            <w:r w:rsidRPr="00053FD1">
              <w:t>5</w:t>
            </w:r>
          </w:p>
        </w:tc>
      </w:tr>
      <w:tr w:rsidR="00860F8E" w:rsidRPr="00E6285C" w14:paraId="6FB8CE89" w14:textId="77777777" w:rsidTr="008E2A9C">
        <w:tc>
          <w:tcPr>
            <w:tcW w:w="1875" w:type="pct"/>
          </w:tcPr>
          <w:p w14:paraId="5016FBF8" w14:textId="77777777" w:rsidR="00860F8E" w:rsidRPr="00E6285C" w:rsidRDefault="00860F8E" w:rsidP="005D646B">
            <w:pPr>
              <w:pStyle w:val="TableText"/>
            </w:pPr>
            <w:r w:rsidRPr="00E6285C">
              <w:t xml:space="preserve">Lighter than air </w:t>
            </w:r>
          </w:p>
        </w:tc>
        <w:tc>
          <w:tcPr>
            <w:tcW w:w="624" w:type="pct"/>
          </w:tcPr>
          <w:p w14:paraId="1CCD3ABA" w14:textId="77777777" w:rsidR="00860F8E" w:rsidRPr="00E6285C" w:rsidRDefault="00860F8E" w:rsidP="005D646B">
            <w:pPr>
              <w:pStyle w:val="TableText"/>
            </w:pPr>
            <w:r w:rsidRPr="00E6285C">
              <w:rPr>
                <w:color w:val="000000"/>
              </w:rPr>
              <w:t>1</w:t>
            </w:r>
          </w:p>
        </w:tc>
        <w:tc>
          <w:tcPr>
            <w:tcW w:w="600" w:type="pct"/>
          </w:tcPr>
          <w:p w14:paraId="0852BF0D" w14:textId="77777777" w:rsidR="00860F8E" w:rsidRPr="00E6285C" w:rsidRDefault="00860F8E" w:rsidP="005D646B">
            <w:pPr>
              <w:pStyle w:val="TableText"/>
              <w:rPr>
                <w:color w:val="000000"/>
              </w:rPr>
            </w:pPr>
            <w:r w:rsidRPr="00E6285C">
              <w:rPr>
                <w:color w:val="000000"/>
              </w:rPr>
              <w:t>0</w:t>
            </w:r>
          </w:p>
        </w:tc>
        <w:tc>
          <w:tcPr>
            <w:tcW w:w="602" w:type="pct"/>
          </w:tcPr>
          <w:p w14:paraId="69780227" w14:textId="77777777" w:rsidR="00860F8E" w:rsidRPr="00E6285C" w:rsidRDefault="00860F8E" w:rsidP="005D646B">
            <w:pPr>
              <w:pStyle w:val="TableText"/>
              <w:rPr>
                <w:color w:val="000000"/>
              </w:rPr>
            </w:pPr>
            <w:r w:rsidRPr="00E6285C">
              <w:rPr>
                <w:color w:val="000000"/>
              </w:rPr>
              <w:t>1</w:t>
            </w:r>
          </w:p>
        </w:tc>
        <w:tc>
          <w:tcPr>
            <w:tcW w:w="522" w:type="pct"/>
          </w:tcPr>
          <w:p w14:paraId="3BF7875B" w14:textId="77777777" w:rsidR="00860F8E" w:rsidRPr="00E6285C" w:rsidRDefault="00860F8E" w:rsidP="005D646B">
            <w:pPr>
              <w:pStyle w:val="TableText"/>
              <w:rPr>
                <w:color w:val="000000"/>
              </w:rPr>
            </w:pPr>
            <w:r w:rsidRPr="00E6285C">
              <w:rPr>
                <w:color w:val="000000"/>
              </w:rPr>
              <w:t>1</w:t>
            </w:r>
          </w:p>
        </w:tc>
        <w:tc>
          <w:tcPr>
            <w:tcW w:w="777" w:type="pct"/>
          </w:tcPr>
          <w:p w14:paraId="22108B32" w14:textId="77777777" w:rsidR="00860F8E" w:rsidRPr="00053FD1" w:rsidRDefault="00860F8E" w:rsidP="005D646B">
            <w:pPr>
              <w:pStyle w:val="TableText"/>
            </w:pPr>
            <w:r w:rsidRPr="00053FD1">
              <w:t>2</w:t>
            </w:r>
          </w:p>
        </w:tc>
      </w:tr>
      <w:tr w:rsidR="00860F8E" w:rsidRPr="00E6285C" w14:paraId="5E6E0E28" w14:textId="77777777" w:rsidTr="008E2A9C">
        <w:tc>
          <w:tcPr>
            <w:tcW w:w="1875" w:type="pct"/>
          </w:tcPr>
          <w:p w14:paraId="1FD841A7" w14:textId="77777777" w:rsidR="00860F8E" w:rsidRPr="00E6285C" w:rsidRDefault="00860F8E" w:rsidP="005D646B">
            <w:pPr>
              <w:pStyle w:val="TableText"/>
            </w:pPr>
            <w:r w:rsidRPr="00E6285C">
              <w:t xml:space="preserve">Rotorcraft </w:t>
            </w:r>
          </w:p>
        </w:tc>
        <w:tc>
          <w:tcPr>
            <w:tcW w:w="624" w:type="pct"/>
          </w:tcPr>
          <w:p w14:paraId="465B5C17" w14:textId="77777777" w:rsidR="00860F8E" w:rsidRPr="00E6285C" w:rsidRDefault="00860F8E" w:rsidP="005D646B">
            <w:pPr>
              <w:pStyle w:val="TableText"/>
            </w:pPr>
            <w:r w:rsidRPr="00E6285C">
              <w:rPr>
                <w:color w:val="000000"/>
              </w:rPr>
              <w:t>1</w:t>
            </w:r>
          </w:p>
        </w:tc>
        <w:tc>
          <w:tcPr>
            <w:tcW w:w="600" w:type="pct"/>
          </w:tcPr>
          <w:p w14:paraId="39E8AF94" w14:textId="77777777" w:rsidR="00860F8E" w:rsidRPr="00E6285C" w:rsidRDefault="00860F8E" w:rsidP="005D646B">
            <w:pPr>
              <w:pStyle w:val="TableText"/>
              <w:rPr>
                <w:color w:val="000000"/>
              </w:rPr>
            </w:pPr>
            <w:r w:rsidRPr="00E6285C">
              <w:rPr>
                <w:color w:val="000000"/>
              </w:rPr>
              <w:t>0</w:t>
            </w:r>
          </w:p>
        </w:tc>
        <w:tc>
          <w:tcPr>
            <w:tcW w:w="602" w:type="pct"/>
          </w:tcPr>
          <w:p w14:paraId="2EA496B6" w14:textId="77777777" w:rsidR="00860F8E" w:rsidRPr="00E6285C" w:rsidRDefault="00860F8E" w:rsidP="005D646B">
            <w:pPr>
              <w:pStyle w:val="TableText"/>
              <w:rPr>
                <w:color w:val="000000"/>
              </w:rPr>
            </w:pPr>
            <w:r w:rsidRPr="00E6285C">
              <w:rPr>
                <w:color w:val="000000"/>
              </w:rPr>
              <w:t>0</w:t>
            </w:r>
          </w:p>
        </w:tc>
        <w:tc>
          <w:tcPr>
            <w:tcW w:w="522" w:type="pct"/>
          </w:tcPr>
          <w:p w14:paraId="7B3684B4" w14:textId="77777777" w:rsidR="00860F8E" w:rsidRPr="00E6285C" w:rsidRDefault="00860F8E" w:rsidP="005D646B">
            <w:pPr>
              <w:pStyle w:val="TableText"/>
              <w:rPr>
                <w:color w:val="000000"/>
              </w:rPr>
            </w:pPr>
            <w:r w:rsidRPr="00E6285C">
              <w:rPr>
                <w:color w:val="000000"/>
              </w:rPr>
              <w:t>1</w:t>
            </w:r>
          </w:p>
        </w:tc>
        <w:tc>
          <w:tcPr>
            <w:tcW w:w="777" w:type="pct"/>
          </w:tcPr>
          <w:p w14:paraId="758DDD41" w14:textId="77777777" w:rsidR="00860F8E" w:rsidRPr="00053FD1" w:rsidRDefault="00860F8E" w:rsidP="005D646B">
            <w:pPr>
              <w:pStyle w:val="TableText"/>
            </w:pPr>
            <w:r w:rsidRPr="00053FD1">
              <w:t>0</w:t>
            </w:r>
          </w:p>
        </w:tc>
      </w:tr>
      <w:tr w:rsidR="00860F8E" w:rsidRPr="00E6285C" w14:paraId="25A62E2C" w14:textId="77777777" w:rsidTr="008E2A9C">
        <w:tc>
          <w:tcPr>
            <w:tcW w:w="1875" w:type="pct"/>
          </w:tcPr>
          <w:p w14:paraId="3F220500" w14:textId="77777777" w:rsidR="00860F8E" w:rsidRPr="00E6285C" w:rsidRDefault="00860F8E" w:rsidP="005D646B">
            <w:pPr>
              <w:pStyle w:val="TableText"/>
            </w:pPr>
            <w:r w:rsidRPr="00E6285C">
              <w:t xml:space="preserve">Engine </w:t>
            </w:r>
          </w:p>
        </w:tc>
        <w:tc>
          <w:tcPr>
            <w:tcW w:w="624" w:type="pct"/>
          </w:tcPr>
          <w:p w14:paraId="17269D21" w14:textId="77777777" w:rsidR="00860F8E" w:rsidRPr="00E6285C" w:rsidRDefault="00860F8E" w:rsidP="005D646B">
            <w:pPr>
              <w:pStyle w:val="TableText"/>
            </w:pPr>
            <w:r w:rsidRPr="00E6285C">
              <w:rPr>
                <w:color w:val="000000"/>
              </w:rPr>
              <w:t>0</w:t>
            </w:r>
          </w:p>
        </w:tc>
        <w:tc>
          <w:tcPr>
            <w:tcW w:w="600" w:type="pct"/>
          </w:tcPr>
          <w:p w14:paraId="3F66C372" w14:textId="77777777" w:rsidR="00860F8E" w:rsidRPr="00E6285C" w:rsidRDefault="00860F8E" w:rsidP="005D646B">
            <w:pPr>
              <w:pStyle w:val="TableText"/>
              <w:rPr>
                <w:color w:val="000000"/>
              </w:rPr>
            </w:pPr>
            <w:r w:rsidRPr="00E6285C">
              <w:rPr>
                <w:color w:val="000000"/>
              </w:rPr>
              <w:t>0</w:t>
            </w:r>
          </w:p>
        </w:tc>
        <w:tc>
          <w:tcPr>
            <w:tcW w:w="602" w:type="pct"/>
          </w:tcPr>
          <w:p w14:paraId="6464B8B0" w14:textId="77777777" w:rsidR="00860F8E" w:rsidRPr="00E6285C" w:rsidRDefault="00860F8E" w:rsidP="005D646B">
            <w:pPr>
              <w:pStyle w:val="TableText"/>
              <w:rPr>
                <w:color w:val="000000"/>
              </w:rPr>
            </w:pPr>
            <w:r w:rsidRPr="00E6285C">
              <w:rPr>
                <w:color w:val="000000"/>
              </w:rPr>
              <w:t>0</w:t>
            </w:r>
          </w:p>
        </w:tc>
        <w:tc>
          <w:tcPr>
            <w:tcW w:w="522" w:type="pct"/>
          </w:tcPr>
          <w:p w14:paraId="070E34B2" w14:textId="77777777" w:rsidR="00860F8E" w:rsidRPr="00E6285C" w:rsidRDefault="00860F8E" w:rsidP="005D646B">
            <w:pPr>
              <w:pStyle w:val="TableText"/>
              <w:rPr>
                <w:color w:val="000000"/>
              </w:rPr>
            </w:pPr>
            <w:r w:rsidRPr="00E6285C">
              <w:rPr>
                <w:color w:val="000000"/>
              </w:rPr>
              <w:t>0</w:t>
            </w:r>
          </w:p>
        </w:tc>
        <w:tc>
          <w:tcPr>
            <w:tcW w:w="777" w:type="pct"/>
          </w:tcPr>
          <w:p w14:paraId="470854B3" w14:textId="77777777" w:rsidR="00860F8E" w:rsidRPr="00053FD1" w:rsidRDefault="00860F8E" w:rsidP="005D646B">
            <w:pPr>
              <w:pStyle w:val="TableText"/>
            </w:pPr>
            <w:r w:rsidRPr="00053FD1">
              <w:t>0</w:t>
            </w:r>
          </w:p>
        </w:tc>
      </w:tr>
      <w:tr w:rsidR="00860F8E" w:rsidRPr="00E6285C" w14:paraId="2F1337C1" w14:textId="77777777" w:rsidTr="008E2A9C">
        <w:tc>
          <w:tcPr>
            <w:tcW w:w="1875" w:type="pct"/>
          </w:tcPr>
          <w:p w14:paraId="73460AF9" w14:textId="77777777" w:rsidR="00860F8E" w:rsidRPr="00E6285C" w:rsidRDefault="00860F8E" w:rsidP="005D646B">
            <w:pPr>
              <w:pStyle w:val="TableText"/>
            </w:pPr>
            <w:r w:rsidRPr="00E6285C">
              <w:t xml:space="preserve">Propeller </w:t>
            </w:r>
          </w:p>
        </w:tc>
        <w:tc>
          <w:tcPr>
            <w:tcW w:w="624" w:type="pct"/>
          </w:tcPr>
          <w:p w14:paraId="611FED1D" w14:textId="77777777" w:rsidR="00860F8E" w:rsidRPr="00E6285C" w:rsidRDefault="00860F8E" w:rsidP="005D646B">
            <w:pPr>
              <w:pStyle w:val="TableText"/>
            </w:pPr>
            <w:r w:rsidRPr="00E6285C">
              <w:rPr>
                <w:color w:val="000000"/>
              </w:rPr>
              <w:t>2</w:t>
            </w:r>
          </w:p>
        </w:tc>
        <w:tc>
          <w:tcPr>
            <w:tcW w:w="600" w:type="pct"/>
          </w:tcPr>
          <w:p w14:paraId="20D858B7" w14:textId="77777777" w:rsidR="00860F8E" w:rsidRPr="00E6285C" w:rsidRDefault="00860F8E" w:rsidP="005D646B">
            <w:pPr>
              <w:pStyle w:val="TableText"/>
              <w:rPr>
                <w:color w:val="000000"/>
              </w:rPr>
            </w:pPr>
            <w:r w:rsidRPr="00E6285C">
              <w:rPr>
                <w:color w:val="000000"/>
              </w:rPr>
              <w:t>0</w:t>
            </w:r>
          </w:p>
        </w:tc>
        <w:tc>
          <w:tcPr>
            <w:tcW w:w="602" w:type="pct"/>
          </w:tcPr>
          <w:p w14:paraId="26D01C87" w14:textId="77777777" w:rsidR="00860F8E" w:rsidRPr="00E6285C" w:rsidRDefault="00860F8E" w:rsidP="005D646B">
            <w:pPr>
              <w:pStyle w:val="TableText"/>
              <w:rPr>
                <w:color w:val="000000"/>
              </w:rPr>
            </w:pPr>
            <w:r w:rsidRPr="00E6285C">
              <w:rPr>
                <w:color w:val="000000"/>
              </w:rPr>
              <w:t>0</w:t>
            </w:r>
          </w:p>
        </w:tc>
        <w:tc>
          <w:tcPr>
            <w:tcW w:w="522" w:type="pct"/>
          </w:tcPr>
          <w:p w14:paraId="18E33BCA" w14:textId="77777777" w:rsidR="00860F8E" w:rsidRPr="00E6285C" w:rsidRDefault="00860F8E" w:rsidP="005D646B">
            <w:pPr>
              <w:pStyle w:val="TableText"/>
              <w:rPr>
                <w:color w:val="000000"/>
              </w:rPr>
            </w:pPr>
            <w:r w:rsidRPr="00E6285C">
              <w:rPr>
                <w:color w:val="000000"/>
              </w:rPr>
              <w:t>0</w:t>
            </w:r>
          </w:p>
        </w:tc>
        <w:tc>
          <w:tcPr>
            <w:tcW w:w="777" w:type="pct"/>
          </w:tcPr>
          <w:p w14:paraId="60797891" w14:textId="77777777" w:rsidR="00860F8E" w:rsidRPr="00053FD1" w:rsidRDefault="00860F8E" w:rsidP="005D646B">
            <w:pPr>
              <w:pStyle w:val="TableText"/>
            </w:pPr>
            <w:r w:rsidRPr="00053FD1">
              <w:t>0</w:t>
            </w:r>
          </w:p>
        </w:tc>
      </w:tr>
      <w:tr w:rsidR="00860F8E" w:rsidRPr="00E6285C" w14:paraId="026EE2B4" w14:textId="77777777" w:rsidTr="008E2A9C">
        <w:tc>
          <w:tcPr>
            <w:tcW w:w="1875" w:type="pct"/>
          </w:tcPr>
          <w:p w14:paraId="0F4EC23B" w14:textId="77777777" w:rsidR="00860F8E" w:rsidRPr="00E6285C" w:rsidRDefault="00860F8E" w:rsidP="005D646B">
            <w:pPr>
              <w:pStyle w:val="TableText"/>
            </w:pPr>
            <w:r w:rsidRPr="00E6285C">
              <w:t xml:space="preserve">Total </w:t>
            </w:r>
          </w:p>
        </w:tc>
        <w:tc>
          <w:tcPr>
            <w:tcW w:w="624" w:type="pct"/>
          </w:tcPr>
          <w:p w14:paraId="5B7E001D" w14:textId="77777777" w:rsidR="00860F8E" w:rsidRPr="00E6285C" w:rsidRDefault="00860F8E" w:rsidP="005D646B">
            <w:pPr>
              <w:pStyle w:val="TableText"/>
            </w:pPr>
            <w:r w:rsidRPr="00E6285C">
              <w:rPr>
                <w:color w:val="000000"/>
              </w:rPr>
              <w:t>6</w:t>
            </w:r>
          </w:p>
        </w:tc>
        <w:tc>
          <w:tcPr>
            <w:tcW w:w="600" w:type="pct"/>
          </w:tcPr>
          <w:p w14:paraId="0BD73899" w14:textId="77777777" w:rsidR="00860F8E" w:rsidRPr="00E6285C" w:rsidRDefault="00860F8E" w:rsidP="005D646B">
            <w:pPr>
              <w:pStyle w:val="TableText"/>
              <w:rPr>
                <w:color w:val="000000"/>
              </w:rPr>
            </w:pPr>
            <w:r w:rsidRPr="00E6285C">
              <w:rPr>
                <w:color w:val="000000"/>
              </w:rPr>
              <w:t>0</w:t>
            </w:r>
          </w:p>
        </w:tc>
        <w:tc>
          <w:tcPr>
            <w:tcW w:w="602" w:type="pct"/>
          </w:tcPr>
          <w:p w14:paraId="5AA2F3D0" w14:textId="77777777" w:rsidR="00860F8E" w:rsidRPr="00E6285C" w:rsidRDefault="00860F8E" w:rsidP="005D646B">
            <w:pPr>
              <w:pStyle w:val="TableText"/>
              <w:rPr>
                <w:color w:val="000000"/>
              </w:rPr>
            </w:pPr>
            <w:r w:rsidRPr="00E6285C">
              <w:rPr>
                <w:color w:val="000000"/>
              </w:rPr>
              <w:t>5</w:t>
            </w:r>
          </w:p>
        </w:tc>
        <w:tc>
          <w:tcPr>
            <w:tcW w:w="522" w:type="pct"/>
          </w:tcPr>
          <w:p w14:paraId="38704F2D" w14:textId="77777777" w:rsidR="00860F8E" w:rsidRPr="00E6285C" w:rsidRDefault="00860F8E" w:rsidP="005D646B">
            <w:pPr>
              <w:pStyle w:val="TableText"/>
              <w:rPr>
                <w:color w:val="000000"/>
              </w:rPr>
            </w:pPr>
            <w:r w:rsidRPr="00E6285C">
              <w:rPr>
                <w:color w:val="000000"/>
              </w:rPr>
              <w:t>5</w:t>
            </w:r>
          </w:p>
        </w:tc>
        <w:tc>
          <w:tcPr>
            <w:tcW w:w="777" w:type="pct"/>
          </w:tcPr>
          <w:p w14:paraId="479A384E" w14:textId="77777777" w:rsidR="00860F8E" w:rsidRPr="00053FD1" w:rsidRDefault="00860F8E" w:rsidP="005D646B">
            <w:pPr>
              <w:pStyle w:val="TableText"/>
            </w:pPr>
            <w:r w:rsidRPr="00053FD1">
              <w:t>7</w:t>
            </w:r>
          </w:p>
        </w:tc>
      </w:tr>
      <w:tr w:rsidR="00860F8E" w:rsidRPr="00E6285C" w14:paraId="405F4071" w14:textId="77777777" w:rsidTr="008E2A9C">
        <w:tc>
          <w:tcPr>
            <w:tcW w:w="5000" w:type="pct"/>
            <w:gridSpan w:val="6"/>
            <w:shd w:val="clear" w:color="auto" w:fill="E6E6E6"/>
          </w:tcPr>
          <w:p w14:paraId="72FBC91D" w14:textId="77777777" w:rsidR="00860F8E" w:rsidRPr="005D646B" w:rsidRDefault="00860F8E" w:rsidP="005D646B">
            <w:pPr>
              <w:pStyle w:val="TableText"/>
              <w:rPr>
                <w:b/>
              </w:rPr>
            </w:pPr>
            <w:r w:rsidRPr="005D646B">
              <w:rPr>
                <w:b/>
              </w:rPr>
              <w:t>Type acceptance certif</w:t>
            </w:r>
            <w:r w:rsidRPr="005D646B">
              <w:rPr>
                <w:b/>
                <w:shd w:val="clear" w:color="auto" w:fill="E6E6E6"/>
              </w:rPr>
              <w:t>i</w:t>
            </w:r>
            <w:r w:rsidRPr="005D646B">
              <w:rPr>
                <w:b/>
              </w:rPr>
              <w:t>cate (includes amendments)</w:t>
            </w:r>
            <w:r w:rsidRPr="005D646B">
              <w:rPr>
                <w:b/>
                <w:vertAlign w:val="superscript"/>
              </w:rPr>
              <w:t>a</w:t>
            </w:r>
          </w:p>
        </w:tc>
      </w:tr>
      <w:tr w:rsidR="00860F8E" w:rsidRPr="00E6285C" w14:paraId="268293C1" w14:textId="77777777" w:rsidTr="008E2A9C">
        <w:tc>
          <w:tcPr>
            <w:tcW w:w="1875" w:type="pct"/>
          </w:tcPr>
          <w:p w14:paraId="213816FB" w14:textId="77777777" w:rsidR="00860F8E" w:rsidRPr="00E6285C" w:rsidRDefault="00860F8E" w:rsidP="005D646B">
            <w:pPr>
              <w:pStyle w:val="TableText"/>
            </w:pPr>
            <w:r w:rsidRPr="00E6285C">
              <w:t xml:space="preserve">Aeroplanes </w:t>
            </w:r>
          </w:p>
        </w:tc>
        <w:tc>
          <w:tcPr>
            <w:tcW w:w="624" w:type="pct"/>
          </w:tcPr>
          <w:p w14:paraId="7FD64C2F" w14:textId="77777777" w:rsidR="00860F8E" w:rsidRPr="00E6285C" w:rsidRDefault="00860F8E" w:rsidP="005D646B">
            <w:pPr>
              <w:pStyle w:val="TableText"/>
            </w:pPr>
            <w:r w:rsidRPr="00E6285C">
              <w:rPr>
                <w:color w:val="000000"/>
              </w:rPr>
              <w:t>15</w:t>
            </w:r>
          </w:p>
        </w:tc>
        <w:tc>
          <w:tcPr>
            <w:tcW w:w="600" w:type="pct"/>
          </w:tcPr>
          <w:p w14:paraId="5B359F55" w14:textId="77777777" w:rsidR="00860F8E" w:rsidRPr="00E6285C" w:rsidRDefault="00860F8E" w:rsidP="005D646B">
            <w:pPr>
              <w:pStyle w:val="TableText"/>
              <w:rPr>
                <w:color w:val="000000"/>
              </w:rPr>
            </w:pPr>
            <w:r w:rsidRPr="00E6285C">
              <w:rPr>
                <w:color w:val="000000"/>
              </w:rPr>
              <w:t>15</w:t>
            </w:r>
          </w:p>
        </w:tc>
        <w:tc>
          <w:tcPr>
            <w:tcW w:w="602" w:type="pct"/>
          </w:tcPr>
          <w:p w14:paraId="332E6E40" w14:textId="77777777" w:rsidR="00860F8E" w:rsidRPr="00E6285C" w:rsidRDefault="00860F8E" w:rsidP="005D646B">
            <w:pPr>
              <w:pStyle w:val="TableText"/>
              <w:rPr>
                <w:color w:val="000000"/>
              </w:rPr>
            </w:pPr>
            <w:r w:rsidRPr="00E6285C">
              <w:rPr>
                <w:color w:val="000000"/>
              </w:rPr>
              <w:t>12</w:t>
            </w:r>
          </w:p>
        </w:tc>
        <w:tc>
          <w:tcPr>
            <w:tcW w:w="522" w:type="pct"/>
          </w:tcPr>
          <w:p w14:paraId="17485615" w14:textId="77777777" w:rsidR="00860F8E" w:rsidRPr="00E6285C" w:rsidRDefault="00860F8E" w:rsidP="005D646B">
            <w:pPr>
              <w:pStyle w:val="TableText"/>
              <w:rPr>
                <w:color w:val="000000"/>
              </w:rPr>
            </w:pPr>
            <w:r w:rsidRPr="00E6285C">
              <w:rPr>
                <w:color w:val="000000"/>
              </w:rPr>
              <w:t>33</w:t>
            </w:r>
          </w:p>
        </w:tc>
        <w:tc>
          <w:tcPr>
            <w:tcW w:w="777" w:type="pct"/>
          </w:tcPr>
          <w:p w14:paraId="4D1B2C62" w14:textId="77777777" w:rsidR="00860F8E" w:rsidRPr="00053FD1" w:rsidRDefault="00860F8E" w:rsidP="005D646B">
            <w:pPr>
              <w:pStyle w:val="TableText"/>
            </w:pPr>
            <w:r w:rsidRPr="00053FD1">
              <w:t>13</w:t>
            </w:r>
          </w:p>
        </w:tc>
      </w:tr>
      <w:tr w:rsidR="00860F8E" w:rsidRPr="00E6285C" w14:paraId="1F515331" w14:textId="77777777" w:rsidTr="008E2A9C">
        <w:tc>
          <w:tcPr>
            <w:tcW w:w="1875" w:type="pct"/>
          </w:tcPr>
          <w:p w14:paraId="7A6B1905" w14:textId="77777777" w:rsidR="00860F8E" w:rsidRPr="00E6285C" w:rsidRDefault="00860F8E" w:rsidP="005D646B">
            <w:pPr>
              <w:pStyle w:val="TableText"/>
            </w:pPr>
            <w:r w:rsidRPr="00E6285C">
              <w:t xml:space="preserve">Lighter than air </w:t>
            </w:r>
          </w:p>
        </w:tc>
        <w:tc>
          <w:tcPr>
            <w:tcW w:w="624" w:type="pct"/>
          </w:tcPr>
          <w:p w14:paraId="79ABC0B6" w14:textId="77777777" w:rsidR="00860F8E" w:rsidRPr="00E6285C" w:rsidRDefault="00860F8E" w:rsidP="005D646B">
            <w:pPr>
              <w:pStyle w:val="TableText"/>
            </w:pPr>
            <w:r w:rsidRPr="00E6285C">
              <w:rPr>
                <w:color w:val="000000"/>
              </w:rPr>
              <w:t>0</w:t>
            </w:r>
          </w:p>
        </w:tc>
        <w:tc>
          <w:tcPr>
            <w:tcW w:w="600" w:type="pct"/>
          </w:tcPr>
          <w:p w14:paraId="4D0CF589" w14:textId="77777777" w:rsidR="00860F8E" w:rsidRPr="00E6285C" w:rsidRDefault="00860F8E" w:rsidP="005D646B">
            <w:pPr>
              <w:pStyle w:val="TableText"/>
              <w:rPr>
                <w:color w:val="000000"/>
              </w:rPr>
            </w:pPr>
            <w:r w:rsidRPr="00E6285C">
              <w:rPr>
                <w:color w:val="000000"/>
              </w:rPr>
              <w:t>2</w:t>
            </w:r>
          </w:p>
        </w:tc>
        <w:tc>
          <w:tcPr>
            <w:tcW w:w="602" w:type="pct"/>
          </w:tcPr>
          <w:p w14:paraId="05346682" w14:textId="77777777" w:rsidR="00860F8E" w:rsidRPr="00E6285C" w:rsidRDefault="00860F8E" w:rsidP="005D646B">
            <w:pPr>
              <w:pStyle w:val="TableText"/>
              <w:rPr>
                <w:color w:val="000000"/>
              </w:rPr>
            </w:pPr>
            <w:r w:rsidRPr="00E6285C">
              <w:rPr>
                <w:color w:val="000000"/>
              </w:rPr>
              <w:t>0</w:t>
            </w:r>
          </w:p>
        </w:tc>
        <w:tc>
          <w:tcPr>
            <w:tcW w:w="522" w:type="pct"/>
          </w:tcPr>
          <w:p w14:paraId="464D459E" w14:textId="77777777" w:rsidR="00860F8E" w:rsidRPr="00E6285C" w:rsidRDefault="00860F8E" w:rsidP="005D646B">
            <w:pPr>
              <w:pStyle w:val="TableText"/>
              <w:rPr>
                <w:color w:val="000000"/>
              </w:rPr>
            </w:pPr>
            <w:r w:rsidRPr="00E6285C">
              <w:rPr>
                <w:color w:val="000000"/>
              </w:rPr>
              <w:t>1</w:t>
            </w:r>
          </w:p>
        </w:tc>
        <w:tc>
          <w:tcPr>
            <w:tcW w:w="777" w:type="pct"/>
          </w:tcPr>
          <w:p w14:paraId="1D74A7AD" w14:textId="77777777" w:rsidR="00860F8E" w:rsidRPr="00053FD1" w:rsidRDefault="00860F8E" w:rsidP="005D646B">
            <w:pPr>
              <w:pStyle w:val="TableText"/>
            </w:pPr>
            <w:r w:rsidRPr="00053FD1">
              <w:t>2</w:t>
            </w:r>
          </w:p>
        </w:tc>
      </w:tr>
      <w:tr w:rsidR="00860F8E" w:rsidRPr="00E6285C" w14:paraId="43143558" w14:textId="77777777" w:rsidTr="008E2A9C">
        <w:tc>
          <w:tcPr>
            <w:tcW w:w="1875" w:type="pct"/>
          </w:tcPr>
          <w:p w14:paraId="0DF15340" w14:textId="77777777" w:rsidR="00860F8E" w:rsidRPr="00E6285C" w:rsidRDefault="00860F8E" w:rsidP="005D646B">
            <w:pPr>
              <w:pStyle w:val="TableText"/>
            </w:pPr>
            <w:r w:rsidRPr="00E6285C">
              <w:t xml:space="preserve">Rotorcraft </w:t>
            </w:r>
          </w:p>
        </w:tc>
        <w:tc>
          <w:tcPr>
            <w:tcW w:w="624" w:type="pct"/>
          </w:tcPr>
          <w:p w14:paraId="7E13668F" w14:textId="77777777" w:rsidR="00860F8E" w:rsidRPr="00E6285C" w:rsidRDefault="00860F8E" w:rsidP="005D646B">
            <w:pPr>
              <w:pStyle w:val="TableText"/>
            </w:pPr>
            <w:r w:rsidRPr="00E6285C">
              <w:rPr>
                <w:color w:val="000000"/>
              </w:rPr>
              <w:t>4</w:t>
            </w:r>
          </w:p>
        </w:tc>
        <w:tc>
          <w:tcPr>
            <w:tcW w:w="600" w:type="pct"/>
          </w:tcPr>
          <w:p w14:paraId="49527183" w14:textId="77777777" w:rsidR="00860F8E" w:rsidRPr="00E6285C" w:rsidRDefault="00860F8E" w:rsidP="005D646B">
            <w:pPr>
              <w:pStyle w:val="TableText"/>
              <w:rPr>
                <w:color w:val="000000"/>
              </w:rPr>
            </w:pPr>
            <w:r w:rsidRPr="00E6285C">
              <w:rPr>
                <w:color w:val="000000"/>
              </w:rPr>
              <w:t>17</w:t>
            </w:r>
          </w:p>
        </w:tc>
        <w:tc>
          <w:tcPr>
            <w:tcW w:w="602" w:type="pct"/>
          </w:tcPr>
          <w:p w14:paraId="7AD98847" w14:textId="77777777" w:rsidR="00860F8E" w:rsidRPr="00E6285C" w:rsidRDefault="00860F8E" w:rsidP="005D646B">
            <w:pPr>
              <w:pStyle w:val="TableText"/>
              <w:rPr>
                <w:color w:val="000000"/>
              </w:rPr>
            </w:pPr>
            <w:r w:rsidRPr="00E6285C">
              <w:rPr>
                <w:color w:val="000000"/>
              </w:rPr>
              <w:t>7</w:t>
            </w:r>
          </w:p>
        </w:tc>
        <w:tc>
          <w:tcPr>
            <w:tcW w:w="522" w:type="pct"/>
          </w:tcPr>
          <w:p w14:paraId="064DF5E5" w14:textId="77777777" w:rsidR="00860F8E" w:rsidRPr="00E6285C" w:rsidRDefault="00860F8E" w:rsidP="005D646B">
            <w:pPr>
              <w:pStyle w:val="TableText"/>
              <w:rPr>
                <w:color w:val="000000"/>
              </w:rPr>
            </w:pPr>
            <w:r w:rsidRPr="00E6285C">
              <w:rPr>
                <w:color w:val="000000"/>
              </w:rPr>
              <w:t>7</w:t>
            </w:r>
          </w:p>
        </w:tc>
        <w:tc>
          <w:tcPr>
            <w:tcW w:w="777" w:type="pct"/>
          </w:tcPr>
          <w:p w14:paraId="77DF0D75" w14:textId="77777777" w:rsidR="00860F8E" w:rsidRPr="00053FD1" w:rsidRDefault="00860F8E" w:rsidP="005D646B">
            <w:pPr>
              <w:pStyle w:val="TableText"/>
            </w:pPr>
            <w:r w:rsidRPr="00053FD1">
              <w:t>3</w:t>
            </w:r>
          </w:p>
        </w:tc>
      </w:tr>
      <w:tr w:rsidR="00860F8E" w:rsidRPr="00E6285C" w14:paraId="17FD7732" w14:textId="77777777" w:rsidTr="008E2A9C">
        <w:tc>
          <w:tcPr>
            <w:tcW w:w="1875" w:type="pct"/>
          </w:tcPr>
          <w:p w14:paraId="794F43E9" w14:textId="77777777" w:rsidR="00860F8E" w:rsidRPr="00E6285C" w:rsidRDefault="00860F8E" w:rsidP="005D646B">
            <w:pPr>
              <w:pStyle w:val="TableText"/>
            </w:pPr>
            <w:r w:rsidRPr="00E6285C">
              <w:t xml:space="preserve">Total </w:t>
            </w:r>
          </w:p>
        </w:tc>
        <w:tc>
          <w:tcPr>
            <w:tcW w:w="624" w:type="pct"/>
          </w:tcPr>
          <w:p w14:paraId="70ED44C4" w14:textId="77777777" w:rsidR="00860F8E" w:rsidRPr="00E6285C" w:rsidRDefault="00860F8E" w:rsidP="005D646B">
            <w:pPr>
              <w:pStyle w:val="TableText"/>
            </w:pPr>
            <w:r w:rsidRPr="00E6285C">
              <w:rPr>
                <w:color w:val="000000"/>
              </w:rPr>
              <w:t>19</w:t>
            </w:r>
          </w:p>
        </w:tc>
        <w:tc>
          <w:tcPr>
            <w:tcW w:w="600" w:type="pct"/>
          </w:tcPr>
          <w:p w14:paraId="59740E9C" w14:textId="77777777" w:rsidR="00860F8E" w:rsidRPr="00E6285C" w:rsidRDefault="00860F8E" w:rsidP="005D646B">
            <w:pPr>
              <w:pStyle w:val="TableText"/>
              <w:rPr>
                <w:color w:val="000000"/>
              </w:rPr>
            </w:pPr>
            <w:r w:rsidRPr="00E6285C">
              <w:rPr>
                <w:color w:val="000000"/>
              </w:rPr>
              <w:t>34</w:t>
            </w:r>
          </w:p>
        </w:tc>
        <w:tc>
          <w:tcPr>
            <w:tcW w:w="602" w:type="pct"/>
          </w:tcPr>
          <w:p w14:paraId="546156CE" w14:textId="77777777" w:rsidR="00860F8E" w:rsidRPr="00E6285C" w:rsidRDefault="00860F8E" w:rsidP="005D646B">
            <w:pPr>
              <w:pStyle w:val="TableText"/>
              <w:rPr>
                <w:color w:val="000000"/>
              </w:rPr>
            </w:pPr>
            <w:r w:rsidRPr="00E6285C">
              <w:rPr>
                <w:color w:val="000000"/>
              </w:rPr>
              <w:t>19</w:t>
            </w:r>
          </w:p>
        </w:tc>
        <w:tc>
          <w:tcPr>
            <w:tcW w:w="522" w:type="pct"/>
          </w:tcPr>
          <w:p w14:paraId="354BF866" w14:textId="77777777" w:rsidR="00860F8E" w:rsidRPr="00E6285C" w:rsidRDefault="00860F8E" w:rsidP="005D646B">
            <w:pPr>
              <w:pStyle w:val="TableText"/>
              <w:rPr>
                <w:color w:val="000000"/>
              </w:rPr>
            </w:pPr>
            <w:r w:rsidRPr="00E6285C">
              <w:rPr>
                <w:color w:val="000000"/>
              </w:rPr>
              <w:t>41</w:t>
            </w:r>
          </w:p>
        </w:tc>
        <w:tc>
          <w:tcPr>
            <w:tcW w:w="777" w:type="pct"/>
          </w:tcPr>
          <w:p w14:paraId="3E85398C" w14:textId="77777777" w:rsidR="00860F8E" w:rsidRPr="00053FD1" w:rsidRDefault="00860F8E" w:rsidP="005D646B">
            <w:pPr>
              <w:pStyle w:val="TableText"/>
            </w:pPr>
            <w:r w:rsidRPr="00053FD1">
              <w:t>18</w:t>
            </w:r>
          </w:p>
        </w:tc>
      </w:tr>
      <w:tr w:rsidR="00860F8E" w:rsidRPr="00E6285C" w14:paraId="302BA66D" w14:textId="77777777" w:rsidTr="008E2A9C">
        <w:tc>
          <w:tcPr>
            <w:tcW w:w="5000" w:type="pct"/>
            <w:gridSpan w:val="6"/>
            <w:shd w:val="clear" w:color="auto" w:fill="E6E6E6"/>
          </w:tcPr>
          <w:p w14:paraId="71D269A4" w14:textId="77777777" w:rsidR="00860F8E" w:rsidRPr="005D646B" w:rsidRDefault="00860F8E" w:rsidP="005D646B">
            <w:pPr>
              <w:pStyle w:val="TableText"/>
              <w:rPr>
                <w:b/>
              </w:rPr>
            </w:pPr>
            <w:r w:rsidRPr="005D646B">
              <w:rPr>
                <w:b/>
              </w:rPr>
              <w:t xml:space="preserve">Other authorisations, certificates and approvals </w:t>
            </w:r>
          </w:p>
        </w:tc>
      </w:tr>
      <w:tr w:rsidR="00860F8E" w:rsidRPr="00E6285C" w14:paraId="57B7EFD5" w14:textId="77777777" w:rsidTr="008E2A9C">
        <w:tc>
          <w:tcPr>
            <w:tcW w:w="1875" w:type="pct"/>
          </w:tcPr>
          <w:p w14:paraId="159C622A" w14:textId="77777777" w:rsidR="00860F8E" w:rsidRPr="00E6285C" w:rsidRDefault="00860F8E" w:rsidP="005D646B">
            <w:pPr>
              <w:pStyle w:val="TableText"/>
            </w:pPr>
            <w:r w:rsidRPr="00E6285C">
              <w:t xml:space="preserve">Supplemental </w:t>
            </w:r>
            <w:r>
              <w:t>t</w:t>
            </w:r>
            <w:r w:rsidRPr="00E6285C">
              <w:t xml:space="preserve">ype </w:t>
            </w:r>
            <w:r>
              <w:t>c</w:t>
            </w:r>
            <w:r w:rsidRPr="00E6285C">
              <w:t>ertificate</w:t>
            </w:r>
            <w:r w:rsidRPr="00E6285C">
              <w:rPr>
                <w:vertAlign w:val="superscript"/>
              </w:rPr>
              <w:t>a</w:t>
            </w:r>
            <w:r w:rsidRPr="00E6285C">
              <w:t xml:space="preserve"> </w:t>
            </w:r>
          </w:p>
        </w:tc>
        <w:tc>
          <w:tcPr>
            <w:tcW w:w="624" w:type="pct"/>
          </w:tcPr>
          <w:p w14:paraId="2B6EB26F" w14:textId="77777777" w:rsidR="00860F8E" w:rsidRPr="00E6285C" w:rsidDel="00242123" w:rsidRDefault="00860F8E" w:rsidP="005D646B">
            <w:pPr>
              <w:pStyle w:val="TableText"/>
            </w:pPr>
            <w:r w:rsidRPr="00E6285C">
              <w:rPr>
                <w:color w:val="000000"/>
              </w:rPr>
              <w:t>9</w:t>
            </w:r>
          </w:p>
        </w:tc>
        <w:tc>
          <w:tcPr>
            <w:tcW w:w="600" w:type="pct"/>
          </w:tcPr>
          <w:p w14:paraId="50C0299C" w14:textId="77777777" w:rsidR="00860F8E" w:rsidRPr="00E6285C" w:rsidDel="00242123" w:rsidRDefault="00860F8E" w:rsidP="005D646B">
            <w:pPr>
              <w:pStyle w:val="TableText"/>
              <w:rPr>
                <w:color w:val="000000"/>
              </w:rPr>
            </w:pPr>
            <w:r w:rsidRPr="00E6285C">
              <w:rPr>
                <w:color w:val="000000"/>
              </w:rPr>
              <w:t>24</w:t>
            </w:r>
          </w:p>
        </w:tc>
        <w:tc>
          <w:tcPr>
            <w:tcW w:w="602" w:type="pct"/>
          </w:tcPr>
          <w:p w14:paraId="770924FA" w14:textId="77777777" w:rsidR="00860F8E" w:rsidRPr="00E6285C" w:rsidDel="00242123" w:rsidRDefault="00860F8E" w:rsidP="005D646B">
            <w:pPr>
              <w:pStyle w:val="TableText"/>
              <w:rPr>
                <w:color w:val="000000"/>
              </w:rPr>
            </w:pPr>
            <w:r w:rsidRPr="00E6285C">
              <w:rPr>
                <w:color w:val="000000"/>
              </w:rPr>
              <w:t>24</w:t>
            </w:r>
          </w:p>
        </w:tc>
        <w:tc>
          <w:tcPr>
            <w:tcW w:w="522" w:type="pct"/>
          </w:tcPr>
          <w:p w14:paraId="34DC8CD2" w14:textId="77777777" w:rsidR="00860F8E" w:rsidRPr="00E6285C" w:rsidDel="00242123" w:rsidRDefault="00860F8E" w:rsidP="005D646B">
            <w:pPr>
              <w:pStyle w:val="TableText"/>
              <w:rPr>
                <w:color w:val="000000"/>
              </w:rPr>
            </w:pPr>
            <w:r w:rsidRPr="00E6285C">
              <w:rPr>
                <w:color w:val="000000"/>
              </w:rPr>
              <w:t>13</w:t>
            </w:r>
          </w:p>
        </w:tc>
        <w:tc>
          <w:tcPr>
            <w:tcW w:w="777" w:type="pct"/>
          </w:tcPr>
          <w:p w14:paraId="0C1333D3" w14:textId="77777777" w:rsidR="00860F8E" w:rsidRPr="00053FD1" w:rsidDel="00242123" w:rsidRDefault="00860F8E" w:rsidP="005D646B">
            <w:pPr>
              <w:pStyle w:val="TableText"/>
            </w:pPr>
            <w:r w:rsidRPr="00053FD1">
              <w:t>15</w:t>
            </w:r>
          </w:p>
        </w:tc>
      </w:tr>
      <w:tr w:rsidR="00860F8E" w:rsidRPr="00E6285C" w14:paraId="7913D7CF" w14:textId="77777777" w:rsidTr="008E2A9C">
        <w:tc>
          <w:tcPr>
            <w:tcW w:w="1875" w:type="pct"/>
          </w:tcPr>
          <w:p w14:paraId="46789179" w14:textId="77777777" w:rsidR="00860F8E" w:rsidRPr="00E6285C" w:rsidRDefault="00860F8E" w:rsidP="005D646B">
            <w:pPr>
              <w:pStyle w:val="TableText"/>
            </w:pPr>
            <w:r w:rsidRPr="00E6285C">
              <w:t>Certificate of airworthiness</w:t>
            </w:r>
          </w:p>
        </w:tc>
        <w:tc>
          <w:tcPr>
            <w:tcW w:w="624" w:type="pct"/>
          </w:tcPr>
          <w:p w14:paraId="1A71B9A8" w14:textId="77777777" w:rsidR="00860F8E" w:rsidRPr="00E6285C" w:rsidRDefault="00860F8E" w:rsidP="005D646B">
            <w:pPr>
              <w:pStyle w:val="TableText"/>
            </w:pPr>
            <w:r w:rsidRPr="00E6285C">
              <w:t>512</w:t>
            </w:r>
          </w:p>
        </w:tc>
        <w:tc>
          <w:tcPr>
            <w:tcW w:w="600" w:type="pct"/>
          </w:tcPr>
          <w:p w14:paraId="17EC2EB0" w14:textId="77777777" w:rsidR="00860F8E" w:rsidRPr="00E6285C" w:rsidRDefault="00860F8E" w:rsidP="005D646B">
            <w:pPr>
              <w:pStyle w:val="TableText"/>
            </w:pPr>
            <w:r w:rsidRPr="00E6285C">
              <w:t>443</w:t>
            </w:r>
          </w:p>
        </w:tc>
        <w:tc>
          <w:tcPr>
            <w:tcW w:w="602" w:type="pct"/>
          </w:tcPr>
          <w:p w14:paraId="5AC7C272" w14:textId="77777777" w:rsidR="00860F8E" w:rsidRPr="00E6285C" w:rsidRDefault="00860F8E" w:rsidP="005D646B">
            <w:pPr>
              <w:pStyle w:val="TableText"/>
            </w:pPr>
            <w:r w:rsidRPr="00E6285C">
              <w:t>162</w:t>
            </w:r>
          </w:p>
        </w:tc>
        <w:tc>
          <w:tcPr>
            <w:tcW w:w="522" w:type="pct"/>
          </w:tcPr>
          <w:p w14:paraId="3C7B6535" w14:textId="77777777" w:rsidR="00860F8E" w:rsidRPr="00E6285C" w:rsidRDefault="00860F8E" w:rsidP="005D646B">
            <w:pPr>
              <w:pStyle w:val="TableText"/>
            </w:pPr>
            <w:r w:rsidRPr="00E6285C">
              <w:t>343</w:t>
            </w:r>
          </w:p>
        </w:tc>
        <w:tc>
          <w:tcPr>
            <w:tcW w:w="777" w:type="pct"/>
          </w:tcPr>
          <w:p w14:paraId="64E67B44" w14:textId="77777777" w:rsidR="00860F8E" w:rsidRPr="00053FD1" w:rsidRDefault="00860F8E" w:rsidP="005D646B">
            <w:pPr>
              <w:pStyle w:val="TableText"/>
            </w:pPr>
            <w:r w:rsidRPr="00053FD1">
              <w:t>491</w:t>
            </w:r>
          </w:p>
        </w:tc>
      </w:tr>
      <w:tr w:rsidR="00860F8E" w:rsidRPr="00E6285C" w14:paraId="6CD9B58D" w14:textId="77777777" w:rsidTr="008E2A9C">
        <w:tc>
          <w:tcPr>
            <w:tcW w:w="1875" w:type="pct"/>
          </w:tcPr>
          <w:p w14:paraId="094B26ED" w14:textId="77777777" w:rsidR="00860F8E" w:rsidRPr="00E6285C" w:rsidRDefault="00860F8E" w:rsidP="005D646B">
            <w:pPr>
              <w:pStyle w:val="TableText"/>
            </w:pPr>
            <w:r w:rsidRPr="00E6285C">
              <w:t xml:space="preserve">Special </w:t>
            </w:r>
            <w:r>
              <w:t>f</w:t>
            </w:r>
            <w:r w:rsidRPr="00E6285C">
              <w:t xml:space="preserve">light </w:t>
            </w:r>
            <w:r>
              <w:t>a</w:t>
            </w:r>
            <w:r w:rsidRPr="00E6285C">
              <w:t xml:space="preserve">uthorisation </w:t>
            </w:r>
          </w:p>
        </w:tc>
        <w:tc>
          <w:tcPr>
            <w:tcW w:w="624" w:type="pct"/>
          </w:tcPr>
          <w:p w14:paraId="2320F5FE" w14:textId="77777777" w:rsidR="00860F8E" w:rsidRPr="00E6285C" w:rsidRDefault="00860F8E" w:rsidP="005D646B">
            <w:pPr>
              <w:pStyle w:val="TableText"/>
            </w:pPr>
            <w:r w:rsidRPr="00E6285C">
              <w:t>13</w:t>
            </w:r>
          </w:p>
        </w:tc>
        <w:tc>
          <w:tcPr>
            <w:tcW w:w="600" w:type="pct"/>
          </w:tcPr>
          <w:p w14:paraId="4289C4F9" w14:textId="77777777" w:rsidR="00860F8E" w:rsidRPr="00E6285C" w:rsidRDefault="00860F8E" w:rsidP="005D646B">
            <w:pPr>
              <w:pStyle w:val="TableText"/>
            </w:pPr>
            <w:r w:rsidRPr="00E6285C">
              <w:t>25</w:t>
            </w:r>
          </w:p>
        </w:tc>
        <w:tc>
          <w:tcPr>
            <w:tcW w:w="602" w:type="pct"/>
          </w:tcPr>
          <w:p w14:paraId="3A566B09" w14:textId="77777777" w:rsidR="00860F8E" w:rsidRPr="00E6285C" w:rsidRDefault="00860F8E" w:rsidP="005D646B">
            <w:pPr>
              <w:pStyle w:val="TableText"/>
            </w:pPr>
            <w:r w:rsidRPr="00E6285C">
              <w:t>17</w:t>
            </w:r>
          </w:p>
        </w:tc>
        <w:tc>
          <w:tcPr>
            <w:tcW w:w="522" w:type="pct"/>
          </w:tcPr>
          <w:p w14:paraId="2055054C" w14:textId="77777777" w:rsidR="00860F8E" w:rsidRPr="00E6285C" w:rsidRDefault="00860F8E" w:rsidP="005D646B">
            <w:pPr>
              <w:pStyle w:val="TableText"/>
            </w:pPr>
            <w:r w:rsidRPr="00E6285C">
              <w:t>14</w:t>
            </w:r>
          </w:p>
        </w:tc>
        <w:tc>
          <w:tcPr>
            <w:tcW w:w="777" w:type="pct"/>
          </w:tcPr>
          <w:p w14:paraId="78B903F5" w14:textId="77777777" w:rsidR="00860F8E" w:rsidRPr="00053FD1" w:rsidRDefault="00860F8E" w:rsidP="005D646B">
            <w:pPr>
              <w:pStyle w:val="TableText"/>
            </w:pPr>
            <w:r>
              <w:t>16</w:t>
            </w:r>
          </w:p>
        </w:tc>
      </w:tr>
      <w:tr w:rsidR="00860F8E" w:rsidRPr="00E6285C" w14:paraId="63FBD1A3" w14:textId="77777777" w:rsidTr="008E2A9C">
        <w:tc>
          <w:tcPr>
            <w:tcW w:w="1875" w:type="pct"/>
          </w:tcPr>
          <w:p w14:paraId="7716E39F" w14:textId="77777777" w:rsidR="00860F8E" w:rsidRPr="00E6285C" w:rsidRDefault="00860F8E" w:rsidP="005D646B">
            <w:pPr>
              <w:pStyle w:val="TableText"/>
            </w:pPr>
            <w:r w:rsidRPr="00E6285C">
              <w:t xml:space="preserve">Special </w:t>
            </w:r>
            <w:r>
              <w:t>f</w:t>
            </w:r>
            <w:r w:rsidRPr="00E6285C">
              <w:t xml:space="preserve">light </w:t>
            </w:r>
            <w:r>
              <w:t>p</w:t>
            </w:r>
            <w:r w:rsidRPr="00E6285C">
              <w:t>ermit</w:t>
            </w:r>
            <w:r w:rsidRPr="00E6285C">
              <w:rPr>
                <w:vertAlign w:val="superscript"/>
              </w:rPr>
              <w:t>b</w:t>
            </w:r>
          </w:p>
        </w:tc>
        <w:tc>
          <w:tcPr>
            <w:tcW w:w="624" w:type="pct"/>
          </w:tcPr>
          <w:p w14:paraId="44273F46" w14:textId="77777777" w:rsidR="00860F8E" w:rsidRPr="00E6285C" w:rsidRDefault="00860F8E" w:rsidP="005D646B">
            <w:pPr>
              <w:pStyle w:val="TableText"/>
            </w:pPr>
            <w:r w:rsidRPr="00E6285C">
              <w:t>371</w:t>
            </w:r>
          </w:p>
        </w:tc>
        <w:tc>
          <w:tcPr>
            <w:tcW w:w="600" w:type="pct"/>
          </w:tcPr>
          <w:p w14:paraId="30B34BA7" w14:textId="77777777" w:rsidR="00860F8E" w:rsidRPr="00E6285C" w:rsidRDefault="00860F8E" w:rsidP="005D646B">
            <w:pPr>
              <w:pStyle w:val="TableText"/>
            </w:pPr>
            <w:r w:rsidRPr="00E6285C">
              <w:t>288</w:t>
            </w:r>
          </w:p>
        </w:tc>
        <w:tc>
          <w:tcPr>
            <w:tcW w:w="602" w:type="pct"/>
          </w:tcPr>
          <w:p w14:paraId="696A1CBC" w14:textId="77777777" w:rsidR="00860F8E" w:rsidRPr="00E6285C" w:rsidRDefault="00860F8E" w:rsidP="005D646B">
            <w:pPr>
              <w:pStyle w:val="TableText"/>
            </w:pPr>
            <w:r w:rsidRPr="00E6285C">
              <w:t>314</w:t>
            </w:r>
          </w:p>
        </w:tc>
        <w:tc>
          <w:tcPr>
            <w:tcW w:w="522" w:type="pct"/>
          </w:tcPr>
          <w:p w14:paraId="26DD34AF" w14:textId="77777777" w:rsidR="00860F8E" w:rsidRPr="00E6285C" w:rsidRDefault="00860F8E" w:rsidP="005D646B">
            <w:pPr>
              <w:pStyle w:val="TableText"/>
            </w:pPr>
            <w:r w:rsidRPr="00E6285C">
              <w:t>429</w:t>
            </w:r>
          </w:p>
        </w:tc>
        <w:tc>
          <w:tcPr>
            <w:tcW w:w="777" w:type="pct"/>
          </w:tcPr>
          <w:p w14:paraId="0F3AF5FE" w14:textId="77777777" w:rsidR="00860F8E" w:rsidRPr="00D5488A" w:rsidRDefault="00860F8E" w:rsidP="005D646B">
            <w:pPr>
              <w:pStyle w:val="TableText"/>
            </w:pPr>
            <w:r w:rsidRPr="00D5488A">
              <w:t>443</w:t>
            </w:r>
          </w:p>
        </w:tc>
      </w:tr>
      <w:tr w:rsidR="00860F8E" w:rsidRPr="00E6285C" w14:paraId="4DDC7FBF" w14:textId="77777777" w:rsidTr="008E2A9C">
        <w:tc>
          <w:tcPr>
            <w:tcW w:w="1875" w:type="pct"/>
          </w:tcPr>
          <w:p w14:paraId="4EA6352D" w14:textId="77777777" w:rsidR="00860F8E" w:rsidRPr="00E6285C" w:rsidRDefault="00860F8E" w:rsidP="005D646B">
            <w:pPr>
              <w:pStyle w:val="TableText"/>
            </w:pPr>
            <w:r w:rsidRPr="00E6285C">
              <w:t xml:space="preserve">Experimental </w:t>
            </w:r>
            <w:r>
              <w:t>c</w:t>
            </w:r>
            <w:r w:rsidRPr="00E6285C">
              <w:t>ertificate</w:t>
            </w:r>
            <w:r w:rsidRPr="00E6285C">
              <w:rPr>
                <w:vertAlign w:val="superscript"/>
              </w:rPr>
              <w:t>c</w:t>
            </w:r>
          </w:p>
        </w:tc>
        <w:tc>
          <w:tcPr>
            <w:tcW w:w="624" w:type="pct"/>
          </w:tcPr>
          <w:p w14:paraId="5952ECD1" w14:textId="77777777" w:rsidR="00860F8E" w:rsidRPr="00E6285C" w:rsidRDefault="00860F8E" w:rsidP="005D646B">
            <w:pPr>
              <w:pStyle w:val="TableText"/>
            </w:pPr>
            <w:r w:rsidRPr="00E6285C">
              <w:t>144</w:t>
            </w:r>
            <w:r w:rsidRPr="00E6285C">
              <w:rPr>
                <w:vertAlign w:val="superscript"/>
              </w:rPr>
              <w:t>d</w:t>
            </w:r>
          </w:p>
        </w:tc>
        <w:tc>
          <w:tcPr>
            <w:tcW w:w="600" w:type="pct"/>
          </w:tcPr>
          <w:p w14:paraId="5D53F639" w14:textId="77777777" w:rsidR="00860F8E" w:rsidRPr="00E6285C" w:rsidRDefault="00860F8E" w:rsidP="005D646B">
            <w:pPr>
              <w:pStyle w:val="TableText"/>
            </w:pPr>
            <w:r w:rsidRPr="00E6285C">
              <w:t>157</w:t>
            </w:r>
          </w:p>
        </w:tc>
        <w:tc>
          <w:tcPr>
            <w:tcW w:w="602" w:type="pct"/>
          </w:tcPr>
          <w:p w14:paraId="7919E2E9" w14:textId="77777777" w:rsidR="00860F8E" w:rsidRPr="00E6285C" w:rsidRDefault="00860F8E" w:rsidP="005D646B">
            <w:pPr>
              <w:pStyle w:val="TableText"/>
            </w:pPr>
            <w:r w:rsidRPr="00E6285C">
              <w:t>24</w:t>
            </w:r>
          </w:p>
        </w:tc>
        <w:tc>
          <w:tcPr>
            <w:tcW w:w="522" w:type="pct"/>
          </w:tcPr>
          <w:p w14:paraId="71230EA9" w14:textId="77777777" w:rsidR="00860F8E" w:rsidRPr="00E6285C" w:rsidRDefault="00860F8E" w:rsidP="005D646B">
            <w:pPr>
              <w:pStyle w:val="TableText"/>
            </w:pPr>
            <w:r w:rsidRPr="00E6285C">
              <w:t>133</w:t>
            </w:r>
          </w:p>
        </w:tc>
        <w:tc>
          <w:tcPr>
            <w:tcW w:w="777" w:type="pct"/>
          </w:tcPr>
          <w:p w14:paraId="68F659B6" w14:textId="77777777" w:rsidR="00860F8E" w:rsidRPr="00D5488A" w:rsidRDefault="00860F8E" w:rsidP="005D646B">
            <w:pPr>
              <w:pStyle w:val="TableText"/>
            </w:pPr>
            <w:r w:rsidRPr="00D5488A">
              <w:t>159</w:t>
            </w:r>
          </w:p>
        </w:tc>
      </w:tr>
      <w:tr w:rsidR="00860F8E" w:rsidRPr="00E6285C" w14:paraId="356EA56E" w14:textId="77777777" w:rsidTr="008E2A9C">
        <w:tc>
          <w:tcPr>
            <w:tcW w:w="1875" w:type="pct"/>
          </w:tcPr>
          <w:p w14:paraId="1F1D9A0E" w14:textId="77777777" w:rsidR="00860F8E" w:rsidRPr="00E6285C" w:rsidRDefault="00860F8E" w:rsidP="005D646B">
            <w:pPr>
              <w:pStyle w:val="TableText"/>
            </w:pPr>
            <w:r w:rsidRPr="00E6285C">
              <w:t xml:space="preserve">Simulator </w:t>
            </w:r>
            <w:r>
              <w:t>c</w:t>
            </w:r>
            <w:r w:rsidRPr="00E6285C">
              <w:t>ertification (</w:t>
            </w:r>
            <w:r>
              <w:t>f</w:t>
            </w:r>
            <w:r w:rsidRPr="00E6285C">
              <w:t xml:space="preserve">light </w:t>
            </w:r>
            <w:r>
              <w:t>s</w:t>
            </w:r>
            <w:r w:rsidRPr="00E6285C">
              <w:t xml:space="preserve">imulator </w:t>
            </w:r>
            <w:r>
              <w:t>t</w:t>
            </w:r>
            <w:r w:rsidRPr="00E6285C">
              <w:t xml:space="preserve">raining </w:t>
            </w:r>
            <w:r>
              <w:t>d</w:t>
            </w:r>
            <w:r w:rsidRPr="00E6285C">
              <w:t>evices</w:t>
            </w:r>
            <w:r w:rsidRPr="003C53A8">
              <w:t>)</w:t>
            </w:r>
            <w:r w:rsidRPr="003C53A8">
              <w:rPr>
                <w:sz w:val="16"/>
                <w:szCs w:val="16"/>
              </w:rPr>
              <w:t xml:space="preserve"> </w:t>
            </w:r>
          </w:p>
        </w:tc>
        <w:tc>
          <w:tcPr>
            <w:tcW w:w="624" w:type="pct"/>
          </w:tcPr>
          <w:p w14:paraId="4DABD27E" w14:textId="77777777" w:rsidR="00860F8E" w:rsidRPr="00E6285C" w:rsidRDefault="00860F8E" w:rsidP="005D646B">
            <w:pPr>
              <w:pStyle w:val="TableText"/>
            </w:pPr>
            <w:r w:rsidRPr="00E6285C">
              <w:rPr>
                <w:color w:val="000000"/>
              </w:rPr>
              <w:t>41</w:t>
            </w:r>
          </w:p>
        </w:tc>
        <w:tc>
          <w:tcPr>
            <w:tcW w:w="600" w:type="pct"/>
          </w:tcPr>
          <w:p w14:paraId="53B70995" w14:textId="77777777" w:rsidR="00860F8E" w:rsidRPr="00E6285C" w:rsidRDefault="00860F8E" w:rsidP="005D646B">
            <w:pPr>
              <w:pStyle w:val="TableText"/>
              <w:rPr>
                <w:color w:val="000000"/>
              </w:rPr>
            </w:pPr>
            <w:r w:rsidRPr="00E6285C">
              <w:rPr>
                <w:color w:val="000000"/>
              </w:rPr>
              <w:t>48</w:t>
            </w:r>
          </w:p>
        </w:tc>
        <w:tc>
          <w:tcPr>
            <w:tcW w:w="602" w:type="pct"/>
          </w:tcPr>
          <w:p w14:paraId="2FF782DB" w14:textId="77777777" w:rsidR="00860F8E" w:rsidRPr="00E6285C" w:rsidRDefault="00860F8E" w:rsidP="005D646B">
            <w:pPr>
              <w:pStyle w:val="TableText"/>
              <w:rPr>
                <w:color w:val="000000"/>
              </w:rPr>
            </w:pPr>
            <w:r w:rsidRPr="00E6285C">
              <w:rPr>
                <w:color w:val="000000"/>
              </w:rPr>
              <w:t>48</w:t>
            </w:r>
            <w:r>
              <w:rPr>
                <w:vertAlign w:val="superscript"/>
              </w:rPr>
              <w:t>c</w:t>
            </w:r>
          </w:p>
        </w:tc>
        <w:tc>
          <w:tcPr>
            <w:tcW w:w="522" w:type="pct"/>
          </w:tcPr>
          <w:p w14:paraId="4563CA59" w14:textId="77777777" w:rsidR="00860F8E" w:rsidRPr="00E6285C" w:rsidRDefault="00860F8E" w:rsidP="005D646B">
            <w:pPr>
              <w:pStyle w:val="TableText"/>
              <w:rPr>
                <w:color w:val="000000"/>
              </w:rPr>
            </w:pPr>
            <w:r w:rsidRPr="00E6285C">
              <w:t>57</w:t>
            </w:r>
            <w:r w:rsidRPr="00E6285C">
              <w:rPr>
                <w:vertAlign w:val="superscript"/>
              </w:rPr>
              <w:t>c,d</w:t>
            </w:r>
          </w:p>
        </w:tc>
        <w:tc>
          <w:tcPr>
            <w:tcW w:w="777" w:type="pct"/>
          </w:tcPr>
          <w:p w14:paraId="20569A6A" w14:textId="77777777" w:rsidR="00860F8E" w:rsidRPr="00D5488A" w:rsidRDefault="00860F8E" w:rsidP="005D646B">
            <w:pPr>
              <w:pStyle w:val="TableText"/>
            </w:pPr>
            <w:r w:rsidRPr="00D5488A">
              <w:t>54</w:t>
            </w:r>
          </w:p>
        </w:tc>
      </w:tr>
      <w:tr w:rsidR="00860F8E" w:rsidRPr="00E6285C" w14:paraId="7A4A55AC" w14:textId="77777777" w:rsidTr="008E2A9C">
        <w:tc>
          <w:tcPr>
            <w:tcW w:w="1875" w:type="pct"/>
          </w:tcPr>
          <w:p w14:paraId="70CD4D64" w14:textId="77777777" w:rsidR="00860F8E" w:rsidRPr="00E6285C" w:rsidRDefault="00860F8E" w:rsidP="005D646B">
            <w:pPr>
              <w:pStyle w:val="TableText"/>
            </w:pPr>
            <w:r w:rsidRPr="00E6285C">
              <w:t>Design</w:t>
            </w:r>
            <w:r>
              <w:t xml:space="preserve"> a</w:t>
            </w:r>
            <w:r w:rsidRPr="00E6285C">
              <w:t xml:space="preserve">dvice </w:t>
            </w:r>
          </w:p>
        </w:tc>
        <w:tc>
          <w:tcPr>
            <w:tcW w:w="624" w:type="pct"/>
          </w:tcPr>
          <w:p w14:paraId="0F1EECC4" w14:textId="77777777" w:rsidR="00860F8E" w:rsidRPr="00E6285C" w:rsidRDefault="00860F8E" w:rsidP="005D646B">
            <w:pPr>
              <w:pStyle w:val="TableText"/>
            </w:pPr>
            <w:r w:rsidRPr="00E6285C">
              <w:rPr>
                <w:color w:val="000000"/>
              </w:rPr>
              <w:t>63</w:t>
            </w:r>
          </w:p>
        </w:tc>
        <w:tc>
          <w:tcPr>
            <w:tcW w:w="600" w:type="pct"/>
          </w:tcPr>
          <w:p w14:paraId="306DE35C" w14:textId="77777777" w:rsidR="00860F8E" w:rsidRPr="00E6285C" w:rsidRDefault="00860F8E" w:rsidP="005D646B">
            <w:pPr>
              <w:pStyle w:val="TableText"/>
              <w:rPr>
                <w:color w:val="000000"/>
              </w:rPr>
            </w:pPr>
            <w:r w:rsidRPr="00E6285C">
              <w:rPr>
                <w:color w:val="000000"/>
              </w:rPr>
              <w:t>66</w:t>
            </w:r>
          </w:p>
        </w:tc>
        <w:tc>
          <w:tcPr>
            <w:tcW w:w="602" w:type="pct"/>
          </w:tcPr>
          <w:p w14:paraId="02B81731" w14:textId="77777777" w:rsidR="00860F8E" w:rsidRPr="00E6285C" w:rsidRDefault="00860F8E" w:rsidP="005D646B">
            <w:pPr>
              <w:pStyle w:val="TableText"/>
              <w:rPr>
                <w:color w:val="000000"/>
              </w:rPr>
            </w:pPr>
            <w:r w:rsidRPr="00E6285C">
              <w:rPr>
                <w:color w:val="000000"/>
              </w:rPr>
              <w:t>82</w:t>
            </w:r>
          </w:p>
        </w:tc>
        <w:tc>
          <w:tcPr>
            <w:tcW w:w="522" w:type="pct"/>
          </w:tcPr>
          <w:p w14:paraId="6B5E7350" w14:textId="77777777" w:rsidR="00860F8E" w:rsidRPr="00E6285C" w:rsidRDefault="00860F8E" w:rsidP="005D646B">
            <w:pPr>
              <w:pStyle w:val="TableText"/>
              <w:rPr>
                <w:color w:val="000000"/>
              </w:rPr>
            </w:pPr>
            <w:r w:rsidRPr="00E6285C">
              <w:rPr>
                <w:color w:val="000000"/>
              </w:rPr>
              <w:t>80</w:t>
            </w:r>
          </w:p>
        </w:tc>
        <w:tc>
          <w:tcPr>
            <w:tcW w:w="777" w:type="pct"/>
          </w:tcPr>
          <w:p w14:paraId="217AACF7" w14:textId="77777777" w:rsidR="00860F8E" w:rsidRPr="00D5488A" w:rsidRDefault="00860F8E" w:rsidP="005D646B">
            <w:pPr>
              <w:pStyle w:val="TableText"/>
            </w:pPr>
            <w:r w:rsidRPr="00D5488A">
              <w:t>74</w:t>
            </w:r>
          </w:p>
        </w:tc>
      </w:tr>
      <w:tr w:rsidR="00860F8E" w:rsidRPr="00E6285C" w14:paraId="504AFA45" w14:textId="77777777" w:rsidTr="008E2A9C">
        <w:tc>
          <w:tcPr>
            <w:tcW w:w="1875" w:type="pct"/>
          </w:tcPr>
          <w:p w14:paraId="10C58E70" w14:textId="77777777" w:rsidR="00860F8E" w:rsidRPr="00E6285C" w:rsidRDefault="00860F8E" w:rsidP="005D646B">
            <w:pPr>
              <w:pStyle w:val="TableText"/>
            </w:pPr>
            <w:r w:rsidRPr="00E6285C">
              <w:t xml:space="preserve">Flight </w:t>
            </w:r>
            <w:r>
              <w:t>m</w:t>
            </w:r>
            <w:r w:rsidRPr="00E6285C">
              <w:t xml:space="preserve">anual </w:t>
            </w:r>
            <w:r>
              <w:t>s</w:t>
            </w:r>
            <w:r w:rsidRPr="00E6285C">
              <w:t xml:space="preserve">upplement </w:t>
            </w:r>
          </w:p>
        </w:tc>
        <w:tc>
          <w:tcPr>
            <w:tcW w:w="624" w:type="pct"/>
          </w:tcPr>
          <w:p w14:paraId="05F62859" w14:textId="77777777" w:rsidR="00860F8E" w:rsidRPr="00E6285C" w:rsidRDefault="00860F8E" w:rsidP="005D646B">
            <w:pPr>
              <w:pStyle w:val="TableText"/>
            </w:pPr>
            <w:r w:rsidRPr="00E6285C">
              <w:rPr>
                <w:color w:val="000000"/>
              </w:rPr>
              <w:t>0</w:t>
            </w:r>
          </w:p>
        </w:tc>
        <w:tc>
          <w:tcPr>
            <w:tcW w:w="600" w:type="pct"/>
          </w:tcPr>
          <w:p w14:paraId="4F7680A6" w14:textId="77777777" w:rsidR="00860F8E" w:rsidRPr="00E6285C" w:rsidRDefault="00860F8E" w:rsidP="005D646B">
            <w:pPr>
              <w:pStyle w:val="TableText"/>
              <w:rPr>
                <w:color w:val="000000"/>
              </w:rPr>
            </w:pPr>
            <w:r w:rsidRPr="00E6285C">
              <w:rPr>
                <w:color w:val="000000"/>
              </w:rPr>
              <w:t>5</w:t>
            </w:r>
          </w:p>
        </w:tc>
        <w:tc>
          <w:tcPr>
            <w:tcW w:w="602" w:type="pct"/>
          </w:tcPr>
          <w:p w14:paraId="1032417D" w14:textId="77777777" w:rsidR="00860F8E" w:rsidRPr="00E6285C" w:rsidRDefault="00860F8E" w:rsidP="005D646B">
            <w:pPr>
              <w:pStyle w:val="TableText"/>
              <w:rPr>
                <w:color w:val="000000"/>
              </w:rPr>
            </w:pPr>
            <w:r w:rsidRPr="00E6285C">
              <w:rPr>
                <w:color w:val="000000"/>
              </w:rPr>
              <w:t>3</w:t>
            </w:r>
          </w:p>
        </w:tc>
        <w:tc>
          <w:tcPr>
            <w:tcW w:w="522" w:type="pct"/>
          </w:tcPr>
          <w:p w14:paraId="73072270" w14:textId="77777777" w:rsidR="00860F8E" w:rsidRPr="00E6285C" w:rsidRDefault="00860F8E" w:rsidP="005D646B">
            <w:pPr>
              <w:pStyle w:val="TableText"/>
              <w:rPr>
                <w:color w:val="000000"/>
              </w:rPr>
            </w:pPr>
            <w:r w:rsidRPr="00E6285C">
              <w:rPr>
                <w:color w:val="000000"/>
              </w:rPr>
              <w:t>2</w:t>
            </w:r>
          </w:p>
        </w:tc>
        <w:tc>
          <w:tcPr>
            <w:tcW w:w="777" w:type="pct"/>
          </w:tcPr>
          <w:p w14:paraId="73C10E35" w14:textId="77777777" w:rsidR="00860F8E" w:rsidRPr="00D5488A" w:rsidRDefault="00860F8E" w:rsidP="005D646B">
            <w:pPr>
              <w:pStyle w:val="TableText"/>
            </w:pPr>
            <w:r w:rsidRPr="00D5488A">
              <w:t>3</w:t>
            </w:r>
          </w:p>
        </w:tc>
      </w:tr>
    </w:tbl>
    <w:p w14:paraId="676FFC03" w14:textId="77777777" w:rsidR="00860F8E" w:rsidRPr="00E6285C" w:rsidRDefault="00860F8E" w:rsidP="00860F8E">
      <w:pPr>
        <w:keepLines/>
        <w:tabs>
          <w:tab w:val="left" w:pos="284"/>
          <w:tab w:val="left" w:pos="567"/>
        </w:tabs>
        <w:spacing w:before="60" w:after="0"/>
        <w:ind w:left="284" w:hanging="284"/>
        <w:rPr>
          <w:rFonts w:ascii="Arial Narrow" w:hAnsi="Arial Narrow"/>
          <w:sz w:val="16"/>
        </w:rPr>
      </w:pPr>
      <w:r w:rsidRPr="00E6285C">
        <w:rPr>
          <w:rFonts w:ascii="Arial Narrow" w:hAnsi="Arial Narrow"/>
          <w:sz w:val="16"/>
        </w:rPr>
        <w:t>a</w:t>
      </w:r>
      <w:r w:rsidRPr="00E6285C">
        <w:rPr>
          <w:rFonts w:ascii="Arial Narrow" w:hAnsi="Arial Narrow"/>
          <w:sz w:val="16"/>
        </w:rPr>
        <w:tab/>
        <w:t>Includes amendments to supplemental data including type certificate data sheets and type certificate holder details.</w:t>
      </w:r>
    </w:p>
    <w:p w14:paraId="4E23DBDA" w14:textId="77777777" w:rsidR="00860F8E" w:rsidRPr="00E6285C" w:rsidRDefault="00860F8E" w:rsidP="00860F8E">
      <w:pPr>
        <w:keepLines/>
        <w:tabs>
          <w:tab w:val="left" w:pos="284"/>
          <w:tab w:val="left" w:pos="567"/>
        </w:tabs>
        <w:spacing w:before="60" w:after="0"/>
        <w:ind w:left="284" w:hanging="284"/>
        <w:rPr>
          <w:rFonts w:ascii="Arial Narrow" w:hAnsi="Arial Narrow"/>
          <w:sz w:val="16"/>
        </w:rPr>
      </w:pPr>
      <w:r w:rsidRPr="00E6285C">
        <w:rPr>
          <w:rFonts w:ascii="Arial Narrow" w:hAnsi="Arial Narrow"/>
          <w:sz w:val="16"/>
        </w:rPr>
        <w:t>b</w:t>
      </w:r>
      <w:r w:rsidRPr="00E6285C">
        <w:rPr>
          <w:rFonts w:ascii="Arial Narrow" w:hAnsi="Arial Narrow"/>
          <w:sz w:val="16"/>
        </w:rPr>
        <w:tab/>
        <w:t>Figures include all permits issued by CASA and industry delegates.</w:t>
      </w:r>
    </w:p>
    <w:p w14:paraId="50B60F17" w14:textId="77777777" w:rsidR="00860F8E" w:rsidRPr="00E6285C" w:rsidRDefault="00860F8E" w:rsidP="00860F8E">
      <w:pPr>
        <w:keepLines/>
        <w:tabs>
          <w:tab w:val="left" w:pos="284"/>
          <w:tab w:val="left" w:pos="567"/>
        </w:tabs>
        <w:spacing w:before="60" w:after="0"/>
        <w:ind w:left="284" w:hanging="284"/>
        <w:rPr>
          <w:rFonts w:ascii="Arial Narrow" w:eastAsia="Times New Roman" w:hAnsi="Arial Narrow"/>
          <w:sz w:val="16"/>
        </w:rPr>
      </w:pPr>
      <w:r w:rsidRPr="00E6285C">
        <w:rPr>
          <w:rFonts w:ascii="Arial Narrow" w:eastAsia="Times New Roman" w:hAnsi="Arial Narrow"/>
          <w:sz w:val="16"/>
        </w:rPr>
        <w:t>c</w:t>
      </w:r>
      <w:r w:rsidRPr="00E6285C">
        <w:rPr>
          <w:rFonts w:ascii="Arial Narrow" w:eastAsia="Times New Roman" w:hAnsi="Arial Narrow"/>
          <w:sz w:val="16"/>
        </w:rPr>
        <w:tab/>
        <w:t>Includes certificates issued for devices located overseas.</w:t>
      </w:r>
    </w:p>
    <w:p w14:paraId="736DB779" w14:textId="77777777" w:rsidR="00860F8E" w:rsidRPr="00C473FA" w:rsidRDefault="00860F8E" w:rsidP="00860F8E">
      <w:pPr>
        <w:pStyle w:val="TableNotesHangLast"/>
      </w:pPr>
      <w:r w:rsidRPr="00E6285C">
        <w:t>d</w:t>
      </w:r>
      <w:r w:rsidRPr="00E6285C">
        <w:tab/>
        <w:t>Includes approval of the first two Australia-based helicopter simulators.</w:t>
      </w:r>
    </w:p>
    <w:p w14:paraId="5324A028" w14:textId="77777777" w:rsidR="00860F8E" w:rsidRPr="00C473FA" w:rsidRDefault="00860F8E" w:rsidP="00860F8E">
      <w:pPr>
        <w:pStyle w:val="TableName"/>
      </w:pPr>
      <w:r w:rsidRPr="00C473FA">
        <w:lastRenderedPageBreak/>
        <w:t>Table A.12</w:t>
      </w:r>
      <w:r w:rsidRPr="00C473FA">
        <w:tab/>
        <w:t>Aircraft registrations, 201</w:t>
      </w:r>
      <w:r>
        <w:t>3</w:t>
      </w:r>
      <w:r w:rsidRPr="00C473FA">
        <w:t>–1</w:t>
      </w:r>
      <w:r>
        <w:t>4</w:t>
      </w:r>
      <w:r w:rsidRPr="00C473FA">
        <w:t xml:space="preserve"> to 201</w:t>
      </w:r>
      <w:r>
        <w:t>7</w:t>
      </w:r>
      <w:r w:rsidRPr="00C473FA">
        <w:t>–1</w:t>
      </w:r>
      <w:r>
        <w:t>8</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3361"/>
        <w:gridCol w:w="1131"/>
        <w:gridCol w:w="1131"/>
        <w:gridCol w:w="1131"/>
        <w:gridCol w:w="1130"/>
        <w:gridCol w:w="1130"/>
      </w:tblGrid>
      <w:tr w:rsidR="00860F8E" w:rsidRPr="008E2A9C" w14:paraId="450B37F1" w14:textId="77777777" w:rsidTr="008E2A9C">
        <w:trPr>
          <w:tblHeader/>
        </w:trPr>
        <w:tc>
          <w:tcPr>
            <w:tcW w:w="1863" w:type="pct"/>
            <w:hideMark/>
          </w:tcPr>
          <w:p w14:paraId="3F20FA78" w14:textId="77777777" w:rsidR="00860F8E" w:rsidRPr="005D646B" w:rsidRDefault="00860F8E" w:rsidP="005D646B">
            <w:pPr>
              <w:pStyle w:val="TableText"/>
              <w:rPr>
                <w:b/>
              </w:rPr>
            </w:pPr>
          </w:p>
        </w:tc>
        <w:tc>
          <w:tcPr>
            <w:tcW w:w="627" w:type="pct"/>
          </w:tcPr>
          <w:p w14:paraId="6F35A28F" w14:textId="77777777" w:rsidR="00860F8E" w:rsidRPr="005D646B" w:rsidRDefault="00860F8E" w:rsidP="005D646B">
            <w:pPr>
              <w:pStyle w:val="TableText"/>
              <w:rPr>
                <w:b/>
              </w:rPr>
            </w:pPr>
            <w:r w:rsidRPr="005D646B">
              <w:rPr>
                <w:b/>
              </w:rPr>
              <w:t>2013–14</w:t>
            </w:r>
          </w:p>
        </w:tc>
        <w:tc>
          <w:tcPr>
            <w:tcW w:w="627" w:type="pct"/>
          </w:tcPr>
          <w:p w14:paraId="77AA4766" w14:textId="77777777" w:rsidR="00860F8E" w:rsidRPr="005D646B" w:rsidRDefault="00860F8E" w:rsidP="005D646B">
            <w:pPr>
              <w:pStyle w:val="TableText"/>
              <w:rPr>
                <w:b/>
              </w:rPr>
            </w:pPr>
            <w:r w:rsidRPr="005D646B">
              <w:rPr>
                <w:b/>
              </w:rPr>
              <w:t>2014–15</w:t>
            </w:r>
          </w:p>
        </w:tc>
        <w:tc>
          <w:tcPr>
            <w:tcW w:w="627" w:type="pct"/>
          </w:tcPr>
          <w:p w14:paraId="5A821335" w14:textId="77777777" w:rsidR="00860F8E" w:rsidRPr="005D646B" w:rsidRDefault="00860F8E" w:rsidP="005D646B">
            <w:pPr>
              <w:pStyle w:val="TableText"/>
              <w:rPr>
                <w:b/>
                <w:highlight w:val="yellow"/>
              </w:rPr>
            </w:pPr>
            <w:r w:rsidRPr="005D646B">
              <w:rPr>
                <w:b/>
              </w:rPr>
              <w:t>2015–16</w:t>
            </w:r>
          </w:p>
        </w:tc>
        <w:tc>
          <w:tcPr>
            <w:tcW w:w="627" w:type="pct"/>
          </w:tcPr>
          <w:p w14:paraId="4B27BB89" w14:textId="77777777" w:rsidR="00860F8E" w:rsidRPr="005D646B" w:rsidRDefault="00860F8E" w:rsidP="005D646B">
            <w:pPr>
              <w:pStyle w:val="TableText"/>
              <w:rPr>
                <w:b/>
              </w:rPr>
            </w:pPr>
            <w:r w:rsidRPr="005D646B">
              <w:rPr>
                <w:b/>
              </w:rPr>
              <w:t>2016–17</w:t>
            </w:r>
          </w:p>
        </w:tc>
        <w:tc>
          <w:tcPr>
            <w:tcW w:w="627" w:type="pct"/>
            <w:hideMark/>
          </w:tcPr>
          <w:p w14:paraId="4E524418" w14:textId="77777777" w:rsidR="00860F8E" w:rsidRPr="005D646B" w:rsidRDefault="00860F8E" w:rsidP="005D646B">
            <w:pPr>
              <w:pStyle w:val="TableText"/>
              <w:rPr>
                <w:b/>
              </w:rPr>
            </w:pPr>
            <w:r w:rsidRPr="005D646B">
              <w:rPr>
                <w:b/>
              </w:rPr>
              <w:t>2017–18</w:t>
            </w:r>
          </w:p>
        </w:tc>
      </w:tr>
      <w:tr w:rsidR="00860F8E" w:rsidRPr="007609DC" w14:paraId="297AEE0A" w14:textId="77777777" w:rsidTr="008E2A9C">
        <w:tc>
          <w:tcPr>
            <w:tcW w:w="1863" w:type="pct"/>
            <w:hideMark/>
          </w:tcPr>
          <w:p w14:paraId="5A6DEF9E" w14:textId="77777777" w:rsidR="00860F8E" w:rsidRPr="007609DC" w:rsidRDefault="00860F8E" w:rsidP="005D646B">
            <w:pPr>
              <w:pStyle w:val="TableText"/>
            </w:pPr>
            <w:r w:rsidRPr="007609DC">
              <w:t xml:space="preserve">Initial registrations </w:t>
            </w:r>
          </w:p>
        </w:tc>
        <w:tc>
          <w:tcPr>
            <w:tcW w:w="627" w:type="pct"/>
          </w:tcPr>
          <w:p w14:paraId="468E5CC9" w14:textId="77777777" w:rsidR="00860F8E" w:rsidRPr="007609DC" w:rsidRDefault="00860F8E" w:rsidP="005D646B">
            <w:pPr>
              <w:pStyle w:val="TableText"/>
            </w:pPr>
            <w:r w:rsidRPr="007609DC">
              <w:t>418</w:t>
            </w:r>
          </w:p>
        </w:tc>
        <w:tc>
          <w:tcPr>
            <w:tcW w:w="627" w:type="pct"/>
          </w:tcPr>
          <w:p w14:paraId="5E8A636F" w14:textId="77777777" w:rsidR="00860F8E" w:rsidRPr="007609DC" w:rsidRDefault="00860F8E" w:rsidP="005D646B">
            <w:pPr>
              <w:pStyle w:val="TableText"/>
            </w:pPr>
            <w:r w:rsidRPr="007609DC">
              <w:t>349</w:t>
            </w:r>
          </w:p>
        </w:tc>
        <w:tc>
          <w:tcPr>
            <w:tcW w:w="627" w:type="pct"/>
            <w:vAlign w:val="bottom"/>
          </w:tcPr>
          <w:p w14:paraId="7E15800C" w14:textId="77777777" w:rsidR="00860F8E" w:rsidRPr="007609DC" w:rsidRDefault="00860F8E" w:rsidP="005D646B">
            <w:pPr>
              <w:pStyle w:val="TableText"/>
            </w:pPr>
            <w:r w:rsidRPr="007609DC">
              <w:t>343</w:t>
            </w:r>
          </w:p>
        </w:tc>
        <w:tc>
          <w:tcPr>
            <w:tcW w:w="627" w:type="pct"/>
          </w:tcPr>
          <w:p w14:paraId="19DE4DB0" w14:textId="77777777" w:rsidR="00860F8E" w:rsidRPr="007609DC" w:rsidRDefault="00860F8E" w:rsidP="005D646B">
            <w:pPr>
              <w:pStyle w:val="TableText"/>
            </w:pPr>
            <w:r w:rsidRPr="007609DC">
              <w:t>352</w:t>
            </w:r>
          </w:p>
        </w:tc>
        <w:tc>
          <w:tcPr>
            <w:tcW w:w="627" w:type="pct"/>
          </w:tcPr>
          <w:p w14:paraId="00572033" w14:textId="77777777" w:rsidR="00860F8E" w:rsidRPr="00D5488A" w:rsidRDefault="00860F8E" w:rsidP="005D646B">
            <w:pPr>
              <w:pStyle w:val="TableText"/>
            </w:pPr>
            <w:r w:rsidRPr="00D5488A">
              <w:t>422</w:t>
            </w:r>
          </w:p>
        </w:tc>
      </w:tr>
      <w:tr w:rsidR="00860F8E" w:rsidRPr="007609DC" w14:paraId="1C2EE5D9" w14:textId="77777777" w:rsidTr="008E2A9C">
        <w:tc>
          <w:tcPr>
            <w:tcW w:w="1863" w:type="pct"/>
            <w:hideMark/>
          </w:tcPr>
          <w:p w14:paraId="6C0AC13C" w14:textId="77777777" w:rsidR="00860F8E" w:rsidRPr="007609DC" w:rsidRDefault="00860F8E" w:rsidP="005D646B">
            <w:pPr>
              <w:pStyle w:val="TableText"/>
            </w:pPr>
            <w:r w:rsidRPr="007609DC">
              <w:t xml:space="preserve">Changes of registration holder </w:t>
            </w:r>
          </w:p>
        </w:tc>
        <w:tc>
          <w:tcPr>
            <w:tcW w:w="627" w:type="pct"/>
          </w:tcPr>
          <w:p w14:paraId="73A40D96" w14:textId="77777777" w:rsidR="00860F8E" w:rsidRPr="007609DC" w:rsidRDefault="00860F8E" w:rsidP="005D646B">
            <w:pPr>
              <w:pStyle w:val="TableText"/>
            </w:pPr>
            <w:r w:rsidRPr="007609DC">
              <w:t>1,354</w:t>
            </w:r>
          </w:p>
        </w:tc>
        <w:tc>
          <w:tcPr>
            <w:tcW w:w="627" w:type="pct"/>
          </w:tcPr>
          <w:p w14:paraId="77AA17D1" w14:textId="77777777" w:rsidR="00860F8E" w:rsidRPr="007609DC" w:rsidRDefault="00860F8E" w:rsidP="005D646B">
            <w:pPr>
              <w:pStyle w:val="TableText"/>
            </w:pPr>
            <w:r w:rsidRPr="007609DC">
              <w:t>1,213</w:t>
            </w:r>
          </w:p>
        </w:tc>
        <w:tc>
          <w:tcPr>
            <w:tcW w:w="627" w:type="pct"/>
            <w:vAlign w:val="bottom"/>
          </w:tcPr>
          <w:p w14:paraId="5360B585" w14:textId="77777777" w:rsidR="00860F8E" w:rsidRPr="007609DC" w:rsidRDefault="00860F8E" w:rsidP="005D646B">
            <w:pPr>
              <w:pStyle w:val="TableText"/>
            </w:pPr>
            <w:r w:rsidRPr="007609DC">
              <w:t>1,526</w:t>
            </w:r>
          </w:p>
        </w:tc>
        <w:tc>
          <w:tcPr>
            <w:tcW w:w="627" w:type="pct"/>
          </w:tcPr>
          <w:p w14:paraId="40208E40" w14:textId="77777777" w:rsidR="00860F8E" w:rsidRPr="007609DC" w:rsidRDefault="00860F8E" w:rsidP="005D646B">
            <w:pPr>
              <w:pStyle w:val="TableText"/>
            </w:pPr>
            <w:r w:rsidRPr="007609DC">
              <w:t>1,491</w:t>
            </w:r>
          </w:p>
        </w:tc>
        <w:tc>
          <w:tcPr>
            <w:tcW w:w="627" w:type="pct"/>
          </w:tcPr>
          <w:p w14:paraId="3BFE0C69" w14:textId="77777777" w:rsidR="00860F8E" w:rsidRPr="00D5488A" w:rsidRDefault="00860F8E" w:rsidP="005D646B">
            <w:pPr>
              <w:pStyle w:val="TableText"/>
            </w:pPr>
            <w:r w:rsidRPr="00D5488A">
              <w:t>1,313</w:t>
            </w:r>
          </w:p>
        </w:tc>
      </w:tr>
      <w:tr w:rsidR="00860F8E" w:rsidRPr="007609DC" w14:paraId="008B5D8A" w14:textId="77777777" w:rsidTr="008E2A9C">
        <w:trPr>
          <w:trHeight w:val="161"/>
        </w:trPr>
        <w:tc>
          <w:tcPr>
            <w:tcW w:w="1863" w:type="pct"/>
            <w:hideMark/>
          </w:tcPr>
          <w:p w14:paraId="4E34772B" w14:textId="77777777" w:rsidR="00860F8E" w:rsidRPr="007609DC" w:rsidRDefault="00860F8E" w:rsidP="005D646B">
            <w:pPr>
              <w:pStyle w:val="TableText"/>
            </w:pPr>
            <w:r w:rsidRPr="007609DC">
              <w:t xml:space="preserve">Cancellations of registration </w:t>
            </w:r>
          </w:p>
        </w:tc>
        <w:tc>
          <w:tcPr>
            <w:tcW w:w="627" w:type="pct"/>
          </w:tcPr>
          <w:p w14:paraId="4DCC9572" w14:textId="77777777" w:rsidR="00860F8E" w:rsidRPr="007609DC" w:rsidRDefault="00860F8E" w:rsidP="005D646B">
            <w:pPr>
              <w:pStyle w:val="TableText"/>
            </w:pPr>
            <w:r w:rsidRPr="007609DC">
              <w:t>240</w:t>
            </w:r>
          </w:p>
        </w:tc>
        <w:tc>
          <w:tcPr>
            <w:tcW w:w="627" w:type="pct"/>
          </w:tcPr>
          <w:p w14:paraId="3C8E14AD" w14:textId="77777777" w:rsidR="00860F8E" w:rsidRPr="007609DC" w:rsidRDefault="00860F8E" w:rsidP="005D646B">
            <w:pPr>
              <w:pStyle w:val="TableText"/>
            </w:pPr>
            <w:r w:rsidRPr="007609DC">
              <w:t>321</w:t>
            </w:r>
          </w:p>
        </w:tc>
        <w:tc>
          <w:tcPr>
            <w:tcW w:w="627" w:type="pct"/>
            <w:vAlign w:val="bottom"/>
          </w:tcPr>
          <w:p w14:paraId="31BBF7A8" w14:textId="77777777" w:rsidR="00860F8E" w:rsidRPr="007609DC" w:rsidRDefault="00860F8E" w:rsidP="005D646B">
            <w:pPr>
              <w:pStyle w:val="TableText"/>
            </w:pPr>
            <w:r w:rsidRPr="007609DC">
              <w:t>283</w:t>
            </w:r>
          </w:p>
        </w:tc>
        <w:tc>
          <w:tcPr>
            <w:tcW w:w="627" w:type="pct"/>
          </w:tcPr>
          <w:p w14:paraId="1318B476" w14:textId="77777777" w:rsidR="00860F8E" w:rsidRPr="007609DC" w:rsidRDefault="00860F8E" w:rsidP="005D646B">
            <w:pPr>
              <w:pStyle w:val="TableText"/>
            </w:pPr>
            <w:r w:rsidRPr="007609DC">
              <w:t>286</w:t>
            </w:r>
          </w:p>
        </w:tc>
        <w:tc>
          <w:tcPr>
            <w:tcW w:w="627" w:type="pct"/>
          </w:tcPr>
          <w:p w14:paraId="35CFD0D5" w14:textId="77777777" w:rsidR="00860F8E" w:rsidRPr="00D5488A" w:rsidRDefault="00860F8E" w:rsidP="005D646B">
            <w:pPr>
              <w:pStyle w:val="TableText"/>
            </w:pPr>
            <w:r w:rsidRPr="00D5488A">
              <w:t>306</w:t>
            </w:r>
          </w:p>
        </w:tc>
      </w:tr>
      <w:tr w:rsidR="00860F8E" w:rsidRPr="007609DC" w14:paraId="0137FC4B" w14:textId="77777777" w:rsidTr="008E2A9C">
        <w:tc>
          <w:tcPr>
            <w:tcW w:w="1863" w:type="pct"/>
            <w:hideMark/>
          </w:tcPr>
          <w:p w14:paraId="7D9028A8" w14:textId="77777777" w:rsidR="00860F8E" w:rsidRPr="007609DC" w:rsidRDefault="00860F8E" w:rsidP="005D646B">
            <w:pPr>
              <w:pStyle w:val="TableText"/>
            </w:pPr>
            <w:r w:rsidRPr="007609DC">
              <w:t>Changes of registration marks</w:t>
            </w:r>
          </w:p>
        </w:tc>
        <w:tc>
          <w:tcPr>
            <w:tcW w:w="627" w:type="pct"/>
          </w:tcPr>
          <w:p w14:paraId="1E74B7B6" w14:textId="77777777" w:rsidR="00860F8E" w:rsidRPr="007609DC" w:rsidRDefault="00860F8E" w:rsidP="005D646B">
            <w:pPr>
              <w:pStyle w:val="TableText"/>
            </w:pPr>
            <w:r w:rsidRPr="007609DC">
              <w:t>54</w:t>
            </w:r>
          </w:p>
        </w:tc>
        <w:tc>
          <w:tcPr>
            <w:tcW w:w="627" w:type="pct"/>
          </w:tcPr>
          <w:p w14:paraId="7EB877BD" w14:textId="77777777" w:rsidR="00860F8E" w:rsidRPr="007609DC" w:rsidRDefault="00860F8E" w:rsidP="005D646B">
            <w:pPr>
              <w:pStyle w:val="TableText"/>
            </w:pPr>
            <w:r w:rsidRPr="007609DC">
              <w:t>56</w:t>
            </w:r>
          </w:p>
        </w:tc>
        <w:tc>
          <w:tcPr>
            <w:tcW w:w="627" w:type="pct"/>
            <w:vAlign w:val="bottom"/>
          </w:tcPr>
          <w:p w14:paraId="05D67776" w14:textId="77777777" w:rsidR="00860F8E" w:rsidRPr="007609DC" w:rsidRDefault="00860F8E" w:rsidP="005D646B">
            <w:pPr>
              <w:pStyle w:val="TableText"/>
            </w:pPr>
            <w:r w:rsidRPr="007609DC">
              <w:t>50</w:t>
            </w:r>
          </w:p>
        </w:tc>
        <w:tc>
          <w:tcPr>
            <w:tcW w:w="627" w:type="pct"/>
          </w:tcPr>
          <w:p w14:paraId="0FB1AFA1" w14:textId="77777777" w:rsidR="00860F8E" w:rsidRPr="007609DC" w:rsidRDefault="00860F8E" w:rsidP="005D646B">
            <w:pPr>
              <w:pStyle w:val="TableText"/>
            </w:pPr>
            <w:r w:rsidRPr="007609DC">
              <w:t>56</w:t>
            </w:r>
          </w:p>
        </w:tc>
        <w:tc>
          <w:tcPr>
            <w:tcW w:w="627" w:type="pct"/>
          </w:tcPr>
          <w:p w14:paraId="2EAB6B16" w14:textId="77777777" w:rsidR="00860F8E" w:rsidRPr="00D5488A" w:rsidRDefault="00860F8E" w:rsidP="005D646B">
            <w:pPr>
              <w:pStyle w:val="TableText"/>
            </w:pPr>
            <w:r w:rsidRPr="00D5488A">
              <w:t>51</w:t>
            </w:r>
          </w:p>
        </w:tc>
      </w:tr>
      <w:tr w:rsidR="00860F8E" w:rsidRPr="007609DC" w14:paraId="4DAC041A" w14:textId="77777777" w:rsidTr="008E2A9C">
        <w:tc>
          <w:tcPr>
            <w:tcW w:w="1863" w:type="pct"/>
            <w:hideMark/>
          </w:tcPr>
          <w:p w14:paraId="5BD67FCB" w14:textId="77777777" w:rsidR="00860F8E" w:rsidRPr="007609DC" w:rsidRDefault="00860F8E" w:rsidP="005D646B">
            <w:pPr>
              <w:pStyle w:val="TableText"/>
            </w:pPr>
            <w:r w:rsidRPr="007609DC">
              <w:t xml:space="preserve">Reservations of registration marks </w:t>
            </w:r>
          </w:p>
        </w:tc>
        <w:tc>
          <w:tcPr>
            <w:tcW w:w="627" w:type="pct"/>
          </w:tcPr>
          <w:p w14:paraId="4EF17194" w14:textId="77777777" w:rsidR="00860F8E" w:rsidRPr="007609DC" w:rsidRDefault="00860F8E" w:rsidP="005D646B">
            <w:pPr>
              <w:pStyle w:val="TableText"/>
            </w:pPr>
            <w:r w:rsidRPr="007609DC">
              <w:t>1,143</w:t>
            </w:r>
          </w:p>
        </w:tc>
        <w:tc>
          <w:tcPr>
            <w:tcW w:w="627" w:type="pct"/>
          </w:tcPr>
          <w:p w14:paraId="1F9F101C" w14:textId="77777777" w:rsidR="00860F8E" w:rsidRPr="007609DC" w:rsidRDefault="00860F8E" w:rsidP="005D646B">
            <w:pPr>
              <w:pStyle w:val="TableText"/>
            </w:pPr>
            <w:r w:rsidRPr="007609DC">
              <w:t>964</w:t>
            </w:r>
          </w:p>
        </w:tc>
        <w:tc>
          <w:tcPr>
            <w:tcW w:w="627" w:type="pct"/>
            <w:vAlign w:val="bottom"/>
          </w:tcPr>
          <w:p w14:paraId="3439D7BE" w14:textId="77777777" w:rsidR="00860F8E" w:rsidRPr="007609DC" w:rsidRDefault="00860F8E" w:rsidP="005D646B">
            <w:pPr>
              <w:pStyle w:val="TableText"/>
            </w:pPr>
            <w:r w:rsidRPr="007609DC">
              <w:t>774</w:t>
            </w:r>
          </w:p>
        </w:tc>
        <w:tc>
          <w:tcPr>
            <w:tcW w:w="627" w:type="pct"/>
          </w:tcPr>
          <w:p w14:paraId="2A165823" w14:textId="77777777" w:rsidR="00860F8E" w:rsidRPr="007609DC" w:rsidRDefault="00860F8E" w:rsidP="005D646B">
            <w:pPr>
              <w:pStyle w:val="TableText"/>
            </w:pPr>
            <w:r w:rsidRPr="007609DC">
              <w:t>870</w:t>
            </w:r>
            <w:r w:rsidRPr="007609DC">
              <w:rPr>
                <w:vertAlign w:val="superscript"/>
              </w:rPr>
              <w:t>b</w:t>
            </w:r>
          </w:p>
        </w:tc>
        <w:tc>
          <w:tcPr>
            <w:tcW w:w="627" w:type="pct"/>
          </w:tcPr>
          <w:p w14:paraId="363FEE76" w14:textId="77777777" w:rsidR="00860F8E" w:rsidRPr="00D5488A" w:rsidRDefault="00860F8E" w:rsidP="005D646B">
            <w:pPr>
              <w:pStyle w:val="TableText"/>
            </w:pPr>
            <w:r w:rsidRPr="00D5488A">
              <w:t>913</w:t>
            </w:r>
            <w:r w:rsidRPr="00D5488A">
              <w:rPr>
                <w:vertAlign w:val="superscript"/>
              </w:rPr>
              <w:t>c</w:t>
            </w:r>
          </w:p>
        </w:tc>
      </w:tr>
      <w:tr w:rsidR="00860F8E" w:rsidRPr="007609DC" w14:paraId="408E8FB8" w14:textId="77777777" w:rsidTr="008E2A9C">
        <w:tc>
          <w:tcPr>
            <w:tcW w:w="1863" w:type="pct"/>
            <w:hideMark/>
          </w:tcPr>
          <w:p w14:paraId="5B262E1D" w14:textId="77777777" w:rsidR="00860F8E" w:rsidRPr="007609DC" w:rsidRDefault="00860F8E" w:rsidP="005D646B">
            <w:pPr>
              <w:pStyle w:val="TableText"/>
            </w:pPr>
            <w:r w:rsidRPr="007609DC">
              <w:t>Reissues of certificates of registration</w:t>
            </w:r>
            <w:r w:rsidRPr="007609DC">
              <w:rPr>
                <w:rFonts w:ascii="Calibri" w:hAnsi="Calibri"/>
                <w:vertAlign w:val="superscript"/>
              </w:rPr>
              <w:t>a</w:t>
            </w:r>
          </w:p>
        </w:tc>
        <w:tc>
          <w:tcPr>
            <w:tcW w:w="627" w:type="pct"/>
          </w:tcPr>
          <w:p w14:paraId="62C3F21D" w14:textId="77777777" w:rsidR="00860F8E" w:rsidRPr="007609DC" w:rsidRDefault="00860F8E" w:rsidP="005D646B">
            <w:pPr>
              <w:pStyle w:val="TableText"/>
            </w:pPr>
            <w:r w:rsidRPr="007609DC">
              <w:t>123</w:t>
            </w:r>
          </w:p>
        </w:tc>
        <w:tc>
          <w:tcPr>
            <w:tcW w:w="627" w:type="pct"/>
          </w:tcPr>
          <w:p w14:paraId="122C2BBD" w14:textId="77777777" w:rsidR="00860F8E" w:rsidRPr="007609DC" w:rsidRDefault="00860F8E" w:rsidP="005D646B">
            <w:pPr>
              <w:pStyle w:val="TableText"/>
            </w:pPr>
            <w:r w:rsidRPr="007609DC">
              <w:t>81</w:t>
            </w:r>
          </w:p>
        </w:tc>
        <w:tc>
          <w:tcPr>
            <w:tcW w:w="627" w:type="pct"/>
          </w:tcPr>
          <w:p w14:paraId="4396A609" w14:textId="77777777" w:rsidR="00860F8E" w:rsidRPr="007609DC" w:rsidRDefault="00860F8E" w:rsidP="005D646B">
            <w:pPr>
              <w:pStyle w:val="TableText"/>
            </w:pPr>
            <w:r w:rsidRPr="007609DC">
              <w:t>39</w:t>
            </w:r>
          </w:p>
        </w:tc>
        <w:tc>
          <w:tcPr>
            <w:tcW w:w="627" w:type="pct"/>
          </w:tcPr>
          <w:p w14:paraId="056C7FD7" w14:textId="77777777" w:rsidR="00860F8E" w:rsidRPr="007609DC" w:rsidRDefault="00860F8E" w:rsidP="005D646B">
            <w:pPr>
              <w:pStyle w:val="TableText"/>
            </w:pPr>
            <w:r w:rsidRPr="007609DC">
              <w:t>52</w:t>
            </w:r>
            <w:r w:rsidRPr="007609DC">
              <w:rPr>
                <w:vertAlign w:val="superscript"/>
              </w:rPr>
              <w:t>b</w:t>
            </w:r>
          </w:p>
        </w:tc>
        <w:tc>
          <w:tcPr>
            <w:tcW w:w="627" w:type="pct"/>
          </w:tcPr>
          <w:p w14:paraId="2E71030B" w14:textId="77777777" w:rsidR="00860F8E" w:rsidRPr="00D5488A" w:rsidRDefault="00860F8E" w:rsidP="005D646B">
            <w:pPr>
              <w:pStyle w:val="TableText"/>
            </w:pPr>
            <w:r w:rsidRPr="00D5488A">
              <w:t>64</w:t>
            </w:r>
            <w:r w:rsidRPr="00D5488A">
              <w:rPr>
                <w:vertAlign w:val="superscript"/>
              </w:rPr>
              <w:t>c</w:t>
            </w:r>
          </w:p>
        </w:tc>
      </w:tr>
      <w:tr w:rsidR="00860F8E" w:rsidRPr="007609DC" w14:paraId="7C5D6B43" w14:textId="77777777" w:rsidTr="008E2A9C">
        <w:tc>
          <w:tcPr>
            <w:tcW w:w="1863" w:type="pct"/>
            <w:hideMark/>
          </w:tcPr>
          <w:p w14:paraId="382C4DB3" w14:textId="77777777" w:rsidR="00860F8E" w:rsidRPr="007609DC" w:rsidRDefault="00860F8E" w:rsidP="005D646B">
            <w:pPr>
              <w:pStyle w:val="TableText"/>
            </w:pPr>
            <w:r w:rsidRPr="007609DC">
              <w:t xml:space="preserve">Aircraft registered as at 30 June </w:t>
            </w:r>
          </w:p>
        </w:tc>
        <w:tc>
          <w:tcPr>
            <w:tcW w:w="627" w:type="pct"/>
          </w:tcPr>
          <w:p w14:paraId="16ADAD4A" w14:textId="77777777" w:rsidR="00860F8E" w:rsidRPr="007609DC" w:rsidRDefault="00860F8E" w:rsidP="005D646B">
            <w:pPr>
              <w:pStyle w:val="TableText"/>
            </w:pPr>
            <w:r w:rsidRPr="007609DC">
              <w:t>15,259</w:t>
            </w:r>
          </w:p>
        </w:tc>
        <w:tc>
          <w:tcPr>
            <w:tcW w:w="627" w:type="pct"/>
          </w:tcPr>
          <w:p w14:paraId="1FDD9A85" w14:textId="77777777" w:rsidR="00860F8E" w:rsidRPr="007609DC" w:rsidRDefault="00860F8E" w:rsidP="005D646B">
            <w:pPr>
              <w:pStyle w:val="TableText"/>
            </w:pPr>
            <w:r w:rsidRPr="007609DC">
              <w:t>15,287</w:t>
            </w:r>
          </w:p>
        </w:tc>
        <w:tc>
          <w:tcPr>
            <w:tcW w:w="627" w:type="pct"/>
            <w:vAlign w:val="bottom"/>
          </w:tcPr>
          <w:p w14:paraId="137DA15B" w14:textId="77777777" w:rsidR="00860F8E" w:rsidRPr="007609DC" w:rsidRDefault="00860F8E" w:rsidP="005D646B">
            <w:pPr>
              <w:pStyle w:val="TableText"/>
            </w:pPr>
            <w:r w:rsidRPr="007609DC">
              <w:t>15,347</w:t>
            </w:r>
          </w:p>
        </w:tc>
        <w:tc>
          <w:tcPr>
            <w:tcW w:w="627" w:type="pct"/>
          </w:tcPr>
          <w:p w14:paraId="55A3ED02" w14:textId="77777777" w:rsidR="00860F8E" w:rsidRPr="007609DC" w:rsidRDefault="00860F8E" w:rsidP="005D646B">
            <w:pPr>
              <w:pStyle w:val="TableText"/>
            </w:pPr>
            <w:r w:rsidRPr="007609DC">
              <w:t>15,413</w:t>
            </w:r>
          </w:p>
        </w:tc>
        <w:tc>
          <w:tcPr>
            <w:tcW w:w="627" w:type="pct"/>
          </w:tcPr>
          <w:p w14:paraId="0CC85479" w14:textId="77777777" w:rsidR="00860F8E" w:rsidRPr="00D5488A" w:rsidRDefault="00860F8E" w:rsidP="005D646B">
            <w:pPr>
              <w:pStyle w:val="TableText"/>
            </w:pPr>
            <w:r w:rsidRPr="00D5488A">
              <w:t>15,529</w:t>
            </w:r>
          </w:p>
        </w:tc>
      </w:tr>
      <w:tr w:rsidR="00860F8E" w:rsidRPr="007609DC" w14:paraId="23448836" w14:textId="77777777" w:rsidTr="008E2A9C">
        <w:tc>
          <w:tcPr>
            <w:tcW w:w="1863" w:type="pct"/>
            <w:hideMark/>
          </w:tcPr>
          <w:p w14:paraId="26E8EA38" w14:textId="77777777" w:rsidR="00860F8E" w:rsidRPr="007609DC" w:rsidRDefault="00860F8E" w:rsidP="005D646B">
            <w:pPr>
              <w:pStyle w:val="TableText"/>
            </w:pPr>
            <w:r w:rsidRPr="007609DC">
              <w:t xml:space="preserve">Marks reserved as at 30 June </w:t>
            </w:r>
          </w:p>
        </w:tc>
        <w:tc>
          <w:tcPr>
            <w:tcW w:w="627" w:type="pct"/>
          </w:tcPr>
          <w:p w14:paraId="506E2A01" w14:textId="77777777" w:rsidR="00860F8E" w:rsidRPr="007609DC" w:rsidRDefault="00860F8E" w:rsidP="005D646B">
            <w:pPr>
              <w:pStyle w:val="TableText"/>
            </w:pPr>
            <w:r w:rsidRPr="007609DC">
              <w:t>666</w:t>
            </w:r>
          </w:p>
        </w:tc>
        <w:tc>
          <w:tcPr>
            <w:tcW w:w="627" w:type="pct"/>
          </w:tcPr>
          <w:p w14:paraId="2D4E4307" w14:textId="77777777" w:rsidR="00860F8E" w:rsidRPr="007609DC" w:rsidRDefault="00860F8E" w:rsidP="005D646B">
            <w:pPr>
              <w:pStyle w:val="TableText"/>
            </w:pPr>
            <w:r w:rsidRPr="007609DC">
              <w:t>685</w:t>
            </w:r>
          </w:p>
        </w:tc>
        <w:tc>
          <w:tcPr>
            <w:tcW w:w="627" w:type="pct"/>
            <w:vAlign w:val="bottom"/>
          </w:tcPr>
          <w:p w14:paraId="2E6E3524" w14:textId="77777777" w:rsidR="00860F8E" w:rsidRPr="007609DC" w:rsidRDefault="00860F8E" w:rsidP="005D646B">
            <w:pPr>
              <w:pStyle w:val="TableText"/>
            </w:pPr>
            <w:r w:rsidRPr="007609DC">
              <w:t>510</w:t>
            </w:r>
          </w:p>
        </w:tc>
        <w:tc>
          <w:tcPr>
            <w:tcW w:w="627" w:type="pct"/>
          </w:tcPr>
          <w:p w14:paraId="54F97880" w14:textId="77777777" w:rsidR="00860F8E" w:rsidRPr="007609DC" w:rsidRDefault="00860F8E" w:rsidP="005D646B">
            <w:pPr>
              <w:pStyle w:val="TableText"/>
            </w:pPr>
            <w:r w:rsidRPr="007609DC">
              <w:t>559</w:t>
            </w:r>
          </w:p>
        </w:tc>
        <w:tc>
          <w:tcPr>
            <w:tcW w:w="627" w:type="pct"/>
          </w:tcPr>
          <w:p w14:paraId="019098DA" w14:textId="77777777" w:rsidR="00860F8E" w:rsidRPr="00D5488A" w:rsidRDefault="00860F8E" w:rsidP="005D646B">
            <w:pPr>
              <w:pStyle w:val="TableText"/>
            </w:pPr>
            <w:r w:rsidRPr="00D5488A">
              <w:t>577</w:t>
            </w:r>
            <w:r w:rsidRPr="00D5488A">
              <w:rPr>
                <w:vertAlign w:val="superscript"/>
              </w:rPr>
              <w:t>d</w:t>
            </w:r>
          </w:p>
        </w:tc>
      </w:tr>
    </w:tbl>
    <w:p w14:paraId="172A4F1F" w14:textId="77777777" w:rsidR="00860F8E" w:rsidRPr="00D5488A" w:rsidRDefault="00860F8E" w:rsidP="00860F8E">
      <w:pPr>
        <w:keepLines/>
        <w:tabs>
          <w:tab w:val="left" w:pos="284"/>
          <w:tab w:val="left" w:pos="567"/>
        </w:tabs>
        <w:spacing w:before="60"/>
        <w:ind w:left="284" w:hanging="284"/>
        <w:rPr>
          <w:rFonts w:ascii="Arial Narrow" w:hAnsi="Arial Narrow"/>
          <w:sz w:val="16"/>
        </w:rPr>
      </w:pPr>
      <w:r w:rsidRPr="007609DC">
        <w:rPr>
          <w:rFonts w:ascii="Arial Narrow" w:hAnsi="Arial Narrow"/>
          <w:sz w:val="16"/>
        </w:rPr>
        <w:t>a</w:t>
      </w:r>
      <w:r w:rsidRPr="007609DC">
        <w:rPr>
          <w:rFonts w:ascii="Arial Narrow" w:hAnsi="Arial Narrow"/>
          <w:sz w:val="16"/>
        </w:rPr>
        <w:tab/>
      </w:r>
      <w:r w:rsidRPr="00D5488A">
        <w:rPr>
          <w:rFonts w:ascii="Arial Narrow" w:hAnsi="Arial Narrow"/>
          <w:sz w:val="16"/>
        </w:rPr>
        <w:t xml:space="preserve">Due to changes of address or loss, for example. </w:t>
      </w:r>
    </w:p>
    <w:p w14:paraId="4D2A0C86" w14:textId="77777777" w:rsidR="00860F8E" w:rsidRPr="00D5488A" w:rsidRDefault="00860F8E" w:rsidP="00860F8E">
      <w:pPr>
        <w:keepLines/>
        <w:spacing w:before="60" w:after="0"/>
        <w:ind w:left="284" w:hanging="284"/>
        <w:rPr>
          <w:rFonts w:ascii="Arial Narrow" w:hAnsi="Arial Narrow"/>
          <w:sz w:val="16"/>
        </w:rPr>
      </w:pPr>
      <w:r w:rsidRPr="00D5488A">
        <w:rPr>
          <w:rFonts w:ascii="Arial Narrow" w:hAnsi="Arial Narrow"/>
          <w:sz w:val="16"/>
        </w:rPr>
        <w:t>b</w:t>
      </w:r>
      <w:r w:rsidRPr="00D5488A">
        <w:rPr>
          <w:rFonts w:ascii="Arial Narrow" w:hAnsi="Arial Narrow"/>
          <w:sz w:val="16"/>
        </w:rPr>
        <w:tab/>
        <w:t>These totals are at 2 July 2017, not 30 June 2017, due to the way data are extracted from the data processing system. Given that only weekend dates occurred between 30 June and 2 July, it is assumed that the number of reservations on 2 July was close or identical to the number on 30 June.</w:t>
      </w:r>
    </w:p>
    <w:p w14:paraId="612F51F9" w14:textId="77777777" w:rsidR="00860F8E" w:rsidRPr="00D5488A" w:rsidRDefault="00860F8E" w:rsidP="00860F8E">
      <w:pPr>
        <w:keepLines/>
        <w:spacing w:before="60" w:after="0"/>
        <w:ind w:left="284" w:hanging="284"/>
        <w:rPr>
          <w:rFonts w:ascii="Arial Narrow" w:hAnsi="Arial Narrow"/>
          <w:sz w:val="16"/>
        </w:rPr>
      </w:pPr>
      <w:r>
        <w:rPr>
          <w:rFonts w:ascii="Arial Narrow" w:hAnsi="Arial Narrow"/>
          <w:sz w:val="16"/>
        </w:rPr>
        <w:t>c</w:t>
      </w:r>
      <w:r w:rsidRPr="00D5488A">
        <w:rPr>
          <w:rFonts w:ascii="Arial Narrow" w:hAnsi="Arial Narrow"/>
          <w:sz w:val="16"/>
        </w:rPr>
        <w:tab/>
        <w:t xml:space="preserve">Reservations of registration marks and reissues of certificates of registration figures are derived from </w:t>
      </w:r>
      <w:r w:rsidRPr="00546FFB">
        <w:rPr>
          <w:rFonts w:ascii="Arial Narrow" w:hAnsi="Arial Narrow"/>
          <w:sz w:val="16"/>
        </w:rPr>
        <w:t xml:space="preserve">European Aviation Processing </w:t>
      </w:r>
      <w:r>
        <w:rPr>
          <w:rFonts w:ascii="Arial Narrow" w:hAnsi="Arial Narrow"/>
          <w:sz w:val="16"/>
        </w:rPr>
        <w:t>(</w:t>
      </w:r>
      <w:r w:rsidRPr="00D5488A">
        <w:rPr>
          <w:rFonts w:ascii="Arial Narrow" w:hAnsi="Arial Narrow"/>
          <w:sz w:val="16"/>
        </w:rPr>
        <w:t>EAP</w:t>
      </w:r>
      <w:r>
        <w:rPr>
          <w:rFonts w:ascii="Arial Narrow" w:hAnsi="Arial Narrow"/>
          <w:sz w:val="16"/>
        </w:rPr>
        <w:t>)</w:t>
      </w:r>
      <w:r w:rsidRPr="00D5488A">
        <w:rPr>
          <w:rFonts w:ascii="Arial Narrow" w:hAnsi="Arial Narrow"/>
          <w:sz w:val="16"/>
        </w:rPr>
        <w:t xml:space="preserve"> workflow data</w:t>
      </w:r>
      <w:r>
        <w:rPr>
          <w:rFonts w:ascii="Arial Narrow" w:hAnsi="Arial Narrow"/>
          <w:sz w:val="16"/>
        </w:rPr>
        <w:t>.</w:t>
      </w:r>
    </w:p>
    <w:p w14:paraId="6F68A528" w14:textId="77777777" w:rsidR="00860F8E" w:rsidRPr="00D5488A" w:rsidRDefault="00860F8E" w:rsidP="00860F8E">
      <w:pPr>
        <w:keepLines/>
        <w:spacing w:before="60" w:after="360"/>
        <w:ind w:left="284" w:hanging="284"/>
        <w:rPr>
          <w:rFonts w:ascii="Arial Narrow" w:hAnsi="Arial Narrow"/>
          <w:sz w:val="16"/>
        </w:rPr>
      </w:pPr>
      <w:r w:rsidRPr="006D3297">
        <w:rPr>
          <w:rFonts w:ascii="Arial Narrow" w:hAnsi="Arial Narrow"/>
          <w:sz w:val="16"/>
          <w:szCs w:val="16"/>
        </w:rPr>
        <w:t>d</w:t>
      </w:r>
      <w:r w:rsidRPr="00D5488A">
        <w:rPr>
          <w:rFonts w:ascii="Arial Narrow" w:hAnsi="Arial Narrow"/>
          <w:b/>
          <w:sz w:val="20"/>
          <w:vertAlign w:val="superscript"/>
        </w:rPr>
        <w:tab/>
      </w:r>
      <w:r>
        <w:rPr>
          <w:rFonts w:ascii="Arial Narrow" w:hAnsi="Arial Narrow"/>
          <w:sz w:val="16"/>
        </w:rPr>
        <w:t>This total is</w:t>
      </w:r>
      <w:r w:rsidRPr="00D5488A">
        <w:rPr>
          <w:rFonts w:ascii="Arial Narrow" w:hAnsi="Arial Narrow"/>
          <w:sz w:val="16"/>
        </w:rPr>
        <w:t xml:space="preserve"> at 1 Jul</w:t>
      </w:r>
      <w:r>
        <w:rPr>
          <w:rFonts w:ascii="Arial Narrow" w:hAnsi="Arial Narrow"/>
          <w:sz w:val="16"/>
        </w:rPr>
        <w:t>y</w:t>
      </w:r>
      <w:r w:rsidRPr="00D5488A">
        <w:rPr>
          <w:rFonts w:ascii="Arial Narrow" w:hAnsi="Arial Narrow"/>
          <w:sz w:val="16"/>
        </w:rPr>
        <w:t xml:space="preserve"> 2018 and not 30 Jun</w:t>
      </w:r>
      <w:r>
        <w:rPr>
          <w:rFonts w:ascii="Arial Narrow" w:hAnsi="Arial Narrow"/>
          <w:sz w:val="16"/>
        </w:rPr>
        <w:t>e</w:t>
      </w:r>
      <w:r w:rsidRPr="00D5488A">
        <w:rPr>
          <w:rFonts w:ascii="Arial Narrow" w:hAnsi="Arial Narrow"/>
          <w:sz w:val="16"/>
        </w:rPr>
        <w:t xml:space="preserve"> 2018. This is due to difficulties in backdating mark reservations in EAP. It is assumed that the number of reservations as at 1 Jul</w:t>
      </w:r>
      <w:r>
        <w:rPr>
          <w:rFonts w:ascii="Arial Narrow" w:hAnsi="Arial Narrow"/>
          <w:sz w:val="16"/>
        </w:rPr>
        <w:t>y</w:t>
      </w:r>
      <w:r w:rsidRPr="00D5488A">
        <w:rPr>
          <w:rFonts w:ascii="Arial Narrow" w:hAnsi="Arial Narrow"/>
          <w:sz w:val="16"/>
        </w:rPr>
        <w:t xml:space="preserve"> 2018 is close or </w:t>
      </w:r>
      <w:r>
        <w:rPr>
          <w:rFonts w:ascii="Arial Narrow" w:hAnsi="Arial Narrow"/>
          <w:sz w:val="16"/>
        </w:rPr>
        <w:t xml:space="preserve">identical to the number on </w:t>
      </w:r>
      <w:r w:rsidRPr="00D5488A">
        <w:rPr>
          <w:rFonts w:ascii="Arial Narrow" w:hAnsi="Arial Narrow"/>
          <w:sz w:val="16"/>
        </w:rPr>
        <w:t>30 Jun</w:t>
      </w:r>
      <w:r>
        <w:rPr>
          <w:rFonts w:ascii="Arial Narrow" w:hAnsi="Arial Narrow"/>
          <w:sz w:val="16"/>
        </w:rPr>
        <w:t>e</w:t>
      </w:r>
      <w:r w:rsidRPr="00D5488A">
        <w:rPr>
          <w:rFonts w:ascii="Arial Narrow" w:hAnsi="Arial Narrow"/>
          <w:sz w:val="16"/>
        </w:rPr>
        <w:t xml:space="preserve"> (given that only one weekend day occurs between the dates</w:t>
      </w:r>
      <w:r>
        <w:rPr>
          <w:rFonts w:ascii="Arial Narrow" w:hAnsi="Arial Narrow"/>
          <w:sz w:val="16"/>
        </w:rPr>
        <w:t>).</w:t>
      </w:r>
    </w:p>
    <w:p w14:paraId="1C94D85C" w14:textId="77777777" w:rsidR="00860F8E" w:rsidRPr="00C473FA" w:rsidRDefault="00860F8E" w:rsidP="00860F8E">
      <w:pPr>
        <w:spacing w:after="0"/>
        <w:rPr>
          <w:rFonts w:ascii="Times New Roman" w:eastAsia="Times New Roman" w:hAnsi="Times New Roman"/>
          <w:szCs w:val="24"/>
          <w:lang w:eastAsia="en-AU"/>
        </w:rPr>
      </w:pPr>
    </w:p>
    <w:p w14:paraId="153CF965" w14:textId="77777777" w:rsidR="00860F8E" w:rsidRPr="00C473FA" w:rsidRDefault="00860F8E" w:rsidP="00860F8E">
      <w:pPr>
        <w:sectPr w:rsidR="00860F8E" w:rsidRPr="00C473FA" w:rsidSect="002E1C33">
          <w:pgSz w:w="11906" w:h="16838"/>
          <w:pgMar w:top="851" w:right="1440" w:bottom="1440" w:left="1440" w:header="708" w:footer="708" w:gutter="0"/>
          <w:cols w:space="708"/>
          <w:docGrid w:linePitch="360"/>
        </w:sectPr>
      </w:pPr>
    </w:p>
    <w:p w14:paraId="5F386577" w14:textId="77777777" w:rsidR="00860F8E" w:rsidRDefault="00860F8E" w:rsidP="00860F8E">
      <w:pPr>
        <w:keepNext/>
        <w:ind w:left="1440" w:hanging="1440"/>
        <w:rPr>
          <w:rFonts w:ascii="Arial Narrow" w:eastAsia="Times New Roman" w:hAnsi="Arial Narrow"/>
          <w:b/>
          <w:color w:val="0099CC"/>
          <w:u w:color="0099CC"/>
        </w:rPr>
      </w:pPr>
      <w:r w:rsidRPr="00E35B2E">
        <w:rPr>
          <w:rFonts w:ascii="Arial Narrow" w:eastAsia="Times New Roman" w:hAnsi="Arial Narrow"/>
          <w:b/>
          <w:color w:val="4472C4" w:themeColor="accent1"/>
          <w:u w:color="0099CC"/>
        </w:rPr>
        <w:lastRenderedPageBreak/>
        <w:t>Table A.13</w:t>
      </w:r>
      <w:r w:rsidRPr="00E35B2E">
        <w:rPr>
          <w:rFonts w:ascii="Arial Narrow" w:eastAsia="Times New Roman" w:hAnsi="Arial Narrow"/>
          <w:b/>
          <w:color w:val="4472C4" w:themeColor="accent1"/>
          <w:u w:color="0099CC"/>
        </w:rPr>
        <w:tab/>
        <w:t>Average age of the Australian fleet of civil aircraft at 30 June 2018</w:t>
      </w:r>
    </w:p>
    <w:tbl>
      <w:tblPr>
        <w:tblW w:w="5000" w:type="pct"/>
        <w:tblInd w:w="2" w:type="dxa"/>
        <w:tblCellMar>
          <w:left w:w="0" w:type="dxa"/>
          <w:right w:w="0" w:type="dxa"/>
        </w:tblCellMar>
        <w:tblLook w:val="04A0" w:firstRow="1" w:lastRow="0" w:firstColumn="1" w:lastColumn="0" w:noHBand="0" w:noVBand="1"/>
      </w:tblPr>
      <w:tblGrid>
        <w:gridCol w:w="1615"/>
        <w:gridCol w:w="929"/>
        <w:gridCol w:w="1547"/>
        <w:gridCol w:w="890"/>
        <w:gridCol w:w="937"/>
        <w:gridCol w:w="848"/>
        <w:gridCol w:w="848"/>
        <w:gridCol w:w="848"/>
        <w:gridCol w:w="848"/>
        <w:gridCol w:w="848"/>
        <w:gridCol w:w="848"/>
        <w:gridCol w:w="848"/>
        <w:gridCol w:w="848"/>
        <w:gridCol w:w="867"/>
        <w:gridCol w:w="857"/>
      </w:tblGrid>
      <w:tr w:rsidR="00860F8E" w14:paraId="2E841A60" w14:textId="77777777" w:rsidTr="0018215A">
        <w:trPr>
          <w:trHeight w:val="525"/>
          <w:tblHeader/>
        </w:trPr>
        <w:tc>
          <w:tcPr>
            <w:tcW w:w="6720" w:type="dxa"/>
            <w:gridSpan w:val="5"/>
            <w:tcBorders>
              <w:top w:val="single" w:sz="8" w:space="0" w:color="auto"/>
              <w:left w:val="single" w:sz="8" w:space="0" w:color="auto"/>
              <w:bottom w:val="single" w:sz="8" w:space="0" w:color="auto"/>
              <w:right w:val="single" w:sz="8" w:space="0" w:color="000000"/>
            </w:tcBorders>
            <w:shd w:val="clear" w:color="auto" w:fill="969696"/>
            <w:tcMar>
              <w:top w:w="0" w:type="dxa"/>
              <w:left w:w="108" w:type="dxa"/>
              <w:bottom w:w="0" w:type="dxa"/>
              <w:right w:w="108" w:type="dxa"/>
            </w:tcMar>
            <w:vAlign w:val="center"/>
            <w:hideMark/>
          </w:tcPr>
          <w:p w14:paraId="119974E7" w14:textId="77777777" w:rsidR="00860F8E" w:rsidRDefault="00860F8E" w:rsidP="00EF6063">
            <w:pPr>
              <w:jc w:val="center"/>
              <w:rPr>
                <w:rFonts w:ascii="Arial Narrow" w:hAnsi="Arial Narrow"/>
                <w:b/>
                <w:bCs/>
                <w:color w:val="000000"/>
                <w:sz w:val="17"/>
                <w:szCs w:val="17"/>
                <w:lang w:eastAsia="en-AU"/>
              </w:rPr>
            </w:pPr>
            <w:r>
              <w:rPr>
                <w:rFonts w:ascii="Arial Narrow" w:hAnsi="Arial Narrow"/>
                <w:b/>
                <w:bCs/>
                <w:color w:val="000000"/>
                <w:sz w:val="17"/>
                <w:szCs w:val="17"/>
                <w:lang w:eastAsia="en-AU"/>
              </w:rPr>
              <w:t xml:space="preserve">Aircraft group by airframe and propulsion characteristics </w:t>
            </w:r>
          </w:p>
        </w:tc>
        <w:tc>
          <w:tcPr>
            <w:tcW w:w="960" w:type="dxa"/>
            <w:tcBorders>
              <w:top w:val="single" w:sz="8" w:space="0" w:color="auto"/>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47268042" w14:textId="77777777" w:rsidR="00860F8E" w:rsidRDefault="00860F8E" w:rsidP="00EF6063">
            <w:pPr>
              <w:jc w:val="center"/>
              <w:rPr>
                <w:rFonts w:ascii="Arial Narrow" w:hAnsi="Arial Narrow"/>
                <w:b/>
                <w:bCs/>
                <w:color w:val="000000"/>
                <w:sz w:val="17"/>
                <w:szCs w:val="17"/>
                <w:lang w:eastAsia="en-AU"/>
              </w:rPr>
            </w:pPr>
            <w:r>
              <w:rPr>
                <w:rFonts w:ascii="Arial Narrow" w:hAnsi="Arial Narrow"/>
                <w:b/>
                <w:bCs/>
                <w:color w:val="000000"/>
                <w:sz w:val="17"/>
                <w:szCs w:val="17"/>
                <w:lang w:eastAsia="en-AU"/>
              </w:rPr>
              <w:t>&gt; 56 years</w:t>
            </w:r>
          </w:p>
        </w:tc>
        <w:tc>
          <w:tcPr>
            <w:tcW w:w="960" w:type="dxa"/>
            <w:tcBorders>
              <w:top w:val="single" w:sz="8" w:space="0" w:color="auto"/>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2B13429D" w14:textId="77777777" w:rsidR="00860F8E" w:rsidRDefault="00860F8E" w:rsidP="00EF6063">
            <w:pPr>
              <w:jc w:val="center"/>
              <w:rPr>
                <w:rFonts w:ascii="Arial Narrow" w:hAnsi="Arial Narrow"/>
                <w:b/>
                <w:bCs/>
                <w:color w:val="000000"/>
                <w:sz w:val="17"/>
                <w:szCs w:val="17"/>
                <w:lang w:eastAsia="en-AU"/>
              </w:rPr>
            </w:pPr>
            <w:r>
              <w:rPr>
                <w:rFonts w:ascii="Arial Narrow" w:hAnsi="Arial Narrow"/>
                <w:b/>
                <w:bCs/>
                <w:color w:val="000000"/>
                <w:sz w:val="17"/>
                <w:szCs w:val="17"/>
                <w:lang w:eastAsia="en-AU"/>
              </w:rPr>
              <w:t xml:space="preserve">56–47 years </w:t>
            </w:r>
          </w:p>
        </w:tc>
        <w:tc>
          <w:tcPr>
            <w:tcW w:w="960" w:type="dxa"/>
            <w:tcBorders>
              <w:top w:val="single" w:sz="8" w:space="0" w:color="auto"/>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1CEF4453" w14:textId="77777777" w:rsidR="00860F8E" w:rsidRDefault="00860F8E" w:rsidP="00EF6063">
            <w:pPr>
              <w:jc w:val="center"/>
              <w:rPr>
                <w:rFonts w:ascii="Arial Narrow" w:hAnsi="Arial Narrow"/>
                <w:b/>
                <w:bCs/>
                <w:color w:val="000000"/>
                <w:sz w:val="17"/>
                <w:szCs w:val="17"/>
                <w:lang w:eastAsia="en-AU"/>
              </w:rPr>
            </w:pPr>
            <w:r>
              <w:rPr>
                <w:rFonts w:ascii="Arial Narrow" w:hAnsi="Arial Narrow"/>
                <w:b/>
                <w:bCs/>
                <w:color w:val="000000"/>
                <w:sz w:val="17"/>
                <w:szCs w:val="17"/>
                <w:lang w:eastAsia="en-AU"/>
              </w:rPr>
              <w:t>46–37 years</w:t>
            </w:r>
          </w:p>
        </w:tc>
        <w:tc>
          <w:tcPr>
            <w:tcW w:w="960" w:type="dxa"/>
            <w:tcBorders>
              <w:top w:val="single" w:sz="8" w:space="0" w:color="auto"/>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221CDBFA" w14:textId="77777777" w:rsidR="00860F8E" w:rsidRDefault="00860F8E" w:rsidP="00EF6063">
            <w:pPr>
              <w:jc w:val="center"/>
              <w:rPr>
                <w:rFonts w:ascii="Arial Narrow" w:hAnsi="Arial Narrow"/>
                <w:b/>
                <w:bCs/>
                <w:color w:val="000000"/>
                <w:sz w:val="17"/>
                <w:szCs w:val="17"/>
                <w:lang w:eastAsia="en-AU"/>
              </w:rPr>
            </w:pPr>
            <w:r>
              <w:rPr>
                <w:rFonts w:ascii="Arial Narrow" w:hAnsi="Arial Narrow"/>
                <w:b/>
                <w:bCs/>
                <w:color w:val="000000"/>
                <w:sz w:val="17"/>
                <w:szCs w:val="17"/>
                <w:lang w:eastAsia="en-AU"/>
              </w:rPr>
              <w:t xml:space="preserve">36–27 years </w:t>
            </w:r>
          </w:p>
        </w:tc>
        <w:tc>
          <w:tcPr>
            <w:tcW w:w="960" w:type="dxa"/>
            <w:tcBorders>
              <w:top w:val="single" w:sz="8" w:space="0" w:color="auto"/>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482FC5A9" w14:textId="77777777" w:rsidR="00860F8E" w:rsidRDefault="00860F8E" w:rsidP="00EF6063">
            <w:pPr>
              <w:jc w:val="center"/>
              <w:rPr>
                <w:rFonts w:ascii="Arial Narrow" w:hAnsi="Arial Narrow"/>
                <w:b/>
                <w:bCs/>
                <w:color w:val="000000"/>
                <w:sz w:val="17"/>
                <w:szCs w:val="17"/>
                <w:lang w:eastAsia="en-AU"/>
              </w:rPr>
            </w:pPr>
            <w:r>
              <w:rPr>
                <w:rFonts w:ascii="Arial Narrow" w:hAnsi="Arial Narrow"/>
                <w:b/>
                <w:bCs/>
                <w:color w:val="000000"/>
                <w:sz w:val="17"/>
                <w:szCs w:val="17"/>
                <w:lang w:eastAsia="en-AU"/>
              </w:rPr>
              <w:t xml:space="preserve">26–17 years </w:t>
            </w:r>
          </w:p>
        </w:tc>
        <w:tc>
          <w:tcPr>
            <w:tcW w:w="960" w:type="dxa"/>
            <w:tcBorders>
              <w:top w:val="single" w:sz="8" w:space="0" w:color="auto"/>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6BBEB4F1" w14:textId="77777777" w:rsidR="00860F8E" w:rsidRDefault="00860F8E" w:rsidP="00EF6063">
            <w:pPr>
              <w:jc w:val="center"/>
              <w:rPr>
                <w:rFonts w:ascii="Arial Narrow" w:hAnsi="Arial Narrow"/>
                <w:b/>
                <w:bCs/>
                <w:color w:val="000000"/>
                <w:sz w:val="17"/>
                <w:szCs w:val="17"/>
                <w:lang w:eastAsia="en-AU"/>
              </w:rPr>
            </w:pPr>
            <w:r>
              <w:rPr>
                <w:rFonts w:ascii="Arial Narrow" w:hAnsi="Arial Narrow"/>
                <w:b/>
                <w:bCs/>
                <w:color w:val="000000"/>
                <w:sz w:val="17"/>
                <w:szCs w:val="17"/>
                <w:lang w:eastAsia="en-AU"/>
              </w:rPr>
              <w:t xml:space="preserve">16–7 years </w:t>
            </w:r>
          </w:p>
        </w:tc>
        <w:tc>
          <w:tcPr>
            <w:tcW w:w="960" w:type="dxa"/>
            <w:tcBorders>
              <w:top w:val="single" w:sz="8" w:space="0" w:color="auto"/>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0E306582" w14:textId="77777777" w:rsidR="00860F8E" w:rsidRDefault="00860F8E" w:rsidP="00EF6063">
            <w:pPr>
              <w:jc w:val="center"/>
              <w:rPr>
                <w:rFonts w:ascii="Arial Narrow" w:hAnsi="Arial Narrow"/>
                <w:b/>
                <w:bCs/>
                <w:color w:val="000000"/>
                <w:sz w:val="17"/>
                <w:szCs w:val="17"/>
                <w:lang w:eastAsia="en-AU"/>
              </w:rPr>
            </w:pPr>
            <w:r>
              <w:rPr>
                <w:rFonts w:ascii="Arial Narrow" w:hAnsi="Arial Narrow"/>
                <w:b/>
                <w:bCs/>
                <w:color w:val="000000"/>
                <w:sz w:val="17"/>
                <w:szCs w:val="17"/>
                <w:lang w:eastAsia="en-AU"/>
              </w:rPr>
              <w:t xml:space="preserve">6–2 years </w:t>
            </w:r>
          </w:p>
        </w:tc>
        <w:tc>
          <w:tcPr>
            <w:tcW w:w="960" w:type="dxa"/>
            <w:tcBorders>
              <w:top w:val="single" w:sz="8" w:space="0" w:color="auto"/>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71B2EBB0" w14:textId="77777777" w:rsidR="00860F8E" w:rsidRDefault="00860F8E" w:rsidP="00EF6063">
            <w:pPr>
              <w:jc w:val="center"/>
              <w:rPr>
                <w:rFonts w:ascii="Arial Narrow" w:hAnsi="Arial Narrow"/>
                <w:b/>
                <w:bCs/>
                <w:color w:val="000000"/>
                <w:sz w:val="17"/>
                <w:szCs w:val="17"/>
                <w:lang w:eastAsia="en-AU"/>
              </w:rPr>
            </w:pPr>
            <w:r>
              <w:rPr>
                <w:rFonts w:ascii="Arial Narrow" w:hAnsi="Arial Narrow"/>
                <w:b/>
                <w:bCs/>
                <w:color w:val="000000"/>
                <w:sz w:val="17"/>
                <w:szCs w:val="17"/>
                <w:lang w:eastAsia="en-AU"/>
              </w:rPr>
              <w:t>&lt; 2 years</w:t>
            </w:r>
          </w:p>
        </w:tc>
        <w:tc>
          <w:tcPr>
            <w:tcW w:w="960" w:type="dxa"/>
            <w:tcBorders>
              <w:top w:val="single" w:sz="8" w:space="0" w:color="auto"/>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7808B95E" w14:textId="77777777" w:rsidR="00860F8E" w:rsidRDefault="00860F8E" w:rsidP="00EF6063">
            <w:pPr>
              <w:jc w:val="center"/>
              <w:rPr>
                <w:rFonts w:ascii="Arial Narrow" w:hAnsi="Arial Narrow"/>
                <w:b/>
                <w:bCs/>
                <w:color w:val="000000"/>
                <w:sz w:val="17"/>
                <w:szCs w:val="17"/>
                <w:lang w:eastAsia="en-AU"/>
              </w:rPr>
            </w:pPr>
            <w:r>
              <w:rPr>
                <w:rFonts w:ascii="Arial Narrow" w:hAnsi="Arial Narrow"/>
                <w:b/>
                <w:bCs/>
                <w:color w:val="000000"/>
                <w:sz w:val="17"/>
                <w:szCs w:val="17"/>
                <w:lang w:eastAsia="en-AU"/>
              </w:rPr>
              <w:t>Total by group</w:t>
            </w:r>
          </w:p>
        </w:tc>
        <w:tc>
          <w:tcPr>
            <w:tcW w:w="960" w:type="dxa"/>
            <w:tcBorders>
              <w:top w:val="single" w:sz="8" w:space="0" w:color="auto"/>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01BC43DD" w14:textId="77777777" w:rsidR="00860F8E" w:rsidRDefault="00860F8E" w:rsidP="00EF6063">
            <w:pPr>
              <w:jc w:val="center"/>
              <w:rPr>
                <w:rFonts w:ascii="Arial Narrow" w:hAnsi="Arial Narrow"/>
                <w:b/>
                <w:bCs/>
                <w:color w:val="000000"/>
                <w:sz w:val="17"/>
                <w:szCs w:val="17"/>
                <w:lang w:eastAsia="en-AU"/>
              </w:rPr>
            </w:pPr>
            <w:r>
              <w:rPr>
                <w:rFonts w:ascii="Arial Narrow" w:hAnsi="Arial Narrow"/>
                <w:b/>
                <w:bCs/>
                <w:color w:val="000000"/>
                <w:sz w:val="17"/>
                <w:szCs w:val="17"/>
                <w:lang w:eastAsia="en-AU"/>
              </w:rPr>
              <w:t>% of total fleet</w:t>
            </w:r>
          </w:p>
        </w:tc>
      </w:tr>
      <w:tr w:rsidR="00860F8E" w14:paraId="3A206736" w14:textId="77777777" w:rsidTr="00EF6063">
        <w:trPr>
          <w:trHeight w:val="315"/>
        </w:trPr>
        <w:tc>
          <w:tcPr>
            <w:tcW w:w="6720" w:type="dxa"/>
            <w:gridSpan w:val="5"/>
            <w:tcBorders>
              <w:top w:val="nil"/>
              <w:left w:val="single" w:sz="8" w:space="0" w:color="auto"/>
              <w:bottom w:val="single" w:sz="8" w:space="0" w:color="auto"/>
              <w:right w:val="single" w:sz="8" w:space="0" w:color="000000"/>
            </w:tcBorders>
            <w:shd w:val="clear" w:color="auto" w:fill="C0C0C0"/>
            <w:tcMar>
              <w:top w:w="0" w:type="dxa"/>
              <w:left w:w="108" w:type="dxa"/>
              <w:bottom w:w="0" w:type="dxa"/>
              <w:right w:w="108" w:type="dxa"/>
            </w:tcMar>
            <w:vAlign w:val="center"/>
            <w:hideMark/>
          </w:tcPr>
          <w:p w14:paraId="1CF4AB59"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Gliders</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E30F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9B0C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164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F808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442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3C59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154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105CE"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84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88DA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EDCA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44AE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84AAEBA"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996</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41DE67E"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6.41%</w:t>
            </w:r>
          </w:p>
        </w:tc>
      </w:tr>
      <w:tr w:rsidR="00860F8E" w14:paraId="7D467E2E" w14:textId="77777777" w:rsidTr="00EF6063">
        <w:trPr>
          <w:trHeight w:val="315"/>
        </w:trPr>
        <w:tc>
          <w:tcPr>
            <w:tcW w:w="6720" w:type="dxa"/>
            <w:gridSpan w:val="5"/>
            <w:tcBorders>
              <w:top w:val="nil"/>
              <w:left w:val="single" w:sz="8" w:space="0" w:color="auto"/>
              <w:bottom w:val="single" w:sz="8" w:space="0" w:color="auto"/>
              <w:right w:val="single" w:sz="8" w:space="0" w:color="000000"/>
            </w:tcBorders>
            <w:shd w:val="clear" w:color="auto" w:fill="C0C0C0"/>
            <w:tcMar>
              <w:top w:w="0" w:type="dxa"/>
              <w:left w:w="108" w:type="dxa"/>
              <w:bottom w:w="0" w:type="dxa"/>
              <w:right w:w="108" w:type="dxa"/>
            </w:tcMar>
            <w:vAlign w:val="center"/>
            <w:hideMark/>
          </w:tcPr>
          <w:p w14:paraId="08244AC7"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Powered gliders</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564B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4E78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3821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3320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2354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34B6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14B8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B0CA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90031C4"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282</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781E54C"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1.82</w:t>
            </w:r>
          </w:p>
        </w:tc>
      </w:tr>
      <w:tr w:rsidR="00860F8E" w14:paraId="01E1D095" w14:textId="77777777" w:rsidTr="00EF6063">
        <w:trPr>
          <w:trHeight w:val="315"/>
        </w:trPr>
        <w:tc>
          <w:tcPr>
            <w:tcW w:w="6720" w:type="dxa"/>
            <w:gridSpan w:val="5"/>
            <w:tcBorders>
              <w:top w:val="nil"/>
              <w:left w:val="single" w:sz="8" w:space="0" w:color="auto"/>
              <w:bottom w:val="single" w:sz="8" w:space="0" w:color="auto"/>
              <w:right w:val="single" w:sz="8" w:space="0" w:color="000000"/>
            </w:tcBorders>
            <w:shd w:val="clear" w:color="auto" w:fill="C0C0C0"/>
            <w:tcMar>
              <w:top w:w="0" w:type="dxa"/>
              <w:left w:w="108" w:type="dxa"/>
              <w:bottom w:w="0" w:type="dxa"/>
              <w:right w:w="108" w:type="dxa"/>
            </w:tcMar>
            <w:vAlign w:val="center"/>
            <w:hideMark/>
          </w:tcPr>
          <w:p w14:paraId="1463A84B"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Balloons</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C093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A066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56B1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98BE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8C1D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92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1DD7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139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97E6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91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26E3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35</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9CBF592"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423</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098D2F6"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2.72</w:t>
            </w:r>
          </w:p>
        </w:tc>
      </w:tr>
      <w:tr w:rsidR="00860F8E" w14:paraId="4B386ACB" w14:textId="77777777" w:rsidTr="00EF6063">
        <w:trPr>
          <w:trHeight w:val="315"/>
        </w:trPr>
        <w:tc>
          <w:tcPr>
            <w:tcW w:w="6720" w:type="dxa"/>
            <w:gridSpan w:val="5"/>
            <w:tcBorders>
              <w:top w:val="nil"/>
              <w:left w:val="single" w:sz="8" w:space="0" w:color="auto"/>
              <w:bottom w:val="nil"/>
              <w:right w:val="single" w:sz="8" w:space="0" w:color="000000"/>
            </w:tcBorders>
            <w:shd w:val="clear" w:color="auto" w:fill="C0C0C0"/>
            <w:tcMar>
              <w:top w:w="0" w:type="dxa"/>
              <w:left w:w="108" w:type="dxa"/>
              <w:bottom w:w="0" w:type="dxa"/>
              <w:right w:w="108" w:type="dxa"/>
            </w:tcMar>
            <w:vAlign w:val="center"/>
            <w:hideMark/>
          </w:tcPr>
          <w:p w14:paraId="4F0B93DC"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Airships</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438F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97B3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9155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4B06E"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12F2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B823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EDFD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E9BA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EA6B123"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BE64029"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0.01</w:t>
            </w:r>
          </w:p>
        </w:tc>
      </w:tr>
      <w:tr w:rsidR="00860F8E" w14:paraId="2C99E1EE" w14:textId="77777777" w:rsidTr="00EF6063">
        <w:trPr>
          <w:trHeight w:val="315"/>
        </w:trPr>
        <w:tc>
          <w:tcPr>
            <w:tcW w:w="6720" w:type="dxa"/>
            <w:gridSpan w:val="5"/>
            <w:tcBorders>
              <w:top w:val="single" w:sz="8" w:space="0" w:color="auto"/>
              <w:left w:val="single" w:sz="8" w:space="0" w:color="auto"/>
              <w:bottom w:val="single" w:sz="8" w:space="0" w:color="auto"/>
              <w:right w:val="single" w:sz="8" w:space="0" w:color="000000"/>
            </w:tcBorders>
            <w:shd w:val="clear" w:color="auto" w:fill="C0C0C0"/>
            <w:tcMar>
              <w:top w:w="0" w:type="dxa"/>
              <w:left w:w="108" w:type="dxa"/>
              <w:bottom w:w="0" w:type="dxa"/>
              <w:right w:w="108" w:type="dxa"/>
            </w:tcMar>
            <w:vAlign w:val="center"/>
            <w:hideMark/>
          </w:tcPr>
          <w:p w14:paraId="4E65B800"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RPAS</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0B21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BF66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8275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A9D6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5865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F45E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167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BF79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246566F"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F6EE6D3"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0.01</w:t>
            </w:r>
          </w:p>
        </w:tc>
      </w:tr>
      <w:tr w:rsidR="00860F8E" w14:paraId="68F685F7" w14:textId="77777777" w:rsidTr="00EF6063">
        <w:trPr>
          <w:trHeight w:val="315"/>
        </w:trPr>
        <w:tc>
          <w:tcPr>
            <w:tcW w:w="1920" w:type="dxa"/>
            <w:vMerge w:val="restart"/>
            <w:tcBorders>
              <w:top w:val="nil"/>
              <w:left w:val="single" w:sz="8" w:space="0" w:color="auto"/>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267D208F"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Amateur-built aircraft</w:t>
            </w:r>
          </w:p>
        </w:tc>
        <w:tc>
          <w:tcPr>
            <w:tcW w:w="960" w:type="dxa"/>
            <w:vMerge w:val="restart"/>
            <w:tcBorders>
              <w:top w:val="nil"/>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2956D129"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Aeroplane</w:t>
            </w:r>
          </w:p>
        </w:tc>
        <w:tc>
          <w:tcPr>
            <w:tcW w:w="2880" w:type="dxa"/>
            <w:gridSpan w:val="2"/>
            <w:vMerge w:val="restart"/>
            <w:tcBorders>
              <w:top w:val="nil"/>
              <w:left w:val="nil"/>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02A2E91D"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Single-engine</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ED5C17F"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Diesel</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CF55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BD62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46D9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C18C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EB67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A29CE"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2770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C8A4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AA0BA21"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31147A7"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0.01</w:t>
            </w:r>
          </w:p>
        </w:tc>
      </w:tr>
      <w:tr w:rsidR="00860F8E" w14:paraId="1CF4EC5A"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547E4CB1"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0C50F4BA" w14:textId="77777777" w:rsidR="00860F8E" w:rsidRPr="00ED5E53" w:rsidRDefault="00860F8E" w:rsidP="00EF6063">
            <w:pPr>
              <w:rPr>
                <w:rFonts w:ascii="Arial Narrow" w:hAnsi="Arial Narrow" w:cs="Calibri"/>
                <w:color w:val="000000"/>
                <w:sz w:val="17"/>
                <w:szCs w:val="17"/>
                <w:lang w:eastAsia="en-AU"/>
              </w:rPr>
            </w:pPr>
          </w:p>
        </w:tc>
        <w:tc>
          <w:tcPr>
            <w:tcW w:w="0" w:type="auto"/>
            <w:gridSpan w:val="2"/>
            <w:vMerge/>
            <w:tcBorders>
              <w:top w:val="nil"/>
              <w:left w:val="nil"/>
              <w:bottom w:val="single" w:sz="8" w:space="0" w:color="000000"/>
              <w:right w:val="single" w:sz="8" w:space="0" w:color="000000"/>
            </w:tcBorders>
            <w:vAlign w:val="center"/>
            <w:hideMark/>
          </w:tcPr>
          <w:p w14:paraId="18C92F8E"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93225F6"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Piston</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7443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15AA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ED27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78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D025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126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0692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365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FB07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531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1021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A362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49</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48C2B11"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1,386</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05D0E28"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8.93</w:t>
            </w:r>
          </w:p>
        </w:tc>
      </w:tr>
      <w:tr w:rsidR="00860F8E" w14:paraId="7D51E378"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7B1BE7AC"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7893AD6A" w14:textId="77777777" w:rsidR="00860F8E" w:rsidRPr="00ED5E53" w:rsidRDefault="00860F8E" w:rsidP="00EF6063">
            <w:pPr>
              <w:rPr>
                <w:rFonts w:ascii="Arial Narrow" w:hAnsi="Arial Narrow" w:cs="Calibri"/>
                <w:color w:val="000000"/>
                <w:sz w:val="17"/>
                <w:szCs w:val="17"/>
                <w:lang w:eastAsia="en-AU"/>
              </w:rPr>
            </w:pPr>
          </w:p>
        </w:tc>
        <w:tc>
          <w:tcPr>
            <w:tcW w:w="0" w:type="auto"/>
            <w:gridSpan w:val="2"/>
            <w:vMerge/>
            <w:tcBorders>
              <w:top w:val="nil"/>
              <w:left w:val="nil"/>
              <w:bottom w:val="single" w:sz="8" w:space="0" w:color="000000"/>
              <w:right w:val="single" w:sz="8" w:space="0" w:color="000000"/>
            </w:tcBorders>
            <w:vAlign w:val="center"/>
            <w:hideMark/>
          </w:tcPr>
          <w:p w14:paraId="5470A621"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0A22C1D"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Turboprop</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30C2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545A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DD9AE"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4C30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A9CB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AE2A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6407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4E61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89C8CD3"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4</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8D34D87"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0.03</w:t>
            </w:r>
          </w:p>
        </w:tc>
      </w:tr>
      <w:tr w:rsidR="00860F8E" w14:paraId="5B8E63CF"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499071F9"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45712F34" w14:textId="77777777" w:rsidR="00860F8E" w:rsidRPr="00ED5E53" w:rsidRDefault="00860F8E" w:rsidP="00EF6063">
            <w:pPr>
              <w:rPr>
                <w:rFonts w:ascii="Arial Narrow" w:hAnsi="Arial Narrow" w:cs="Calibri"/>
                <w:color w:val="000000"/>
                <w:sz w:val="17"/>
                <w:szCs w:val="17"/>
                <w:lang w:eastAsia="en-AU"/>
              </w:rPr>
            </w:pPr>
          </w:p>
        </w:tc>
        <w:tc>
          <w:tcPr>
            <w:tcW w:w="0" w:type="auto"/>
            <w:gridSpan w:val="2"/>
            <w:vMerge/>
            <w:tcBorders>
              <w:top w:val="nil"/>
              <w:left w:val="nil"/>
              <w:bottom w:val="single" w:sz="8" w:space="0" w:color="000000"/>
              <w:right w:val="single" w:sz="8" w:space="0" w:color="000000"/>
            </w:tcBorders>
            <w:vAlign w:val="center"/>
            <w:hideMark/>
          </w:tcPr>
          <w:p w14:paraId="222CBE40"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98B675B"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Jet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8DA2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72BE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BBC7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A1DF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D36F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1B90E"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5317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6905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9DC6725"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2</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76DD4ED"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0.01</w:t>
            </w:r>
          </w:p>
        </w:tc>
      </w:tr>
      <w:tr w:rsidR="00860F8E" w14:paraId="4DE3962B"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0097E2A1"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5DDDF994" w14:textId="77777777" w:rsidR="00860F8E" w:rsidRPr="00ED5E53" w:rsidRDefault="00860F8E" w:rsidP="00EF6063">
            <w:pPr>
              <w:rPr>
                <w:rFonts w:ascii="Arial Narrow" w:hAnsi="Arial Narrow" w:cs="Calibri"/>
                <w:color w:val="000000"/>
                <w:sz w:val="17"/>
                <w:szCs w:val="17"/>
                <w:lang w:eastAsia="en-AU"/>
              </w:rPr>
            </w:pPr>
          </w:p>
        </w:tc>
        <w:tc>
          <w:tcPr>
            <w:tcW w:w="0" w:type="auto"/>
            <w:gridSpan w:val="2"/>
            <w:vMerge/>
            <w:tcBorders>
              <w:top w:val="nil"/>
              <w:left w:val="nil"/>
              <w:bottom w:val="single" w:sz="8" w:space="0" w:color="000000"/>
              <w:right w:val="single" w:sz="8" w:space="0" w:color="000000"/>
            </w:tcBorders>
            <w:vAlign w:val="center"/>
            <w:hideMark/>
          </w:tcPr>
          <w:p w14:paraId="27BC7A5C"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4AEE754"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Rotary</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D351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9A5D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B183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C04C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F9B7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AE61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8CD8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0919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71E7C37"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7901788"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0.01</w:t>
            </w:r>
          </w:p>
        </w:tc>
      </w:tr>
      <w:tr w:rsidR="00860F8E" w14:paraId="1CCE104A"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2F04E0B0"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692C9D72" w14:textId="77777777" w:rsidR="00860F8E" w:rsidRPr="00ED5E53" w:rsidRDefault="00860F8E" w:rsidP="00EF6063">
            <w:pPr>
              <w:rPr>
                <w:rFonts w:ascii="Arial Narrow" w:hAnsi="Arial Narrow" w:cs="Calibri"/>
                <w:color w:val="000000"/>
                <w:sz w:val="17"/>
                <w:szCs w:val="17"/>
                <w:lang w:eastAsia="en-AU"/>
              </w:rPr>
            </w:pPr>
          </w:p>
        </w:tc>
        <w:tc>
          <w:tcPr>
            <w:tcW w:w="2880" w:type="dxa"/>
            <w:gridSpan w:val="2"/>
            <w:vMerge w:val="restart"/>
            <w:tcBorders>
              <w:top w:val="nil"/>
              <w:left w:val="nil"/>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6FA112A0"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Multi-engine</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15479C4"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Piston</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00E9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BE3F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6189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9E47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EAF5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9EEC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A356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F02C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4CAC179"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16CFA61"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0.06</w:t>
            </w:r>
          </w:p>
        </w:tc>
      </w:tr>
      <w:tr w:rsidR="00860F8E" w14:paraId="76915B7B"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2853B170"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2DCAE543" w14:textId="77777777" w:rsidR="00860F8E" w:rsidRPr="00ED5E53" w:rsidRDefault="00860F8E" w:rsidP="00EF6063">
            <w:pPr>
              <w:rPr>
                <w:rFonts w:ascii="Arial Narrow" w:hAnsi="Arial Narrow" w:cs="Calibri"/>
                <w:color w:val="000000"/>
                <w:sz w:val="17"/>
                <w:szCs w:val="17"/>
                <w:lang w:eastAsia="en-AU"/>
              </w:rPr>
            </w:pPr>
          </w:p>
        </w:tc>
        <w:tc>
          <w:tcPr>
            <w:tcW w:w="0" w:type="auto"/>
            <w:gridSpan w:val="2"/>
            <w:vMerge/>
            <w:tcBorders>
              <w:top w:val="nil"/>
              <w:left w:val="nil"/>
              <w:bottom w:val="single" w:sz="8" w:space="0" w:color="000000"/>
              <w:right w:val="single" w:sz="8" w:space="0" w:color="000000"/>
            </w:tcBorders>
            <w:vAlign w:val="center"/>
            <w:hideMark/>
          </w:tcPr>
          <w:p w14:paraId="5BCA116E"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20B9DD9"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Jet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3757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DEB6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DEAA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0B15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F01F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B012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8E7D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35B3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C0EBEE4"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CBE2B57"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0.01</w:t>
            </w:r>
          </w:p>
        </w:tc>
      </w:tr>
      <w:tr w:rsidR="00860F8E" w14:paraId="75F8B78E"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416F6456" w14:textId="77777777" w:rsidR="00860F8E" w:rsidRPr="00ED5E53" w:rsidRDefault="00860F8E" w:rsidP="00EF6063">
            <w:pPr>
              <w:rPr>
                <w:rFonts w:ascii="Arial Narrow" w:hAnsi="Arial Narrow" w:cs="Calibri"/>
                <w:color w:val="000000"/>
                <w:sz w:val="17"/>
                <w:szCs w:val="17"/>
                <w:lang w:eastAsia="en-AU"/>
              </w:rPr>
            </w:pPr>
          </w:p>
        </w:tc>
        <w:tc>
          <w:tcPr>
            <w:tcW w:w="3840" w:type="dxa"/>
            <w:gridSpan w:val="3"/>
            <w:vMerge w:val="restart"/>
            <w:tcBorders>
              <w:top w:val="nil"/>
              <w:left w:val="nil"/>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69690B62"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Helicopter</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DE6AE20"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Diesel</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307A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A29AE"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DA3A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CBE7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307C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D907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D04A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803B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9D41C50"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94EFACF"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0.01</w:t>
            </w:r>
          </w:p>
        </w:tc>
      </w:tr>
      <w:tr w:rsidR="00860F8E" w14:paraId="6A12B1D5"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61A6B30D" w14:textId="77777777" w:rsidR="00860F8E" w:rsidRPr="00ED5E53" w:rsidRDefault="00860F8E" w:rsidP="00EF6063">
            <w:pPr>
              <w:rPr>
                <w:rFonts w:ascii="Arial Narrow" w:hAnsi="Arial Narrow" w:cs="Calibri"/>
                <w:color w:val="000000"/>
                <w:sz w:val="17"/>
                <w:szCs w:val="17"/>
                <w:lang w:eastAsia="en-AU"/>
              </w:rPr>
            </w:pPr>
          </w:p>
        </w:tc>
        <w:tc>
          <w:tcPr>
            <w:tcW w:w="0" w:type="auto"/>
            <w:gridSpan w:val="3"/>
            <w:vMerge/>
            <w:tcBorders>
              <w:top w:val="nil"/>
              <w:left w:val="nil"/>
              <w:bottom w:val="single" w:sz="8" w:space="0" w:color="000000"/>
              <w:right w:val="single" w:sz="8" w:space="0" w:color="000000"/>
            </w:tcBorders>
            <w:vAlign w:val="center"/>
            <w:hideMark/>
          </w:tcPr>
          <w:p w14:paraId="532FEC4A"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088A24E"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Piston</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778D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4406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776E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93A5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FB47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BB83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6CE4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356E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01993BE"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92</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0459FDC"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0.59</w:t>
            </w:r>
          </w:p>
        </w:tc>
      </w:tr>
      <w:tr w:rsidR="00860F8E" w14:paraId="446104CC"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6A3D1C55" w14:textId="77777777" w:rsidR="00860F8E" w:rsidRPr="00ED5E53" w:rsidRDefault="00860F8E" w:rsidP="00EF6063">
            <w:pPr>
              <w:rPr>
                <w:rFonts w:ascii="Arial Narrow" w:hAnsi="Arial Narrow" w:cs="Calibri"/>
                <w:color w:val="000000"/>
                <w:sz w:val="17"/>
                <w:szCs w:val="17"/>
                <w:lang w:eastAsia="en-AU"/>
              </w:rPr>
            </w:pPr>
          </w:p>
        </w:tc>
        <w:tc>
          <w:tcPr>
            <w:tcW w:w="0" w:type="auto"/>
            <w:gridSpan w:val="3"/>
            <w:vMerge/>
            <w:tcBorders>
              <w:top w:val="nil"/>
              <w:left w:val="nil"/>
              <w:bottom w:val="single" w:sz="8" w:space="0" w:color="000000"/>
              <w:right w:val="single" w:sz="8" w:space="0" w:color="000000"/>
            </w:tcBorders>
            <w:vAlign w:val="center"/>
            <w:hideMark/>
          </w:tcPr>
          <w:p w14:paraId="4574CE8E"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D250A15"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Turboshaft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0A21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6493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43B3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0B01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F60B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EB6A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1306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9D6A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B4D71BA"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14</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510E655"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0.09</w:t>
            </w:r>
          </w:p>
        </w:tc>
      </w:tr>
      <w:tr w:rsidR="00860F8E" w14:paraId="028FA339" w14:textId="77777777" w:rsidTr="00EF6063">
        <w:trPr>
          <w:trHeight w:val="315"/>
        </w:trPr>
        <w:tc>
          <w:tcPr>
            <w:tcW w:w="1920" w:type="dxa"/>
            <w:vMerge w:val="restart"/>
            <w:tcBorders>
              <w:top w:val="nil"/>
              <w:left w:val="single" w:sz="8" w:space="0" w:color="auto"/>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5901EF9B"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Production aircraft</w:t>
            </w:r>
          </w:p>
        </w:tc>
        <w:tc>
          <w:tcPr>
            <w:tcW w:w="960" w:type="dxa"/>
            <w:vMerge w:val="restart"/>
            <w:tcBorders>
              <w:top w:val="nil"/>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3A5203EC"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Helicopter</w:t>
            </w:r>
          </w:p>
        </w:tc>
        <w:tc>
          <w:tcPr>
            <w:tcW w:w="2880" w:type="dxa"/>
            <w:gridSpan w:val="2"/>
            <w:vMerge w:val="restart"/>
            <w:tcBorders>
              <w:top w:val="nil"/>
              <w:left w:val="nil"/>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776D3CD0"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Single-engine</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4C2EDBA"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Piston</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6BD4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83C4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DA12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C067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146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1175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174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A28A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663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718D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147</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FC49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58</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775E924"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1,299</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17DCF89"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8.36</w:t>
            </w:r>
          </w:p>
        </w:tc>
      </w:tr>
      <w:tr w:rsidR="00860F8E" w14:paraId="08639166"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5B757D46"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4553CFC8" w14:textId="77777777" w:rsidR="00860F8E" w:rsidRPr="00ED5E53" w:rsidRDefault="00860F8E" w:rsidP="00EF6063">
            <w:pPr>
              <w:rPr>
                <w:rFonts w:ascii="Arial Narrow" w:hAnsi="Arial Narrow" w:cs="Calibri"/>
                <w:color w:val="000000"/>
                <w:sz w:val="17"/>
                <w:szCs w:val="17"/>
                <w:lang w:eastAsia="en-AU"/>
              </w:rPr>
            </w:pPr>
          </w:p>
        </w:tc>
        <w:tc>
          <w:tcPr>
            <w:tcW w:w="0" w:type="auto"/>
            <w:gridSpan w:val="2"/>
            <w:vMerge/>
            <w:tcBorders>
              <w:top w:val="nil"/>
              <w:left w:val="nil"/>
              <w:bottom w:val="single" w:sz="8" w:space="0" w:color="000000"/>
              <w:right w:val="single" w:sz="8" w:space="0" w:color="000000"/>
            </w:tcBorders>
            <w:vAlign w:val="center"/>
            <w:hideMark/>
          </w:tcPr>
          <w:p w14:paraId="3B5704F9"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4668BB8"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Turboshaft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ABB5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25DA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000C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186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7B3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126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3809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8175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99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518B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1D45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78CA9E2"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582</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A5E22A2"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3.75</w:t>
            </w:r>
          </w:p>
        </w:tc>
      </w:tr>
      <w:tr w:rsidR="00D7488E" w14:paraId="4033AB3A" w14:textId="77777777" w:rsidTr="00EF6063">
        <w:trPr>
          <w:trHeight w:val="525"/>
        </w:trPr>
        <w:tc>
          <w:tcPr>
            <w:tcW w:w="0" w:type="auto"/>
            <w:vMerge/>
            <w:tcBorders>
              <w:top w:val="nil"/>
              <w:left w:val="single" w:sz="8" w:space="0" w:color="auto"/>
              <w:bottom w:val="single" w:sz="8" w:space="0" w:color="000000"/>
              <w:right w:val="single" w:sz="8" w:space="0" w:color="000000"/>
            </w:tcBorders>
            <w:vAlign w:val="center"/>
            <w:hideMark/>
          </w:tcPr>
          <w:p w14:paraId="6ECDA2EF"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61F0A375" w14:textId="77777777" w:rsidR="00860F8E" w:rsidRPr="00ED5E53" w:rsidRDefault="00860F8E" w:rsidP="00EF6063">
            <w:pPr>
              <w:rPr>
                <w:rFonts w:ascii="Arial Narrow" w:hAnsi="Arial Narrow" w:cs="Calibri"/>
                <w:color w:val="000000"/>
                <w:sz w:val="17"/>
                <w:szCs w:val="17"/>
                <w:lang w:eastAsia="en-AU"/>
              </w:rPr>
            </w:pPr>
          </w:p>
        </w:tc>
        <w:tc>
          <w:tcPr>
            <w:tcW w:w="1920" w:type="dxa"/>
            <w:vMerge w:val="restart"/>
            <w:tcBorders>
              <w:top w:val="nil"/>
              <w:left w:val="nil"/>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67BBAA6D"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Multi-engine</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585F928"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Up to 5,700 Kg MTOW</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FB43A0B"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Turboshaft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3688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EB7A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9222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FA50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BEC1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D1EA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E910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EFD5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4E97169"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181</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AB08037"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1.17</w:t>
            </w:r>
          </w:p>
        </w:tc>
      </w:tr>
      <w:tr w:rsidR="00D7488E" w14:paraId="0B80876D" w14:textId="77777777" w:rsidTr="00EF6063">
        <w:trPr>
          <w:trHeight w:val="525"/>
        </w:trPr>
        <w:tc>
          <w:tcPr>
            <w:tcW w:w="0" w:type="auto"/>
            <w:vMerge/>
            <w:tcBorders>
              <w:top w:val="nil"/>
              <w:left w:val="single" w:sz="8" w:space="0" w:color="auto"/>
              <w:bottom w:val="single" w:sz="8" w:space="0" w:color="000000"/>
              <w:right w:val="single" w:sz="8" w:space="0" w:color="000000"/>
            </w:tcBorders>
            <w:vAlign w:val="center"/>
            <w:hideMark/>
          </w:tcPr>
          <w:p w14:paraId="193CA378"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4657EC70"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000000"/>
            </w:tcBorders>
            <w:vAlign w:val="center"/>
            <w:hideMark/>
          </w:tcPr>
          <w:p w14:paraId="36166738"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482A3B7"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Over 5,700 Kg MTOW</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2CF6B2F"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Turboshaft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FE3C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162B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4ED2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A055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BF29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53FE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27</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04BBE"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689E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7</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C15EAAB"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98</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FD863FB"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0.63</w:t>
            </w:r>
          </w:p>
        </w:tc>
      </w:tr>
      <w:tr w:rsidR="00D7488E" w14:paraId="126F98EB"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5CD82202" w14:textId="77777777" w:rsidR="00860F8E" w:rsidRPr="00ED5E53" w:rsidRDefault="00860F8E" w:rsidP="00EF6063">
            <w:pPr>
              <w:rPr>
                <w:rFonts w:ascii="Arial Narrow" w:hAnsi="Arial Narrow" w:cs="Calibri"/>
                <w:color w:val="000000"/>
                <w:sz w:val="17"/>
                <w:szCs w:val="17"/>
                <w:lang w:eastAsia="en-AU"/>
              </w:rPr>
            </w:pPr>
          </w:p>
        </w:tc>
        <w:tc>
          <w:tcPr>
            <w:tcW w:w="960" w:type="dxa"/>
            <w:vMerge w:val="restart"/>
            <w:tcBorders>
              <w:top w:val="nil"/>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6A9D9684"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Aeroplane</w:t>
            </w:r>
          </w:p>
        </w:tc>
        <w:tc>
          <w:tcPr>
            <w:tcW w:w="1920" w:type="dxa"/>
            <w:vMerge w:val="restart"/>
            <w:tcBorders>
              <w:top w:val="nil"/>
              <w:left w:val="nil"/>
              <w:bottom w:val="nil"/>
              <w:right w:val="single" w:sz="8" w:space="0" w:color="000000"/>
            </w:tcBorders>
            <w:shd w:val="clear" w:color="auto" w:fill="C0C0C0"/>
            <w:tcMar>
              <w:top w:w="0" w:type="dxa"/>
              <w:left w:w="108" w:type="dxa"/>
              <w:bottom w:w="0" w:type="dxa"/>
              <w:right w:w="108" w:type="dxa"/>
            </w:tcMar>
            <w:vAlign w:val="center"/>
            <w:hideMark/>
          </w:tcPr>
          <w:p w14:paraId="3AA44675"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Single-engine</w:t>
            </w:r>
          </w:p>
        </w:tc>
        <w:tc>
          <w:tcPr>
            <w:tcW w:w="960" w:type="dxa"/>
            <w:vMerge w:val="restart"/>
            <w:tcBorders>
              <w:top w:val="nil"/>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4B2FBDAF"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Up to 5,700 Kg MTOW</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18CD1D9"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Diesel</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B1B3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F0AD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F5F2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29EE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608A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71CF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E832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A1FB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A0FCAA8"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6</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ADE6FB1"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0.04</w:t>
            </w:r>
          </w:p>
        </w:tc>
      </w:tr>
      <w:tr w:rsidR="00D7488E" w14:paraId="5CD48AD0"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5E4A2B03"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5E610268"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nil"/>
              <w:right w:val="single" w:sz="8" w:space="0" w:color="000000"/>
            </w:tcBorders>
            <w:vAlign w:val="center"/>
            <w:hideMark/>
          </w:tcPr>
          <w:p w14:paraId="4AA63456"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653297F0"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0FBC414"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Piston</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E10B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1,214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3904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1,459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2A0D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2,869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09ED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433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B407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422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4768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694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3477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8C1A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70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2DAB47B"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7,286</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B4ABA29"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46.92</w:t>
            </w:r>
          </w:p>
        </w:tc>
      </w:tr>
      <w:tr w:rsidR="00D7488E" w14:paraId="09E8C1FC"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60DE382F"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481E4F1F"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nil"/>
              <w:right w:val="single" w:sz="8" w:space="0" w:color="000000"/>
            </w:tcBorders>
            <w:vAlign w:val="center"/>
            <w:hideMark/>
          </w:tcPr>
          <w:p w14:paraId="4DCE2F41"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79F7A607"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CA95D72"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Turboprop</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29E7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693C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FEAA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A96D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A4F9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124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CFDC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108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0503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1820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12</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0953329"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379</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6D87AB9"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2.44</w:t>
            </w:r>
          </w:p>
        </w:tc>
      </w:tr>
      <w:tr w:rsidR="00D7488E" w14:paraId="1253BCE5"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41668B8E"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1604AA78"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nil"/>
              <w:right w:val="single" w:sz="8" w:space="0" w:color="000000"/>
            </w:tcBorders>
            <w:vAlign w:val="center"/>
            <w:hideMark/>
          </w:tcPr>
          <w:p w14:paraId="4C0C75F0"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151568CF"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16280E6"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Jet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7DE2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18B7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FB78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0C6C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7A3F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A913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31F8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CC7B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AD6C399"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49</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C1A91AF"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0.32</w:t>
            </w:r>
          </w:p>
        </w:tc>
      </w:tr>
      <w:tr w:rsidR="00D7488E" w14:paraId="439E6D83"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31825A42"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70CD713D"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nil"/>
              <w:right w:val="single" w:sz="8" w:space="0" w:color="000000"/>
            </w:tcBorders>
            <w:vAlign w:val="center"/>
            <w:hideMark/>
          </w:tcPr>
          <w:p w14:paraId="147E1425" w14:textId="77777777" w:rsidR="00860F8E" w:rsidRPr="00ED5E53" w:rsidRDefault="00860F8E" w:rsidP="00EF6063">
            <w:pPr>
              <w:rPr>
                <w:rFonts w:ascii="Arial Narrow" w:hAnsi="Arial Narrow" w:cs="Calibri"/>
                <w:color w:val="000000"/>
                <w:sz w:val="17"/>
                <w:szCs w:val="17"/>
                <w:lang w:eastAsia="en-AU"/>
              </w:rPr>
            </w:pPr>
          </w:p>
        </w:tc>
        <w:tc>
          <w:tcPr>
            <w:tcW w:w="960" w:type="dxa"/>
            <w:vMerge w:val="restart"/>
            <w:tcBorders>
              <w:top w:val="nil"/>
              <w:left w:val="nil"/>
              <w:bottom w:val="nil"/>
              <w:right w:val="single" w:sz="8" w:space="0" w:color="auto"/>
            </w:tcBorders>
            <w:shd w:val="clear" w:color="auto" w:fill="C0C0C0"/>
            <w:tcMar>
              <w:top w:w="0" w:type="dxa"/>
              <w:left w:w="108" w:type="dxa"/>
              <w:bottom w:w="0" w:type="dxa"/>
              <w:right w:w="108" w:type="dxa"/>
            </w:tcMar>
            <w:vAlign w:val="center"/>
            <w:hideMark/>
          </w:tcPr>
          <w:p w14:paraId="43D780F8"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Over 5,700 Kg MTOW</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D7B8668"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Piston</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0153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B3CE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DDF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BF0F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93D2E"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CDFAE"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E0B7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B051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E9E040F"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4</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F0EBE12"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0.03</w:t>
            </w:r>
          </w:p>
        </w:tc>
      </w:tr>
      <w:tr w:rsidR="00D7488E" w14:paraId="0763E478"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2FDC248A"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2B7295D4"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nil"/>
              <w:right w:val="single" w:sz="8" w:space="0" w:color="000000"/>
            </w:tcBorders>
            <w:vAlign w:val="center"/>
            <w:hideMark/>
          </w:tcPr>
          <w:p w14:paraId="65EABBBB"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nil"/>
              <w:right w:val="single" w:sz="8" w:space="0" w:color="auto"/>
            </w:tcBorders>
            <w:vAlign w:val="center"/>
            <w:hideMark/>
          </w:tcPr>
          <w:p w14:paraId="7930ED57"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50E1ED6"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Turboprop</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1D7D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387F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2DAA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C0C8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A075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85C1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19CC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8172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00DB226"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83</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8783A5E"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0.53</w:t>
            </w:r>
          </w:p>
        </w:tc>
      </w:tr>
      <w:tr w:rsidR="00D7488E" w14:paraId="1F60FA45"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1E408B8A"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2D35EC99"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nil"/>
              <w:right w:val="single" w:sz="8" w:space="0" w:color="000000"/>
            </w:tcBorders>
            <w:vAlign w:val="center"/>
            <w:hideMark/>
          </w:tcPr>
          <w:p w14:paraId="08C27DA8"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nil"/>
              <w:right w:val="single" w:sz="8" w:space="0" w:color="auto"/>
            </w:tcBorders>
            <w:vAlign w:val="center"/>
            <w:hideMark/>
          </w:tcPr>
          <w:p w14:paraId="285B41DE"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FFA9F17"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Jet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60D1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1467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8D03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7D1E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C463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D6CE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81FC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8F0B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598407B"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5</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CEE5C8A"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0.03</w:t>
            </w:r>
          </w:p>
        </w:tc>
      </w:tr>
      <w:tr w:rsidR="00D7488E" w14:paraId="45EA37DB"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666DDE43"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1FF4AF32" w14:textId="77777777" w:rsidR="00860F8E" w:rsidRPr="00ED5E53" w:rsidRDefault="00860F8E" w:rsidP="00EF6063">
            <w:pPr>
              <w:rPr>
                <w:rFonts w:ascii="Arial Narrow" w:hAnsi="Arial Narrow" w:cs="Calibri"/>
                <w:color w:val="000000"/>
                <w:sz w:val="17"/>
                <w:szCs w:val="17"/>
                <w:lang w:eastAsia="en-AU"/>
              </w:rPr>
            </w:pPr>
          </w:p>
        </w:tc>
        <w:tc>
          <w:tcPr>
            <w:tcW w:w="1920" w:type="dxa"/>
            <w:vMerge w:val="restart"/>
            <w:tcBorders>
              <w:top w:val="single" w:sz="8" w:space="0" w:color="auto"/>
              <w:left w:val="nil"/>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08F1D880"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Multi-engine</w:t>
            </w:r>
          </w:p>
        </w:tc>
        <w:tc>
          <w:tcPr>
            <w:tcW w:w="960" w:type="dxa"/>
            <w:vMerge w:val="restart"/>
            <w:tcBorders>
              <w:top w:val="single" w:sz="8" w:space="0" w:color="auto"/>
              <w:left w:val="nil"/>
              <w:bottom w:val="nil"/>
              <w:right w:val="single" w:sz="8" w:space="0" w:color="auto"/>
            </w:tcBorders>
            <w:shd w:val="clear" w:color="auto" w:fill="C0C0C0"/>
            <w:tcMar>
              <w:top w:w="0" w:type="dxa"/>
              <w:left w:w="108" w:type="dxa"/>
              <w:bottom w:w="0" w:type="dxa"/>
              <w:right w:w="108" w:type="dxa"/>
            </w:tcMar>
            <w:vAlign w:val="center"/>
            <w:hideMark/>
          </w:tcPr>
          <w:p w14:paraId="410B56FB"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Up to 5,700 Kg MTOW</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B14A2AA"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Diesel</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388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2C57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D92E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9CF1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A3BC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3673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C0FA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290D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15AF035"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5</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8BDD6E8"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0.03</w:t>
            </w:r>
          </w:p>
        </w:tc>
      </w:tr>
      <w:tr w:rsidR="00D7488E" w14:paraId="268E21F1"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456DAD07"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1B93CD3F"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000000"/>
            </w:tcBorders>
            <w:vAlign w:val="center"/>
            <w:hideMark/>
          </w:tcPr>
          <w:p w14:paraId="1035AC5A"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nil"/>
              <w:right w:val="single" w:sz="8" w:space="0" w:color="auto"/>
            </w:tcBorders>
            <w:vAlign w:val="center"/>
            <w:hideMark/>
          </w:tcPr>
          <w:p w14:paraId="7621B097"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5807E08"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Piston</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F9F0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5544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F9F4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756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E656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B90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7FE6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6E25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5532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13</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633160C"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1,188</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0E183E8"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7.65</w:t>
            </w:r>
          </w:p>
        </w:tc>
      </w:tr>
      <w:tr w:rsidR="00D7488E" w14:paraId="756E2C4E"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35B8D90B"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0F6B4135"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000000"/>
            </w:tcBorders>
            <w:vAlign w:val="center"/>
            <w:hideMark/>
          </w:tcPr>
          <w:p w14:paraId="20B1494D"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nil"/>
              <w:right w:val="single" w:sz="8" w:space="0" w:color="auto"/>
            </w:tcBorders>
            <w:vAlign w:val="center"/>
            <w:hideMark/>
          </w:tcPr>
          <w:p w14:paraId="4C55C78B"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1D4FEA8"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Turboprop</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A40B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22DA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7</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D88AE"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78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1331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27FF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48C9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3210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7</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5DF2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64ED96D"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201</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9F7E08C"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1.29</w:t>
            </w:r>
          </w:p>
        </w:tc>
      </w:tr>
      <w:tr w:rsidR="00D7488E" w14:paraId="07D0FBD5"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1EA69730"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7802C0CF"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000000"/>
            </w:tcBorders>
            <w:vAlign w:val="center"/>
            <w:hideMark/>
          </w:tcPr>
          <w:p w14:paraId="1CABC421"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nil"/>
              <w:right w:val="single" w:sz="8" w:space="0" w:color="auto"/>
            </w:tcBorders>
            <w:vAlign w:val="center"/>
            <w:hideMark/>
          </w:tcPr>
          <w:p w14:paraId="048FF471"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1A14D59"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Jet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10EF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73BE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296B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7</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BC27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12C7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7</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3E97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1177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EB70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6EF7BCE"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39</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C6D4A86"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0.25</w:t>
            </w:r>
          </w:p>
        </w:tc>
      </w:tr>
      <w:tr w:rsidR="00D7488E" w14:paraId="06B36046"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7759C54F"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49F36AF9"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000000"/>
            </w:tcBorders>
            <w:vAlign w:val="center"/>
            <w:hideMark/>
          </w:tcPr>
          <w:p w14:paraId="1A5BB54A" w14:textId="77777777" w:rsidR="00860F8E" w:rsidRPr="00ED5E53" w:rsidRDefault="00860F8E" w:rsidP="00EF6063">
            <w:pPr>
              <w:rPr>
                <w:rFonts w:ascii="Arial Narrow" w:hAnsi="Arial Narrow" w:cs="Calibri"/>
                <w:color w:val="000000"/>
                <w:sz w:val="17"/>
                <w:szCs w:val="17"/>
                <w:lang w:eastAsia="en-AU"/>
              </w:rPr>
            </w:pPr>
          </w:p>
        </w:tc>
        <w:tc>
          <w:tcPr>
            <w:tcW w:w="960" w:type="dxa"/>
            <w:vMerge w:val="restart"/>
            <w:tcBorders>
              <w:top w:val="single" w:sz="8" w:space="0" w:color="auto"/>
              <w:left w:val="nil"/>
              <w:bottom w:val="nil"/>
              <w:right w:val="single" w:sz="8" w:space="0" w:color="auto"/>
            </w:tcBorders>
            <w:shd w:val="clear" w:color="auto" w:fill="C0C0C0"/>
            <w:tcMar>
              <w:top w:w="0" w:type="dxa"/>
              <w:left w:w="108" w:type="dxa"/>
              <w:bottom w:w="0" w:type="dxa"/>
              <w:right w:w="108" w:type="dxa"/>
            </w:tcMar>
            <w:vAlign w:val="center"/>
            <w:hideMark/>
          </w:tcPr>
          <w:p w14:paraId="4B46A1C3"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5,701 to 20,000 Kg MTOW</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FB8936C"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Piston</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C916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3810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9A42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AAE5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F923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9ABB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C590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F3B9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92D69CB"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26</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E406017"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0.17</w:t>
            </w:r>
          </w:p>
        </w:tc>
      </w:tr>
      <w:tr w:rsidR="00D7488E" w14:paraId="37D78FA9"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2A81121B"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34A063E3"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000000"/>
            </w:tcBorders>
            <w:vAlign w:val="center"/>
            <w:hideMark/>
          </w:tcPr>
          <w:p w14:paraId="0824B949"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nil"/>
              <w:right w:val="single" w:sz="8" w:space="0" w:color="auto"/>
            </w:tcBorders>
            <w:vAlign w:val="center"/>
            <w:hideMark/>
          </w:tcPr>
          <w:p w14:paraId="03E4D361"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C8DEA01"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Turboprop</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72A4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E318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EB70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036B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1280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110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8C0C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842E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C2D2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24D0DB4"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226</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11398BF"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1.46</w:t>
            </w:r>
          </w:p>
        </w:tc>
      </w:tr>
      <w:tr w:rsidR="00D7488E" w14:paraId="5429308F"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63AF09AE"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4D133665"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000000"/>
            </w:tcBorders>
            <w:vAlign w:val="center"/>
            <w:hideMark/>
          </w:tcPr>
          <w:p w14:paraId="751AA6E4"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nil"/>
              <w:right w:val="single" w:sz="8" w:space="0" w:color="auto"/>
            </w:tcBorders>
            <w:vAlign w:val="center"/>
            <w:hideMark/>
          </w:tcPr>
          <w:p w14:paraId="1A816FBE"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2A889B0"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Jet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7119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A69A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4146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0245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DE9E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4134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426A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C377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4491692"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102</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2F38B07"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0.66</w:t>
            </w:r>
          </w:p>
        </w:tc>
      </w:tr>
      <w:tr w:rsidR="00D7488E" w14:paraId="44D30EBA"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4B38AD73"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5862FAE7"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000000"/>
            </w:tcBorders>
            <w:vAlign w:val="center"/>
            <w:hideMark/>
          </w:tcPr>
          <w:p w14:paraId="68405FDC" w14:textId="77777777" w:rsidR="00860F8E" w:rsidRPr="00ED5E53" w:rsidRDefault="00860F8E" w:rsidP="00EF6063">
            <w:pPr>
              <w:rPr>
                <w:rFonts w:ascii="Arial Narrow" w:hAnsi="Arial Narrow" w:cs="Calibri"/>
                <w:color w:val="000000"/>
                <w:sz w:val="17"/>
                <w:szCs w:val="17"/>
                <w:lang w:eastAsia="en-AU"/>
              </w:rPr>
            </w:pPr>
          </w:p>
        </w:tc>
        <w:tc>
          <w:tcPr>
            <w:tcW w:w="960" w:type="dxa"/>
            <w:vMerge w:val="restart"/>
            <w:tcBorders>
              <w:top w:val="single" w:sz="8" w:space="0" w:color="auto"/>
              <w:left w:val="nil"/>
              <w:bottom w:val="nil"/>
              <w:right w:val="single" w:sz="8" w:space="0" w:color="auto"/>
            </w:tcBorders>
            <w:shd w:val="clear" w:color="auto" w:fill="C0C0C0"/>
            <w:tcMar>
              <w:top w:w="0" w:type="dxa"/>
              <w:left w:w="108" w:type="dxa"/>
              <w:bottom w:w="0" w:type="dxa"/>
              <w:right w:w="108" w:type="dxa"/>
            </w:tcMar>
            <w:vAlign w:val="center"/>
            <w:hideMark/>
          </w:tcPr>
          <w:p w14:paraId="08AA6300"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20,001 to 50,000 Kg MTOW</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BA4B5F1"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Piston</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4A83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5C1F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DCF0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B49C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95CA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3A5C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C28A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0424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9DC16DA"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6</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B65A0B5"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0.04</w:t>
            </w:r>
          </w:p>
        </w:tc>
      </w:tr>
      <w:tr w:rsidR="00D7488E" w14:paraId="39EB50BD"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6FE8E0A4"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53FEE312"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000000"/>
            </w:tcBorders>
            <w:vAlign w:val="center"/>
            <w:hideMark/>
          </w:tcPr>
          <w:p w14:paraId="745A0E2A"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nil"/>
              <w:right w:val="single" w:sz="8" w:space="0" w:color="auto"/>
            </w:tcBorders>
            <w:vAlign w:val="center"/>
            <w:hideMark/>
          </w:tcPr>
          <w:p w14:paraId="3DDE5F4A"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6FA6171"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Turboprop</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8F17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310C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894B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EF1B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B2E1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47FA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1085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A156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0C3C698"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57</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1A67536"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0.37</w:t>
            </w:r>
          </w:p>
        </w:tc>
      </w:tr>
      <w:tr w:rsidR="00D7488E" w14:paraId="093A7680"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13853E60"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79B6A8EF"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000000"/>
            </w:tcBorders>
            <w:vAlign w:val="center"/>
            <w:hideMark/>
          </w:tcPr>
          <w:p w14:paraId="6F7BE4A3"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nil"/>
              <w:right w:val="single" w:sz="8" w:space="0" w:color="auto"/>
            </w:tcBorders>
            <w:vAlign w:val="center"/>
            <w:hideMark/>
          </w:tcPr>
          <w:p w14:paraId="7EFF3F51"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12CFB3E"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Jet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F33E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69EC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5EFD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DEF4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39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071A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4A96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37B74"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4036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59386C6"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135</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7A6132E"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0.87</w:t>
            </w:r>
          </w:p>
        </w:tc>
      </w:tr>
      <w:tr w:rsidR="00D7488E" w14:paraId="026D5C6C" w14:textId="77777777" w:rsidTr="00EF6063">
        <w:trPr>
          <w:trHeight w:val="450"/>
        </w:trPr>
        <w:tc>
          <w:tcPr>
            <w:tcW w:w="0" w:type="auto"/>
            <w:vMerge/>
            <w:tcBorders>
              <w:top w:val="nil"/>
              <w:left w:val="single" w:sz="8" w:space="0" w:color="auto"/>
              <w:bottom w:val="single" w:sz="8" w:space="0" w:color="000000"/>
              <w:right w:val="single" w:sz="8" w:space="0" w:color="000000"/>
            </w:tcBorders>
            <w:vAlign w:val="center"/>
            <w:hideMark/>
          </w:tcPr>
          <w:p w14:paraId="22E0B51D"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2190DE3F"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000000"/>
            </w:tcBorders>
            <w:vAlign w:val="center"/>
            <w:hideMark/>
          </w:tcPr>
          <w:p w14:paraId="4DAAE004" w14:textId="77777777" w:rsidR="00860F8E" w:rsidRPr="00ED5E53" w:rsidRDefault="00860F8E" w:rsidP="00EF6063">
            <w:pPr>
              <w:rPr>
                <w:rFonts w:ascii="Arial Narrow" w:hAnsi="Arial Narrow" w:cs="Calibri"/>
                <w:color w:val="000000"/>
                <w:sz w:val="17"/>
                <w:szCs w:val="17"/>
                <w:lang w:eastAsia="en-AU"/>
              </w:rPr>
            </w:pPr>
          </w:p>
        </w:tc>
        <w:tc>
          <w:tcPr>
            <w:tcW w:w="960" w:type="dxa"/>
            <w:vMerge w:val="restart"/>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2F60DE15"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50,001 to 100,000 Kg MTOW</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234A34C"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Piston</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96205"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2114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D211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A480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A90A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D566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781A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6E420"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ABA7964"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ECFBC07"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0.01</w:t>
            </w:r>
          </w:p>
        </w:tc>
      </w:tr>
      <w:tr w:rsidR="00D7488E" w14:paraId="3C8FBD08" w14:textId="77777777" w:rsidTr="00EF6063">
        <w:trPr>
          <w:trHeight w:val="450"/>
        </w:trPr>
        <w:tc>
          <w:tcPr>
            <w:tcW w:w="0" w:type="auto"/>
            <w:vMerge/>
            <w:tcBorders>
              <w:top w:val="nil"/>
              <w:left w:val="single" w:sz="8" w:space="0" w:color="auto"/>
              <w:bottom w:val="single" w:sz="8" w:space="0" w:color="000000"/>
              <w:right w:val="single" w:sz="8" w:space="0" w:color="000000"/>
            </w:tcBorders>
            <w:vAlign w:val="center"/>
            <w:hideMark/>
          </w:tcPr>
          <w:p w14:paraId="387F42B9"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052F827D"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000000"/>
            </w:tcBorders>
            <w:vAlign w:val="center"/>
            <w:hideMark/>
          </w:tcPr>
          <w:p w14:paraId="0AADA046"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auto"/>
            </w:tcBorders>
            <w:vAlign w:val="center"/>
            <w:hideMark/>
          </w:tcPr>
          <w:p w14:paraId="41EA4D02"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4992CAD"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Turboprop</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3D8B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DC59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1F4E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DA4A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266DE"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1486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4B8D8"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40D51"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BDF7D8B"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7E02247"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0.01</w:t>
            </w:r>
          </w:p>
        </w:tc>
      </w:tr>
      <w:tr w:rsidR="00D7488E" w14:paraId="18DFB547" w14:textId="77777777" w:rsidTr="00EF6063">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7153C16E"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35309DE2"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000000"/>
            </w:tcBorders>
            <w:vAlign w:val="center"/>
            <w:hideMark/>
          </w:tcPr>
          <w:p w14:paraId="2525C9EF"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auto"/>
            </w:tcBorders>
            <w:vAlign w:val="center"/>
            <w:hideMark/>
          </w:tcPr>
          <w:p w14:paraId="35C09FB4"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9BB99FA"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Jet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EE0A3"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CBEBB"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DECF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8A242"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5B8B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28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BE5F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173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262B7"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1D77A"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6</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EB44AB9"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275</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5A36828"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1.77</w:t>
            </w:r>
          </w:p>
        </w:tc>
      </w:tr>
      <w:tr w:rsidR="00D7488E" w14:paraId="5EC18753" w14:textId="77777777" w:rsidTr="00EF6063">
        <w:trPr>
          <w:trHeight w:val="525"/>
        </w:trPr>
        <w:tc>
          <w:tcPr>
            <w:tcW w:w="0" w:type="auto"/>
            <w:vMerge/>
            <w:tcBorders>
              <w:top w:val="nil"/>
              <w:left w:val="single" w:sz="8" w:space="0" w:color="auto"/>
              <w:bottom w:val="single" w:sz="8" w:space="0" w:color="000000"/>
              <w:right w:val="single" w:sz="8" w:space="0" w:color="000000"/>
            </w:tcBorders>
            <w:vAlign w:val="center"/>
            <w:hideMark/>
          </w:tcPr>
          <w:p w14:paraId="593A2A40"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nil"/>
              <w:left w:val="nil"/>
              <w:bottom w:val="single" w:sz="8" w:space="0" w:color="000000"/>
              <w:right w:val="single" w:sz="8" w:space="0" w:color="auto"/>
            </w:tcBorders>
            <w:vAlign w:val="center"/>
            <w:hideMark/>
          </w:tcPr>
          <w:p w14:paraId="2773C1B4" w14:textId="77777777" w:rsidR="00860F8E" w:rsidRPr="00ED5E53" w:rsidRDefault="00860F8E" w:rsidP="00EF6063">
            <w:pPr>
              <w:rPr>
                <w:rFonts w:ascii="Arial Narrow" w:hAnsi="Arial Narrow" w:cs="Calibri"/>
                <w:color w:val="000000"/>
                <w:sz w:val="17"/>
                <w:szCs w:val="17"/>
                <w:lang w:eastAsia="en-AU"/>
              </w:rPr>
            </w:pPr>
          </w:p>
        </w:tc>
        <w:tc>
          <w:tcPr>
            <w:tcW w:w="0" w:type="auto"/>
            <w:vMerge/>
            <w:tcBorders>
              <w:top w:val="single" w:sz="8" w:space="0" w:color="auto"/>
              <w:left w:val="nil"/>
              <w:bottom w:val="single" w:sz="8" w:space="0" w:color="000000"/>
              <w:right w:val="single" w:sz="8" w:space="0" w:color="000000"/>
            </w:tcBorders>
            <w:vAlign w:val="center"/>
            <w:hideMark/>
          </w:tcPr>
          <w:p w14:paraId="1EDAD1D0" w14:textId="77777777" w:rsidR="00860F8E" w:rsidRPr="00ED5E53" w:rsidRDefault="00860F8E" w:rsidP="00EF6063">
            <w:pPr>
              <w:rPr>
                <w:rFonts w:ascii="Arial Narrow" w:hAnsi="Arial Narrow" w:cs="Calibri"/>
                <w:color w:val="000000"/>
                <w:sz w:val="17"/>
                <w:szCs w:val="17"/>
                <w:lang w:eastAsia="en-AU"/>
              </w:rPr>
            </w:pP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BAFCD9D"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Over 100,000 Kg MTOW</w:t>
            </w:r>
          </w:p>
        </w:tc>
        <w:tc>
          <w:tcPr>
            <w:tcW w:w="9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26FCA97" w14:textId="77777777" w:rsidR="00860F8E" w:rsidRDefault="00860F8E" w:rsidP="00EF6063">
            <w:pPr>
              <w:rPr>
                <w:rFonts w:ascii="Arial Narrow" w:hAnsi="Arial Narrow"/>
                <w:color w:val="000000"/>
                <w:sz w:val="17"/>
                <w:szCs w:val="17"/>
                <w:lang w:eastAsia="en-AU"/>
              </w:rPr>
            </w:pPr>
            <w:r>
              <w:rPr>
                <w:rFonts w:ascii="Arial Narrow" w:hAnsi="Arial Narrow"/>
                <w:color w:val="000000"/>
                <w:sz w:val="17"/>
                <w:szCs w:val="17"/>
                <w:lang w:eastAsia="en-AU"/>
              </w:rPr>
              <w:t>Jet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BD26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49C0F"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3939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2AF4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BD876"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C2F9D"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B608C"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18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38B69" w14:textId="77777777" w:rsidR="00860F8E" w:rsidRDefault="00860F8E" w:rsidP="00EF6063">
            <w:pPr>
              <w:jc w:val="center"/>
              <w:rPr>
                <w:rFonts w:ascii="Arial Narrow" w:hAnsi="Arial Narrow"/>
                <w:color w:val="0070C0"/>
                <w:sz w:val="17"/>
                <w:szCs w:val="17"/>
                <w:lang w:eastAsia="en-AU"/>
              </w:rPr>
            </w:pPr>
            <w:r>
              <w:rPr>
                <w:rFonts w:ascii="Arial Narrow" w:hAnsi="Arial Narrow"/>
                <w:color w:val="0070C0"/>
                <w:sz w:val="17"/>
                <w:szCs w:val="17"/>
                <w:lang w:eastAsia="en-AU"/>
              </w:rPr>
              <w:t>5</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7D82FF6"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80</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BB4B646"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0.52</w:t>
            </w:r>
          </w:p>
        </w:tc>
      </w:tr>
      <w:tr w:rsidR="00860F8E" w14:paraId="0EC0512E" w14:textId="77777777" w:rsidTr="00EF6063">
        <w:trPr>
          <w:trHeight w:val="315"/>
        </w:trPr>
        <w:tc>
          <w:tcPr>
            <w:tcW w:w="6720" w:type="dxa"/>
            <w:gridSpan w:val="5"/>
            <w:tcBorders>
              <w:top w:val="nil"/>
              <w:left w:val="single" w:sz="8" w:space="0" w:color="auto"/>
              <w:bottom w:val="single" w:sz="8" w:space="0" w:color="auto"/>
              <w:right w:val="single" w:sz="8" w:space="0" w:color="000000"/>
            </w:tcBorders>
            <w:shd w:val="clear" w:color="auto" w:fill="969696"/>
            <w:tcMar>
              <w:top w:w="0" w:type="dxa"/>
              <w:left w:w="108" w:type="dxa"/>
              <w:bottom w:w="0" w:type="dxa"/>
              <w:right w:w="108" w:type="dxa"/>
            </w:tcMar>
            <w:vAlign w:val="center"/>
            <w:hideMark/>
          </w:tcPr>
          <w:p w14:paraId="41716A92" w14:textId="77777777" w:rsidR="00860F8E" w:rsidRDefault="00860F8E" w:rsidP="00EF6063">
            <w:pPr>
              <w:jc w:val="right"/>
              <w:rPr>
                <w:rFonts w:ascii="Arial Narrow" w:hAnsi="Arial Narrow"/>
                <w:b/>
                <w:bCs/>
                <w:color w:val="000000"/>
                <w:sz w:val="17"/>
                <w:szCs w:val="17"/>
                <w:lang w:eastAsia="en-AU"/>
              </w:rPr>
            </w:pPr>
            <w:r>
              <w:rPr>
                <w:rFonts w:ascii="Arial Narrow" w:hAnsi="Arial Narrow"/>
                <w:b/>
                <w:bCs/>
                <w:color w:val="000000"/>
                <w:sz w:val="17"/>
                <w:szCs w:val="17"/>
                <w:lang w:eastAsia="en-AU"/>
              </w:rPr>
              <w:t>Total by age bracket</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371240B3"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1,398</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5248EED0"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2,019</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52FE8EF5"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4,603</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0ABF2E57"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1,461</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63617135"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1,789</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2C40E189"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2,970</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50191218"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1,001</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6CD80DF0"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288</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379BAD9E"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15,529</w:t>
            </w:r>
          </w:p>
        </w:tc>
        <w:tc>
          <w:tcPr>
            <w:tcW w:w="96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A6062EF" w14:textId="77777777" w:rsidR="00860F8E" w:rsidRDefault="00860F8E" w:rsidP="00EF6063">
            <w:pPr>
              <w:jc w:val="center"/>
              <w:rPr>
                <w:rFonts w:ascii="Arial Narrow" w:hAnsi="Arial Narrow"/>
                <w:b/>
                <w:bCs/>
                <w:color w:val="0070C0"/>
                <w:sz w:val="17"/>
                <w:szCs w:val="17"/>
                <w:lang w:eastAsia="en-AU"/>
              </w:rPr>
            </w:pPr>
          </w:p>
        </w:tc>
      </w:tr>
      <w:tr w:rsidR="00860F8E" w14:paraId="37331724" w14:textId="77777777" w:rsidTr="00EF6063">
        <w:trPr>
          <w:trHeight w:val="315"/>
        </w:trPr>
        <w:tc>
          <w:tcPr>
            <w:tcW w:w="6720" w:type="dxa"/>
            <w:gridSpan w:val="5"/>
            <w:tcBorders>
              <w:top w:val="nil"/>
              <w:left w:val="single" w:sz="8" w:space="0" w:color="auto"/>
              <w:bottom w:val="single" w:sz="8" w:space="0" w:color="auto"/>
              <w:right w:val="single" w:sz="8" w:space="0" w:color="000000"/>
            </w:tcBorders>
            <w:shd w:val="clear" w:color="auto" w:fill="969696"/>
            <w:tcMar>
              <w:top w:w="0" w:type="dxa"/>
              <w:left w:w="108" w:type="dxa"/>
              <w:bottom w:w="0" w:type="dxa"/>
              <w:right w:w="108" w:type="dxa"/>
            </w:tcMar>
            <w:vAlign w:val="center"/>
            <w:hideMark/>
          </w:tcPr>
          <w:p w14:paraId="02F709D6" w14:textId="77777777" w:rsidR="00860F8E" w:rsidRDefault="00860F8E" w:rsidP="00EF6063">
            <w:pPr>
              <w:jc w:val="right"/>
              <w:rPr>
                <w:rFonts w:ascii="Arial Narrow" w:hAnsi="Arial Narrow"/>
                <w:b/>
                <w:bCs/>
                <w:color w:val="000000"/>
                <w:sz w:val="17"/>
                <w:szCs w:val="17"/>
                <w:lang w:eastAsia="en-AU"/>
              </w:rPr>
            </w:pPr>
            <w:r>
              <w:rPr>
                <w:rFonts w:ascii="Arial Narrow" w:hAnsi="Arial Narrow"/>
                <w:b/>
                <w:bCs/>
                <w:color w:val="000000"/>
                <w:sz w:val="17"/>
                <w:szCs w:val="17"/>
                <w:lang w:eastAsia="en-AU"/>
              </w:rPr>
              <w:t>% of total fleet</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5A410C17"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9.00</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0C79B4CA"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13.00</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3419591D"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29.64</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4B7C7C0F"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9.41</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01B03314"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11.52</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5FA441C2"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19.13</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3B7B91DC"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6.45</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0E97825C"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1.85</w:t>
            </w:r>
          </w:p>
        </w:tc>
        <w:tc>
          <w:tcPr>
            <w:tcW w:w="960" w:type="dxa"/>
            <w:tcBorders>
              <w:top w:val="nil"/>
              <w:left w:val="nil"/>
              <w:bottom w:val="single" w:sz="8" w:space="0" w:color="auto"/>
              <w:right w:val="single" w:sz="8" w:space="0" w:color="auto"/>
            </w:tcBorders>
            <w:shd w:val="clear" w:color="auto" w:fill="969696"/>
            <w:tcMar>
              <w:top w:w="0" w:type="dxa"/>
              <w:left w:w="108" w:type="dxa"/>
              <w:bottom w:w="0" w:type="dxa"/>
              <w:right w:w="108" w:type="dxa"/>
            </w:tcMar>
            <w:vAlign w:val="center"/>
            <w:hideMark/>
          </w:tcPr>
          <w:p w14:paraId="6570CA4D"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100.00</w:t>
            </w:r>
          </w:p>
        </w:tc>
        <w:tc>
          <w:tcPr>
            <w:tcW w:w="960" w:type="dxa"/>
            <w:shd w:val="clear" w:color="auto" w:fill="F2F2F2"/>
            <w:tcMar>
              <w:top w:w="0" w:type="dxa"/>
              <w:left w:w="108" w:type="dxa"/>
              <w:bottom w:w="0" w:type="dxa"/>
              <w:right w:w="108" w:type="dxa"/>
            </w:tcMar>
            <w:vAlign w:val="center"/>
            <w:hideMark/>
          </w:tcPr>
          <w:p w14:paraId="330DE5BB" w14:textId="77777777" w:rsidR="00860F8E" w:rsidRDefault="00860F8E" w:rsidP="00EF6063">
            <w:pPr>
              <w:jc w:val="center"/>
              <w:rPr>
                <w:rFonts w:ascii="Arial Narrow" w:hAnsi="Arial Narrow"/>
                <w:b/>
                <w:bCs/>
                <w:color w:val="0070C0"/>
                <w:sz w:val="17"/>
                <w:szCs w:val="17"/>
                <w:lang w:eastAsia="en-AU"/>
              </w:rPr>
            </w:pPr>
            <w:r>
              <w:rPr>
                <w:rFonts w:ascii="Arial Narrow" w:hAnsi="Arial Narrow"/>
                <w:b/>
                <w:bCs/>
                <w:color w:val="0070C0"/>
                <w:sz w:val="17"/>
                <w:szCs w:val="17"/>
                <w:lang w:eastAsia="en-AU"/>
              </w:rPr>
              <w:t> </w:t>
            </w:r>
          </w:p>
        </w:tc>
      </w:tr>
    </w:tbl>
    <w:p w14:paraId="3E0BA29C" w14:textId="77777777" w:rsidR="00860F8E" w:rsidRPr="00C473FA" w:rsidRDefault="00860F8E" w:rsidP="00860F8E">
      <w:pPr>
        <w:tabs>
          <w:tab w:val="left" w:pos="1695"/>
        </w:tabs>
        <w:spacing w:after="0"/>
        <w:rPr>
          <w:rFonts w:ascii="Arial Narrow" w:eastAsia="Times New Roman" w:hAnsi="Arial Narrow"/>
          <w:sz w:val="22"/>
          <w:szCs w:val="22"/>
          <w:lang w:eastAsia="en-AU"/>
        </w:rPr>
        <w:sectPr w:rsidR="00860F8E" w:rsidRPr="00C473FA" w:rsidSect="002E1C33">
          <w:pgSz w:w="16838" w:h="11906" w:orient="landscape"/>
          <w:pgMar w:top="851" w:right="1258" w:bottom="1418" w:left="1134" w:header="709" w:footer="709" w:gutter="0"/>
          <w:cols w:space="708"/>
          <w:docGrid w:linePitch="360"/>
        </w:sectPr>
      </w:pPr>
      <w:r w:rsidRPr="00194BB2">
        <w:rPr>
          <w:rFonts w:ascii="Arial Narrow" w:eastAsia="Times New Roman" w:hAnsi="Arial Narrow"/>
          <w:b/>
          <w:color w:val="000000"/>
          <w:sz w:val="18"/>
          <w:szCs w:val="18"/>
          <w:u w:color="0099CC"/>
        </w:rPr>
        <w:t>Note</w:t>
      </w:r>
      <w:r w:rsidRPr="00194BB2">
        <w:rPr>
          <w:rFonts w:ascii="Arial Narrow" w:eastAsia="Times New Roman" w:hAnsi="Arial Narrow"/>
          <w:color w:val="000000"/>
          <w:sz w:val="18"/>
          <w:szCs w:val="18"/>
          <w:u w:color="0099CC"/>
        </w:rPr>
        <w:t>: MTOW = maximum take-off weight</w:t>
      </w:r>
      <w:r>
        <w:rPr>
          <w:rFonts w:ascii="Arial Narrow" w:eastAsia="Times New Roman" w:hAnsi="Arial Narrow"/>
          <w:color w:val="000000"/>
          <w:sz w:val="18"/>
          <w:szCs w:val="18"/>
          <w:u w:color="0099CC"/>
        </w:rPr>
        <w:t>, RPAS = remotely piloted aircraft systems</w:t>
      </w:r>
    </w:p>
    <w:p w14:paraId="5F6A0F0A" w14:textId="77777777" w:rsidR="00860F8E" w:rsidRPr="00C473FA" w:rsidRDefault="00860F8E" w:rsidP="00860F8E">
      <w:pPr>
        <w:pStyle w:val="TableName"/>
        <w:rPr>
          <w:sz w:val="20"/>
        </w:rPr>
      </w:pPr>
      <w:r w:rsidRPr="00C473FA">
        <w:lastRenderedPageBreak/>
        <w:t>Table A.14</w:t>
      </w:r>
      <w:r w:rsidRPr="00C473FA">
        <w:tab/>
        <w:t>Appointments of airworthiness delegates and authorised persons, 201</w:t>
      </w:r>
      <w:r>
        <w:t>3</w:t>
      </w:r>
      <w:r w:rsidRPr="00C473FA">
        <w:t>–1</w:t>
      </w:r>
      <w:r>
        <w:t>4</w:t>
      </w:r>
      <w:r w:rsidRPr="00C473FA">
        <w:t xml:space="preserve"> to 201</w:t>
      </w:r>
      <w:r>
        <w:t>7</w:t>
      </w:r>
      <w:r w:rsidRPr="00C473FA">
        <w:t>–1</w:t>
      </w:r>
      <w: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4025"/>
        <w:gridCol w:w="999"/>
        <w:gridCol w:w="998"/>
        <w:gridCol w:w="998"/>
        <w:gridCol w:w="998"/>
        <w:gridCol w:w="998"/>
      </w:tblGrid>
      <w:tr w:rsidR="00860F8E" w:rsidRPr="00053FD1" w14:paraId="33842804" w14:textId="77777777" w:rsidTr="005D646B">
        <w:trPr>
          <w:tblHeader/>
        </w:trPr>
        <w:tc>
          <w:tcPr>
            <w:tcW w:w="4137" w:type="dxa"/>
          </w:tcPr>
          <w:p w14:paraId="02CFE0B5" w14:textId="77777777" w:rsidR="00860F8E" w:rsidRPr="005D646B" w:rsidRDefault="00860F8E" w:rsidP="005D646B">
            <w:pPr>
              <w:pStyle w:val="TableText"/>
              <w:rPr>
                <w:b/>
              </w:rPr>
            </w:pPr>
            <w:r w:rsidRPr="005D646B">
              <w:rPr>
                <w:b/>
              </w:rPr>
              <w:t xml:space="preserve"> </w:t>
            </w:r>
            <w:r w:rsidRPr="005D646B">
              <w:rPr>
                <w:b/>
              </w:rPr>
              <w:tab/>
            </w:r>
          </w:p>
        </w:tc>
        <w:tc>
          <w:tcPr>
            <w:tcW w:w="1021" w:type="dxa"/>
          </w:tcPr>
          <w:p w14:paraId="7BEC2CB5" w14:textId="77777777" w:rsidR="00860F8E" w:rsidRPr="005D646B" w:rsidRDefault="00860F8E" w:rsidP="005D646B">
            <w:pPr>
              <w:pStyle w:val="TableText"/>
              <w:rPr>
                <w:b/>
              </w:rPr>
            </w:pPr>
            <w:r w:rsidRPr="005D646B">
              <w:rPr>
                <w:b/>
              </w:rPr>
              <w:t>2013–14</w:t>
            </w:r>
          </w:p>
        </w:tc>
        <w:tc>
          <w:tcPr>
            <w:tcW w:w="1021" w:type="dxa"/>
          </w:tcPr>
          <w:p w14:paraId="2E7C1B5C" w14:textId="77777777" w:rsidR="00860F8E" w:rsidRPr="005D646B" w:rsidRDefault="00860F8E" w:rsidP="005D646B">
            <w:pPr>
              <w:pStyle w:val="TableText"/>
              <w:rPr>
                <w:b/>
              </w:rPr>
            </w:pPr>
            <w:r w:rsidRPr="005D646B">
              <w:rPr>
                <w:b/>
              </w:rPr>
              <w:t>2014–15</w:t>
            </w:r>
          </w:p>
        </w:tc>
        <w:tc>
          <w:tcPr>
            <w:tcW w:w="1021" w:type="dxa"/>
          </w:tcPr>
          <w:p w14:paraId="6A326FB6" w14:textId="77777777" w:rsidR="00860F8E" w:rsidRPr="005D646B" w:rsidRDefault="00860F8E" w:rsidP="005D646B">
            <w:pPr>
              <w:pStyle w:val="TableText"/>
              <w:rPr>
                <w:b/>
              </w:rPr>
            </w:pPr>
            <w:r w:rsidRPr="005D646B">
              <w:rPr>
                <w:b/>
              </w:rPr>
              <w:t>2015–16</w:t>
            </w:r>
          </w:p>
        </w:tc>
        <w:tc>
          <w:tcPr>
            <w:tcW w:w="1021" w:type="dxa"/>
          </w:tcPr>
          <w:p w14:paraId="2BF48A69" w14:textId="77777777" w:rsidR="00860F8E" w:rsidRPr="005D646B" w:rsidRDefault="00860F8E" w:rsidP="005D646B">
            <w:pPr>
              <w:pStyle w:val="TableText"/>
              <w:rPr>
                <w:b/>
              </w:rPr>
            </w:pPr>
            <w:r w:rsidRPr="005D646B">
              <w:rPr>
                <w:b/>
              </w:rPr>
              <w:t>2016–17</w:t>
            </w:r>
          </w:p>
        </w:tc>
        <w:tc>
          <w:tcPr>
            <w:tcW w:w="1021" w:type="dxa"/>
          </w:tcPr>
          <w:p w14:paraId="5F6EAA32" w14:textId="77777777" w:rsidR="00860F8E" w:rsidRPr="005D646B" w:rsidRDefault="00860F8E" w:rsidP="005D646B">
            <w:pPr>
              <w:pStyle w:val="TableText"/>
              <w:rPr>
                <w:b/>
              </w:rPr>
            </w:pPr>
            <w:r w:rsidRPr="005D646B">
              <w:rPr>
                <w:b/>
              </w:rPr>
              <w:t>2017–18</w:t>
            </w:r>
          </w:p>
        </w:tc>
      </w:tr>
      <w:tr w:rsidR="00860F8E" w:rsidRPr="00053FD1" w14:paraId="48EE0E36" w14:textId="77777777" w:rsidTr="00A858B3">
        <w:tc>
          <w:tcPr>
            <w:tcW w:w="9242" w:type="dxa"/>
            <w:gridSpan w:val="6"/>
            <w:shd w:val="clear" w:color="auto" w:fill="E6E6E6"/>
          </w:tcPr>
          <w:p w14:paraId="6FFFF1D9" w14:textId="77777777" w:rsidR="00860F8E" w:rsidRPr="005D646B" w:rsidRDefault="00860F8E" w:rsidP="005D646B">
            <w:pPr>
              <w:pStyle w:val="TableText"/>
              <w:rPr>
                <w:b/>
              </w:rPr>
            </w:pPr>
            <w:r w:rsidRPr="005D646B">
              <w:rPr>
                <w:b/>
              </w:rPr>
              <w:t xml:space="preserve">Appointments excluding </w:t>
            </w:r>
            <w:r w:rsidRPr="005D646B">
              <w:rPr>
                <w:b/>
                <w:lang w:val="en-AU"/>
              </w:rPr>
              <w:t>Civil Aviation Safety Regulations (CASR) subpart 21.M</w:t>
            </w:r>
          </w:p>
        </w:tc>
      </w:tr>
      <w:tr w:rsidR="00860F8E" w:rsidRPr="00053FD1" w14:paraId="5BAAAACD" w14:textId="77777777" w:rsidTr="00A858B3">
        <w:tc>
          <w:tcPr>
            <w:tcW w:w="4137" w:type="dxa"/>
          </w:tcPr>
          <w:p w14:paraId="6FA41B89" w14:textId="77777777" w:rsidR="00860F8E" w:rsidRPr="00053FD1" w:rsidRDefault="00860F8E" w:rsidP="005D646B">
            <w:pPr>
              <w:pStyle w:val="TableText"/>
            </w:pPr>
            <w:r w:rsidRPr="00053FD1">
              <w:t>Initial issue</w:t>
            </w:r>
          </w:p>
        </w:tc>
        <w:tc>
          <w:tcPr>
            <w:tcW w:w="1021" w:type="dxa"/>
          </w:tcPr>
          <w:p w14:paraId="05C14285" w14:textId="77777777" w:rsidR="00860F8E" w:rsidRPr="00053FD1" w:rsidRDefault="00860F8E" w:rsidP="005D646B">
            <w:pPr>
              <w:pStyle w:val="TableText"/>
            </w:pPr>
            <w:r w:rsidRPr="00053FD1">
              <w:rPr>
                <w:color w:val="000000"/>
              </w:rPr>
              <w:t>21</w:t>
            </w:r>
          </w:p>
        </w:tc>
        <w:tc>
          <w:tcPr>
            <w:tcW w:w="1021" w:type="dxa"/>
          </w:tcPr>
          <w:p w14:paraId="6221A395" w14:textId="77777777" w:rsidR="00860F8E" w:rsidRPr="00053FD1" w:rsidRDefault="00860F8E" w:rsidP="005D646B">
            <w:pPr>
              <w:pStyle w:val="TableText"/>
              <w:rPr>
                <w:color w:val="000000"/>
              </w:rPr>
            </w:pPr>
            <w:r w:rsidRPr="00053FD1">
              <w:rPr>
                <w:color w:val="000000"/>
              </w:rPr>
              <w:t>10</w:t>
            </w:r>
          </w:p>
        </w:tc>
        <w:tc>
          <w:tcPr>
            <w:tcW w:w="1021" w:type="dxa"/>
          </w:tcPr>
          <w:p w14:paraId="3F8D7EF8" w14:textId="77777777" w:rsidR="00860F8E" w:rsidRPr="00053FD1" w:rsidRDefault="00860F8E" w:rsidP="005D646B">
            <w:pPr>
              <w:pStyle w:val="TableText"/>
              <w:rPr>
                <w:color w:val="000000"/>
              </w:rPr>
            </w:pPr>
            <w:r w:rsidRPr="00053FD1">
              <w:rPr>
                <w:color w:val="000000"/>
              </w:rPr>
              <w:t>9</w:t>
            </w:r>
          </w:p>
        </w:tc>
        <w:tc>
          <w:tcPr>
            <w:tcW w:w="1021" w:type="dxa"/>
          </w:tcPr>
          <w:p w14:paraId="324CC2E4" w14:textId="77777777" w:rsidR="00860F8E" w:rsidRPr="00053FD1" w:rsidRDefault="00860F8E" w:rsidP="005D646B">
            <w:pPr>
              <w:pStyle w:val="TableText"/>
              <w:rPr>
                <w:color w:val="000000"/>
              </w:rPr>
            </w:pPr>
            <w:r w:rsidRPr="00053FD1">
              <w:rPr>
                <w:color w:val="000000"/>
              </w:rPr>
              <w:t>23</w:t>
            </w:r>
          </w:p>
        </w:tc>
        <w:tc>
          <w:tcPr>
            <w:tcW w:w="1021" w:type="dxa"/>
          </w:tcPr>
          <w:p w14:paraId="45DD73A7" w14:textId="77777777" w:rsidR="00860F8E" w:rsidRPr="00053FD1" w:rsidRDefault="00860F8E" w:rsidP="005D646B">
            <w:pPr>
              <w:pStyle w:val="TableText"/>
            </w:pPr>
            <w:r w:rsidRPr="00053FD1">
              <w:t>21</w:t>
            </w:r>
          </w:p>
        </w:tc>
      </w:tr>
      <w:tr w:rsidR="00860F8E" w:rsidRPr="00053FD1" w14:paraId="0252C1B1" w14:textId="77777777" w:rsidTr="00A858B3">
        <w:tc>
          <w:tcPr>
            <w:tcW w:w="4137" w:type="dxa"/>
          </w:tcPr>
          <w:p w14:paraId="3D677235" w14:textId="77777777" w:rsidR="00860F8E" w:rsidRPr="00053FD1" w:rsidRDefault="00860F8E" w:rsidP="005D646B">
            <w:pPr>
              <w:pStyle w:val="TableText"/>
            </w:pPr>
            <w:r w:rsidRPr="00053FD1">
              <w:t>Subsequent issue</w:t>
            </w:r>
          </w:p>
        </w:tc>
        <w:tc>
          <w:tcPr>
            <w:tcW w:w="1021" w:type="dxa"/>
          </w:tcPr>
          <w:p w14:paraId="44953F22" w14:textId="77777777" w:rsidR="00860F8E" w:rsidRPr="00053FD1" w:rsidRDefault="00860F8E" w:rsidP="005D646B">
            <w:pPr>
              <w:pStyle w:val="TableText"/>
            </w:pPr>
            <w:r w:rsidRPr="00053FD1">
              <w:rPr>
                <w:color w:val="000000"/>
              </w:rPr>
              <w:t>37</w:t>
            </w:r>
          </w:p>
        </w:tc>
        <w:tc>
          <w:tcPr>
            <w:tcW w:w="1021" w:type="dxa"/>
          </w:tcPr>
          <w:p w14:paraId="2CA3DA10" w14:textId="77777777" w:rsidR="00860F8E" w:rsidRPr="00053FD1" w:rsidRDefault="00860F8E" w:rsidP="005D646B">
            <w:pPr>
              <w:pStyle w:val="TableText"/>
              <w:rPr>
                <w:color w:val="000000"/>
              </w:rPr>
            </w:pPr>
            <w:r w:rsidRPr="00053FD1">
              <w:rPr>
                <w:color w:val="000000"/>
              </w:rPr>
              <w:t>39</w:t>
            </w:r>
          </w:p>
        </w:tc>
        <w:tc>
          <w:tcPr>
            <w:tcW w:w="1021" w:type="dxa"/>
          </w:tcPr>
          <w:p w14:paraId="24F16212" w14:textId="77777777" w:rsidR="00860F8E" w:rsidRPr="00053FD1" w:rsidRDefault="00860F8E" w:rsidP="005D646B">
            <w:pPr>
              <w:pStyle w:val="TableText"/>
              <w:rPr>
                <w:color w:val="000000"/>
              </w:rPr>
            </w:pPr>
            <w:r w:rsidRPr="00053FD1">
              <w:rPr>
                <w:color w:val="000000"/>
              </w:rPr>
              <w:t>46</w:t>
            </w:r>
          </w:p>
        </w:tc>
        <w:tc>
          <w:tcPr>
            <w:tcW w:w="1021" w:type="dxa"/>
          </w:tcPr>
          <w:p w14:paraId="5B4C003D" w14:textId="77777777" w:rsidR="00860F8E" w:rsidRPr="00053FD1" w:rsidRDefault="00860F8E" w:rsidP="005D646B">
            <w:pPr>
              <w:pStyle w:val="TableText"/>
              <w:rPr>
                <w:color w:val="000000"/>
              </w:rPr>
            </w:pPr>
            <w:r w:rsidRPr="00053FD1">
              <w:rPr>
                <w:color w:val="000000"/>
              </w:rPr>
              <w:t>37</w:t>
            </w:r>
          </w:p>
        </w:tc>
        <w:tc>
          <w:tcPr>
            <w:tcW w:w="1021" w:type="dxa"/>
          </w:tcPr>
          <w:p w14:paraId="0DB20ABE" w14:textId="77777777" w:rsidR="00860F8E" w:rsidRPr="00053FD1" w:rsidRDefault="00860F8E" w:rsidP="005D646B">
            <w:pPr>
              <w:pStyle w:val="TableText"/>
              <w:rPr>
                <w:rFonts w:ascii="Times New Roman" w:eastAsia="Times New Roman" w:hAnsi="Times New Roman"/>
                <w:szCs w:val="24"/>
                <w:lang w:eastAsia="en-AU"/>
              </w:rPr>
            </w:pPr>
            <w:r w:rsidRPr="00053FD1">
              <w:t>52</w:t>
            </w:r>
          </w:p>
        </w:tc>
      </w:tr>
      <w:tr w:rsidR="00860F8E" w:rsidRPr="00053FD1" w14:paraId="27E42214" w14:textId="77777777" w:rsidTr="00A858B3">
        <w:tc>
          <w:tcPr>
            <w:tcW w:w="4137" w:type="dxa"/>
          </w:tcPr>
          <w:p w14:paraId="3BDD4C4A" w14:textId="77777777" w:rsidR="00860F8E" w:rsidRPr="00053FD1" w:rsidRDefault="00860F8E" w:rsidP="005D646B">
            <w:pPr>
              <w:pStyle w:val="TableText"/>
            </w:pPr>
            <w:r w:rsidRPr="00053FD1">
              <w:t>Variation</w:t>
            </w:r>
          </w:p>
        </w:tc>
        <w:tc>
          <w:tcPr>
            <w:tcW w:w="1021" w:type="dxa"/>
          </w:tcPr>
          <w:p w14:paraId="33C47413" w14:textId="77777777" w:rsidR="00860F8E" w:rsidRPr="00053FD1" w:rsidRDefault="00860F8E" w:rsidP="005D646B">
            <w:pPr>
              <w:pStyle w:val="TableText"/>
            </w:pPr>
            <w:r w:rsidRPr="00053FD1">
              <w:rPr>
                <w:color w:val="000000"/>
              </w:rPr>
              <w:t>15</w:t>
            </w:r>
          </w:p>
        </w:tc>
        <w:tc>
          <w:tcPr>
            <w:tcW w:w="1021" w:type="dxa"/>
          </w:tcPr>
          <w:p w14:paraId="12A5C86F" w14:textId="77777777" w:rsidR="00860F8E" w:rsidRPr="00053FD1" w:rsidRDefault="00860F8E" w:rsidP="005D646B">
            <w:pPr>
              <w:pStyle w:val="TableText"/>
              <w:rPr>
                <w:color w:val="000000"/>
              </w:rPr>
            </w:pPr>
            <w:r w:rsidRPr="00053FD1">
              <w:rPr>
                <w:color w:val="000000"/>
              </w:rPr>
              <w:t>8</w:t>
            </w:r>
          </w:p>
        </w:tc>
        <w:tc>
          <w:tcPr>
            <w:tcW w:w="1021" w:type="dxa"/>
          </w:tcPr>
          <w:p w14:paraId="7D070165" w14:textId="77777777" w:rsidR="00860F8E" w:rsidRPr="00053FD1" w:rsidRDefault="00860F8E" w:rsidP="005D646B">
            <w:pPr>
              <w:pStyle w:val="TableText"/>
              <w:rPr>
                <w:color w:val="000000"/>
              </w:rPr>
            </w:pPr>
            <w:r w:rsidRPr="00053FD1">
              <w:rPr>
                <w:color w:val="000000"/>
              </w:rPr>
              <w:t>6</w:t>
            </w:r>
          </w:p>
        </w:tc>
        <w:tc>
          <w:tcPr>
            <w:tcW w:w="1021" w:type="dxa"/>
          </w:tcPr>
          <w:p w14:paraId="10CD6CF1" w14:textId="77777777" w:rsidR="00860F8E" w:rsidRPr="00053FD1" w:rsidRDefault="00860F8E" w:rsidP="005D646B">
            <w:pPr>
              <w:pStyle w:val="TableText"/>
              <w:rPr>
                <w:color w:val="000000"/>
              </w:rPr>
            </w:pPr>
            <w:r w:rsidRPr="00053FD1">
              <w:rPr>
                <w:color w:val="000000"/>
              </w:rPr>
              <w:t>8</w:t>
            </w:r>
          </w:p>
        </w:tc>
        <w:tc>
          <w:tcPr>
            <w:tcW w:w="1021" w:type="dxa"/>
          </w:tcPr>
          <w:p w14:paraId="33D906BC" w14:textId="77777777" w:rsidR="00860F8E" w:rsidRPr="00053FD1" w:rsidRDefault="00860F8E" w:rsidP="005D646B">
            <w:pPr>
              <w:pStyle w:val="TableText"/>
              <w:rPr>
                <w:rFonts w:ascii="Times New Roman" w:eastAsia="Times New Roman" w:hAnsi="Times New Roman"/>
                <w:szCs w:val="24"/>
                <w:lang w:eastAsia="en-AU"/>
              </w:rPr>
            </w:pPr>
            <w:r w:rsidRPr="00053FD1">
              <w:t>9</w:t>
            </w:r>
          </w:p>
        </w:tc>
      </w:tr>
      <w:tr w:rsidR="00860F8E" w:rsidRPr="00053FD1" w14:paraId="0E7D76D0" w14:textId="77777777" w:rsidTr="00A858B3">
        <w:tc>
          <w:tcPr>
            <w:tcW w:w="4137" w:type="dxa"/>
          </w:tcPr>
          <w:p w14:paraId="75FC338D" w14:textId="77777777" w:rsidR="00860F8E" w:rsidRPr="00053FD1" w:rsidRDefault="00860F8E" w:rsidP="005D646B">
            <w:pPr>
              <w:pStyle w:val="TableText"/>
            </w:pPr>
            <w:r w:rsidRPr="00053FD1">
              <w:t>Appointments (active) at 30 June</w:t>
            </w:r>
          </w:p>
        </w:tc>
        <w:tc>
          <w:tcPr>
            <w:tcW w:w="1021" w:type="dxa"/>
          </w:tcPr>
          <w:p w14:paraId="6752A3B4" w14:textId="77777777" w:rsidR="00860F8E" w:rsidRPr="00053FD1" w:rsidRDefault="00860F8E" w:rsidP="005D646B">
            <w:pPr>
              <w:pStyle w:val="TableText"/>
            </w:pPr>
            <w:r w:rsidRPr="00053FD1">
              <w:rPr>
                <w:color w:val="000000"/>
              </w:rPr>
              <w:t>113</w:t>
            </w:r>
          </w:p>
        </w:tc>
        <w:tc>
          <w:tcPr>
            <w:tcW w:w="1021" w:type="dxa"/>
          </w:tcPr>
          <w:p w14:paraId="685F176A" w14:textId="77777777" w:rsidR="00860F8E" w:rsidRPr="00053FD1" w:rsidRDefault="00860F8E" w:rsidP="005D646B">
            <w:pPr>
              <w:pStyle w:val="TableText"/>
              <w:rPr>
                <w:color w:val="000000"/>
              </w:rPr>
            </w:pPr>
            <w:r w:rsidRPr="00053FD1">
              <w:rPr>
                <w:color w:val="000000"/>
              </w:rPr>
              <w:t>111</w:t>
            </w:r>
          </w:p>
        </w:tc>
        <w:tc>
          <w:tcPr>
            <w:tcW w:w="1021" w:type="dxa"/>
          </w:tcPr>
          <w:p w14:paraId="23123459" w14:textId="77777777" w:rsidR="00860F8E" w:rsidRPr="00053FD1" w:rsidRDefault="00860F8E" w:rsidP="005D646B">
            <w:pPr>
              <w:pStyle w:val="TableText"/>
              <w:rPr>
                <w:color w:val="000000"/>
              </w:rPr>
            </w:pPr>
            <w:r w:rsidRPr="00053FD1">
              <w:rPr>
                <w:color w:val="000000"/>
              </w:rPr>
              <w:t>97</w:t>
            </w:r>
          </w:p>
        </w:tc>
        <w:tc>
          <w:tcPr>
            <w:tcW w:w="1021" w:type="dxa"/>
          </w:tcPr>
          <w:p w14:paraId="0C6EF0F5" w14:textId="77777777" w:rsidR="00860F8E" w:rsidRPr="00053FD1" w:rsidRDefault="00860F8E" w:rsidP="005D646B">
            <w:pPr>
              <w:pStyle w:val="TableText"/>
              <w:rPr>
                <w:color w:val="000000"/>
              </w:rPr>
            </w:pPr>
            <w:r w:rsidRPr="00053FD1">
              <w:rPr>
                <w:color w:val="000000"/>
              </w:rPr>
              <w:t>162</w:t>
            </w:r>
          </w:p>
        </w:tc>
        <w:tc>
          <w:tcPr>
            <w:tcW w:w="1021" w:type="dxa"/>
          </w:tcPr>
          <w:p w14:paraId="171EAA71" w14:textId="77777777" w:rsidR="00860F8E" w:rsidRPr="00053FD1" w:rsidRDefault="00860F8E" w:rsidP="005D646B">
            <w:pPr>
              <w:pStyle w:val="TableText"/>
              <w:rPr>
                <w:rFonts w:ascii="Times New Roman" w:eastAsia="Times New Roman" w:hAnsi="Times New Roman"/>
                <w:szCs w:val="24"/>
                <w:lang w:eastAsia="en-AU"/>
              </w:rPr>
            </w:pPr>
            <w:r w:rsidRPr="00053FD1">
              <w:t>133</w:t>
            </w:r>
          </w:p>
        </w:tc>
      </w:tr>
      <w:tr w:rsidR="00860F8E" w:rsidRPr="00053FD1" w14:paraId="08561332" w14:textId="77777777" w:rsidTr="00A858B3">
        <w:trPr>
          <w:trHeight w:val="263"/>
        </w:trPr>
        <w:tc>
          <w:tcPr>
            <w:tcW w:w="9242" w:type="dxa"/>
            <w:gridSpan w:val="6"/>
            <w:shd w:val="clear" w:color="auto" w:fill="E6E6E6"/>
          </w:tcPr>
          <w:p w14:paraId="7E43C128" w14:textId="77777777" w:rsidR="00860F8E" w:rsidRPr="005D646B" w:rsidRDefault="00860F8E" w:rsidP="005D646B">
            <w:pPr>
              <w:pStyle w:val="TableText"/>
              <w:rPr>
                <w:b/>
              </w:rPr>
            </w:pPr>
            <w:r w:rsidRPr="005D646B">
              <w:rPr>
                <w:b/>
              </w:rPr>
              <w:t xml:space="preserve">Appointments under </w:t>
            </w:r>
            <w:r w:rsidRPr="005D646B">
              <w:rPr>
                <w:b/>
                <w:lang w:val="en-AU"/>
              </w:rPr>
              <w:t>Civil Aviation Safety Regulations (CASR) subpart 21.M</w:t>
            </w:r>
          </w:p>
        </w:tc>
      </w:tr>
      <w:tr w:rsidR="00860F8E" w:rsidRPr="00053FD1" w14:paraId="23A936C0" w14:textId="77777777" w:rsidTr="00A858B3">
        <w:tc>
          <w:tcPr>
            <w:tcW w:w="4137" w:type="dxa"/>
          </w:tcPr>
          <w:p w14:paraId="692B1BC9" w14:textId="77777777" w:rsidR="00860F8E" w:rsidRPr="00053FD1" w:rsidRDefault="00860F8E" w:rsidP="005D646B">
            <w:pPr>
              <w:pStyle w:val="TableText"/>
            </w:pPr>
            <w:r w:rsidRPr="00053FD1">
              <w:t>Initial issue and variation</w:t>
            </w:r>
          </w:p>
        </w:tc>
        <w:tc>
          <w:tcPr>
            <w:tcW w:w="1021" w:type="dxa"/>
          </w:tcPr>
          <w:p w14:paraId="35D5D7D2" w14:textId="77777777" w:rsidR="00860F8E" w:rsidRPr="00053FD1" w:rsidRDefault="00860F8E" w:rsidP="005D646B">
            <w:pPr>
              <w:pStyle w:val="TableText"/>
            </w:pPr>
            <w:r w:rsidRPr="00053FD1">
              <w:rPr>
                <w:color w:val="000000"/>
              </w:rPr>
              <w:t>33</w:t>
            </w:r>
          </w:p>
        </w:tc>
        <w:tc>
          <w:tcPr>
            <w:tcW w:w="1021" w:type="dxa"/>
          </w:tcPr>
          <w:p w14:paraId="67C5590C" w14:textId="77777777" w:rsidR="00860F8E" w:rsidRPr="00053FD1" w:rsidRDefault="00860F8E" w:rsidP="005D646B">
            <w:pPr>
              <w:pStyle w:val="TableText"/>
              <w:rPr>
                <w:color w:val="000000"/>
              </w:rPr>
            </w:pPr>
            <w:r w:rsidRPr="00053FD1">
              <w:rPr>
                <w:color w:val="000000"/>
              </w:rPr>
              <w:t>34</w:t>
            </w:r>
          </w:p>
        </w:tc>
        <w:tc>
          <w:tcPr>
            <w:tcW w:w="1021" w:type="dxa"/>
          </w:tcPr>
          <w:p w14:paraId="18F5FF52" w14:textId="77777777" w:rsidR="00860F8E" w:rsidRPr="00053FD1" w:rsidRDefault="00860F8E" w:rsidP="005D646B">
            <w:pPr>
              <w:pStyle w:val="TableText"/>
              <w:rPr>
                <w:color w:val="000000"/>
              </w:rPr>
            </w:pPr>
            <w:r w:rsidRPr="00053FD1">
              <w:rPr>
                <w:color w:val="000000"/>
              </w:rPr>
              <w:t>26</w:t>
            </w:r>
          </w:p>
        </w:tc>
        <w:tc>
          <w:tcPr>
            <w:tcW w:w="1021" w:type="dxa"/>
          </w:tcPr>
          <w:p w14:paraId="3050BE16" w14:textId="77777777" w:rsidR="00860F8E" w:rsidRPr="00053FD1" w:rsidRDefault="00860F8E" w:rsidP="005D646B">
            <w:pPr>
              <w:pStyle w:val="TableText"/>
              <w:rPr>
                <w:color w:val="000000"/>
              </w:rPr>
            </w:pPr>
            <w:r w:rsidRPr="00053FD1">
              <w:rPr>
                <w:color w:val="000000"/>
              </w:rPr>
              <w:t>25</w:t>
            </w:r>
          </w:p>
        </w:tc>
        <w:tc>
          <w:tcPr>
            <w:tcW w:w="1021" w:type="dxa"/>
          </w:tcPr>
          <w:p w14:paraId="24992EE8" w14:textId="77777777" w:rsidR="00860F8E" w:rsidRPr="00053FD1" w:rsidRDefault="00860F8E" w:rsidP="005D646B">
            <w:pPr>
              <w:pStyle w:val="TableText"/>
            </w:pPr>
            <w:r w:rsidRPr="00053FD1">
              <w:t>18</w:t>
            </w:r>
          </w:p>
        </w:tc>
      </w:tr>
      <w:tr w:rsidR="00860F8E" w:rsidRPr="00053FD1" w14:paraId="1E48DB18" w14:textId="77777777" w:rsidTr="00A858B3">
        <w:tc>
          <w:tcPr>
            <w:tcW w:w="4137" w:type="dxa"/>
          </w:tcPr>
          <w:p w14:paraId="2DA62DA1" w14:textId="77777777" w:rsidR="00860F8E" w:rsidRPr="00053FD1" w:rsidRDefault="00860F8E" w:rsidP="005D646B">
            <w:pPr>
              <w:pStyle w:val="TableText"/>
            </w:pPr>
            <w:r w:rsidRPr="00053FD1">
              <w:t>CASR 21M appointments (active) at 30 June</w:t>
            </w:r>
          </w:p>
        </w:tc>
        <w:tc>
          <w:tcPr>
            <w:tcW w:w="1021" w:type="dxa"/>
          </w:tcPr>
          <w:p w14:paraId="5B315713" w14:textId="77777777" w:rsidR="00860F8E" w:rsidRPr="00053FD1" w:rsidRDefault="00860F8E" w:rsidP="005D646B">
            <w:pPr>
              <w:pStyle w:val="TableText"/>
            </w:pPr>
            <w:r w:rsidRPr="00053FD1">
              <w:rPr>
                <w:color w:val="000000"/>
              </w:rPr>
              <w:t>39</w:t>
            </w:r>
          </w:p>
        </w:tc>
        <w:tc>
          <w:tcPr>
            <w:tcW w:w="1021" w:type="dxa"/>
          </w:tcPr>
          <w:p w14:paraId="0EE648B9" w14:textId="77777777" w:rsidR="00860F8E" w:rsidRPr="00053FD1" w:rsidRDefault="00860F8E" w:rsidP="005D646B">
            <w:pPr>
              <w:pStyle w:val="TableText"/>
              <w:rPr>
                <w:color w:val="000000"/>
              </w:rPr>
            </w:pPr>
            <w:r w:rsidRPr="00053FD1">
              <w:rPr>
                <w:color w:val="000000"/>
              </w:rPr>
              <w:t>42</w:t>
            </w:r>
          </w:p>
        </w:tc>
        <w:tc>
          <w:tcPr>
            <w:tcW w:w="1021" w:type="dxa"/>
          </w:tcPr>
          <w:p w14:paraId="3380AC5C" w14:textId="77777777" w:rsidR="00860F8E" w:rsidRPr="00053FD1" w:rsidRDefault="00860F8E" w:rsidP="005D646B">
            <w:pPr>
              <w:pStyle w:val="TableText"/>
              <w:rPr>
                <w:color w:val="000000"/>
              </w:rPr>
            </w:pPr>
            <w:r w:rsidRPr="00053FD1">
              <w:rPr>
                <w:color w:val="000000"/>
              </w:rPr>
              <w:t>39</w:t>
            </w:r>
          </w:p>
        </w:tc>
        <w:tc>
          <w:tcPr>
            <w:tcW w:w="1021" w:type="dxa"/>
          </w:tcPr>
          <w:p w14:paraId="6A612660" w14:textId="77777777" w:rsidR="00860F8E" w:rsidRPr="00053FD1" w:rsidRDefault="00860F8E" w:rsidP="005D646B">
            <w:pPr>
              <w:pStyle w:val="TableText"/>
              <w:rPr>
                <w:color w:val="000000"/>
              </w:rPr>
            </w:pPr>
            <w:r w:rsidRPr="00053FD1">
              <w:rPr>
                <w:color w:val="000000"/>
              </w:rPr>
              <w:t>36</w:t>
            </w:r>
          </w:p>
        </w:tc>
        <w:tc>
          <w:tcPr>
            <w:tcW w:w="1021" w:type="dxa"/>
          </w:tcPr>
          <w:p w14:paraId="2C0A32BA" w14:textId="77777777" w:rsidR="00860F8E" w:rsidRPr="00053FD1" w:rsidRDefault="00860F8E" w:rsidP="005D646B">
            <w:pPr>
              <w:pStyle w:val="TableText"/>
            </w:pPr>
            <w:r w:rsidRPr="00053FD1">
              <w:t>35</w:t>
            </w:r>
          </w:p>
        </w:tc>
      </w:tr>
      <w:tr w:rsidR="00860F8E" w:rsidRPr="00053FD1" w14:paraId="5B0DF04B" w14:textId="77777777" w:rsidTr="00A858B3">
        <w:tc>
          <w:tcPr>
            <w:tcW w:w="4137" w:type="dxa"/>
            <w:shd w:val="clear" w:color="auto" w:fill="E7E6E6"/>
          </w:tcPr>
          <w:p w14:paraId="6C09F32B" w14:textId="77777777" w:rsidR="00860F8E" w:rsidRPr="005D646B" w:rsidRDefault="00860F8E" w:rsidP="005D646B">
            <w:pPr>
              <w:pStyle w:val="TableText"/>
              <w:rPr>
                <w:b/>
                <w:color w:val="000000"/>
              </w:rPr>
            </w:pPr>
            <w:r w:rsidRPr="005D646B">
              <w:rPr>
                <w:b/>
                <w:color w:val="000000"/>
              </w:rPr>
              <w:t>Total appointments active at 30 June</w:t>
            </w:r>
          </w:p>
        </w:tc>
        <w:tc>
          <w:tcPr>
            <w:tcW w:w="1021" w:type="dxa"/>
            <w:shd w:val="clear" w:color="auto" w:fill="E7E6E6"/>
          </w:tcPr>
          <w:p w14:paraId="54C2B573" w14:textId="77777777" w:rsidR="00860F8E" w:rsidRPr="005D646B" w:rsidRDefault="00860F8E" w:rsidP="005D646B">
            <w:pPr>
              <w:pStyle w:val="TableText"/>
              <w:rPr>
                <w:b/>
                <w:color w:val="000000"/>
              </w:rPr>
            </w:pPr>
            <w:r w:rsidRPr="005D646B">
              <w:rPr>
                <w:b/>
                <w:color w:val="000000"/>
              </w:rPr>
              <w:t>152</w:t>
            </w:r>
          </w:p>
        </w:tc>
        <w:tc>
          <w:tcPr>
            <w:tcW w:w="1021" w:type="dxa"/>
            <w:shd w:val="clear" w:color="auto" w:fill="E7E6E6"/>
          </w:tcPr>
          <w:p w14:paraId="4CB7EE4B" w14:textId="77777777" w:rsidR="00860F8E" w:rsidRPr="005D646B" w:rsidRDefault="00860F8E" w:rsidP="005D646B">
            <w:pPr>
              <w:pStyle w:val="TableText"/>
              <w:rPr>
                <w:b/>
                <w:color w:val="000000"/>
              </w:rPr>
            </w:pPr>
            <w:r w:rsidRPr="005D646B">
              <w:rPr>
                <w:b/>
                <w:color w:val="000000"/>
              </w:rPr>
              <w:t>153</w:t>
            </w:r>
          </w:p>
        </w:tc>
        <w:tc>
          <w:tcPr>
            <w:tcW w:w="1021" w:type="dxa"/>
            <w:shd w:val="clear" w:color="auto" w:fill="E7E6E6"/>
          </w:tcPr>
          <w:p w14:paraId="473D9434" w14:textId="77777777" w:rsidR="00860F8E" w:rsidRPr="005D646B" w:rsidRDefault="00860F8E" w:rsidP="005D646B">
            <w:pPr>
              <w:pStyle w:val="TableText"/>
              <w:rPr>
                <w:b/>
              </w:rPr>
            </w:pPr>
            <w:r w:rsidRPr="005D646B">
              <w:rPr>
                <w:b/>
              </w:rPr>
              <w:t>136</w:t>
            </w:r>
          </w:p>
        </w:tc>
        <w:tc>
          <w:tcPr>
            <w:tcW w:w="1021" w:type="dxa"/>
            <w:shd w:val="clear" w:color="auto" w:fill="E7E6E6"/>
          </w:tcPr>
          <w:p w14:paraId="206B6A61" w14:textId="77777777" w:rsidR="00860F8E" w:rsidRPr="005D646B" w:rsidRDefault="00860F8E" w:rsidP="005D646B">
            <w:pPr>
              <w:pStyle w:val="TableText"/>
              <w:rPr>
                <w:b/>
              </w:rPr>
            </w:pPr>
            <w:r w:rsidRPr="005D646B">
              <w:rPr>
                <w:b/>
              </w:rPr>
              <w:t>198</w:t>
            </w:r>
          </w:p>
        </w:tc>
        <w:tc>
          <w:tcPr>
            <w:tcW w:w="1021" w:type="dxa"/>
            <w:shd w:val="clear" w:color="auto" w:fill="E7E6E6"/>
          </w:tcPr>
          <w:p w14:paraId="53DCDCC2" w14:textId="77777777" w:rsidR="00860F8E" w:rsidRPr="005D646B" w:rsidRDefault="00860F8E" w:rsidP="005D646B">
            <w:pPr>
              <w:pStyle w:val="TableText"/>
              <w:rPr>
                <w:b/>
              </w:rPr>
            </w:pPr>
            <w:r w:rsidRPr="005D646B">
              <w:rPr>
                <w:b/>
              </w:rPr>
              <w:t>168</w:t>
            </w:r>
          </w:p>
        </w:tc>
      </w:tr>
    </w:tbl>
    <w:p w14:paraId="40C843B7" w14:textId="77777777" w:rsidR="00860F8E" w:rsidRPr="00DA615C" w:rsidRDefault="00860F8E" w:rsidP="00860F8E"/>
    <w:p w14:paraId="5DDA8E7B" w14:textId="77777777" w:rsidR="00860F8E" w:rsidRPr="00053FD1" w:rsidRDefault="00860F8E" w:rsidP="00860F8E">
      <w:pPr>
        <w:keepNext/>
        <w:spacing w:before="180" w:after="240"/>
        <w:ind w:left="1440" w:hanging="1440"/>
        <w:rPr>
          <w:rFonts w:ascii="Arial Narrow" w:eastAsia="Times New Roman" w:hAnsi="Arial Narrow"/>
          <w:color w:val="FF0000"/>
          <w:sz w:val="22"/>
          <w:szCs w:val="22"/>
          <w:u w:color="0099CC"/>
        </w:rPr>
      </w:pPr>
      <w:r w:rsidRPr="00053FD1">
        <w:rPr>
          <w:rFonts w:ascii="Arial Narrow" w:eastAsia="Times New Roman" w:hAnsi="Arial Narrow"/>
          <w:b/>
          <w:color w:val="0099CC"/>
          <w:sz w:val="22"/>
          <w:szCs w:val="22"/>
          <w:u w:color="0099CC"/>
        </w:rPr>
        <w:lastRenderedPageBreak/>
        <w:t>Table A.15</w:t>
      </w:r>
      <w:r w:rsidRPr="00053FD1">
        <w:rPr>
          <w:rFonts w:ascii="Arial Narrow" w:eastAsia="Times New Roman" w:hAnsi="Arial Narrow"/>
          <w:b/>
          <w:color w:val="0099CC"/>
          <w:sz w:val="22"/>
          <w:szCs w:val="22"/>
          <w:u w:color="0099CC"/>
        </w:rPr>
        <w:tab/>
        <w:t xml:space="preserve">Production authorisations, 2013–14 to 2017–18 </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3381"/>
        <w:gridCol w:w="16"/>
        <w:gridCol w:w="1144"/>
        <w:gridCol w:w="1100"/>
        <w:gridCol w:w="1105"/>
        <w:gridCol w:w="964"/>
        <w:gridCol w:w="1008"/>
      </w:tblGrid>
      <w:tr w:rsidR="00860F8E" w:rsidRPr="00053FD1" w14:paraId="2E920E40" w14:textId="77777777" w:rsidTr="00A858B3">
        <w:trPr>
          <w:tblHeader/>
        </w:trPr>
        <w:tc>
          <w:tcPr>
            <w:tcW w:w="1939" w:type="pct"/>
          </w:tcPr>
          <w:p w14:paraId="2498FE12" w14:textId="77777777" w:rsidR="00860F8E" w:rsidRPr="005D646B" w:rsidRDefault="00860F8E" w:rsidP="005D646B">
            <w:pPr>
              <w:pStyle w:val="TableText"/>
              <w:rPr>
                <w:b/>
              </w:rPr>
            </w:pPr>
            <w:r w:rsidRPr="005D646B">
              <w:rPr>
                <w:b/>
              </w:rPr>
              <w:tab/>
            </w:r>
          </w:p>
        </w:tc>
        <w:tc>
          <w:tcPr>
            <w:tcW w:w="665" w:type="pct"/>
            <w:gridSpan w:val="2"/>
          </w:tcPr>
          <w:p w14:paraId="1C57B5E8" w14:textId="77777777" w:rsidR="00860F8E" w:rsidRPr="005D646B" w:rsidRDefault="00860F8E" w:rsidP="005D646B">
            <w:pPr>
              <w:pStyle w:val="TableText"/>
              <w:rPr>
                <w:b/>
              </w:rPr>
            </w:pPr>
            <w:r w:rsidRPr="005D646B">
              <w:rPr>
                <w:b/>
              </w:rPr>
              <w:t>2013–14</w:t>
            </w:r>
          </w:p>
        </w:tc>
        <w:tc>
          <w:tcPr>
            <w:tcW w:w="631" w:type="pct"/>
          </w:tcPr>
          <w:p w14:paraId="6BEA560D" w14:textId="77777777" w:rsidR="00860F8E" w:rsidRPr="005D646B" w:rsidRDefault="00860F8E" w:rsidP="005D646B">
            <w:pPr>
              <w:pStyle w:val="TableText"/>
              <w:rPr>
                <w:b/>
              </w:rPr>
            </w:pPr>
            <w:r w:rsidRPr="005D646B">
              <w:rPr>
                <w:b/>
              </w:rPr>
              <w:t>2014–15</w:t>
            </w:r>
          </w:p>
        </w:tc>
        <w:tc>
          <w:tcPr>
            <w:tcW w:w="634" w:type="pct"/>
          </w:tcPr>
          <w:p w14:paraId="17F42996" w14:textId="77777777" w:rsidR="00860F8E" w:rsidRPr="005D646B" w:rsidRDefault="00860F8E" w:rsidP="005D646B">
            <w:pPr>
              <w:pStyle w:val="TableText"/>
              <w:rPr>
                <w:b/>
              </w:rPr>
            </w:pPr>
            <w:r w:rsidRPr="005D646B">
              <w:rPr>
                <w:b/>
              </w:rPr>
              <w:t>2015–16</w:t>
            </w:r>
          </w:p>
        </w:tc>
        <w:tc>
          <w:tcPr>
            <w:tcW w:w="553" w:type="pct"/>
          </w:tcPr>
          <w:p w14:paraId="0CEC1286" w14:textId="77777777" w:rsidR="00860F8E" w:rsidRPr="005D646B" w:rsidRDefault="00860F8E" w:rsidP="005D646B">
            <w:pPr>
              <w:pStyle w:val="TableText"/>
              <w:rPr>
                <w:b/>
              </w:rPr>
            </w:pPr>
            <w:r w:rsidRPr="005D646B">
              <w:rPr>
                <w:b/>
              </w:rPr>
              <w:t>2016–17</w:t>
            </w:r>
          </w:p>
        </w:tc>
        <w:tc>
          <w:tcPr>
            <w:tcW w:w="577" w:type="pct"/>
          </w:tcPr>
          <w:p w14:paraId="578F468A" w14:textId="77777777" w:rsidR="00860F8E" w:rsidRPr="005D646B" w:rsidRDefault="00860F8E" w:rsidP="005D646B">
            <w:pPr>
              <w:pStyle w:val="TableText"/>
              <w:rPr>
                <w:b/>
              </w:rPr>
            </w:pPr>
            <w:r w:rsidRPr="005D646B">
              <w:rPr>
                <w:b/>
              </w:rPr>
              <w:t>2017–18</w:t>
            </w:r>
          </w:p>
        </w:tc>
      </w:tr>
      <w:tr w:rsidR="00860F8E" w:rsidRPr="00053FD1" w14:paraId="1BEC86F5" w14:textId="77777777" w:rsidTr="00A858B3">
        <w:tc>
          <w:tcPr>
            <w:tcW w:w="5000" w:type="pct"/>
            <w:gridSpan w:val="7"/>
            <w:shd w:val="clear" w:color="auto" w:fill="E6E6E6"/>
          </w:tcPr>
          <w:p w14:paraId="3439793A" w14:textId="77777777" w:rsidR="00860F8E" w:rsidRPr="005D646B" w:rsidRDefault="00860F8E" w:rsidP="005D646B">
            <w:pPr>
              <w:pStyle w:val="TableText"/>
              <w:rPr>
                <w:b/>
              </w:rPr>
            </w:pPr>
            <w:r w:rsidRPr="005D646B">
              <w:rPr>
                <w:b/>
              </w:rPr>
              <w:t xml:space="preserve">Production certificates </w:t>
            </w:r>
          </w:p>
        </w:tc>
      </w:tr>
      <w:tr w:rsidR="00860F8E" w:rsidRPr="00053FD1" w14:paraId="7511114A" w14:textId="77777777" w:rsidTr="00A858B3">
        <w:tc>
          <w:tcPr>
            <w:tcW w:w="1939" w:type="pct"/>
          </w:tcPr>
          <w:p w14:paraId="5C021329" w14:textId="77777777" w:rsidR="00860F8E" w:rsidRPr="00053FD1" w:rsidRDefault="00860F8E" w:rsidP="005D646B">
            <w:pPr>
              <w:pStyle w:val="TableText"/>
            </w:pPr>
            <w:r w:rsidRPr="00053FD1">
              <w:t>Initial issue</w:t>
            </w:r>
          </w:p>
        </w:tc>
        <w:tc>
          <w:tcPr>
            <w:tcW w:w="665" w:type="pct"/>
            <w:gridSpan w:val="2"/>
          </w:tcPr>
          <w:p w14:paraId="56A5E189" w14:textId="77777777" w:rsidR="00860F8E" w:rsidRPr="00053FD1" w:rsidRDefault="00860F8E" w:rsidP="005D646B">
            <w:pPr>
              <w:pStyle w:val="TableText"/>
              <w:rPr>
                <w:color w:val="000000"/>
              </w:rPr>
            </w:pPr>
            <w:r w:rsidRPr="00053FD1">
              <w:rPr>
                <w:color w:val="000000"/>
              </w:rPr>
              <w:t>0</w:t>
            </w:r>
          </w:p>
        </w:tc>
        <w:tc>
          <w:tcPr>
            <w:tcW w:w="631" w:type="pct"/>
          </w:tcPr>
          <w:p w14:paraId="34CA3636" w14:textId="77777777" w:rsidR="00860F8E" w:rsidRPr="00053FD1" w:rsidRDefault="00860F8E" w:rsidP="005D646B">
            <w:pPr>
              <w:pStyle w:val="TableText"/>
              <w:rPr>
                <w:color w:val="000000"/>
              </w:rPr>
            </w:pPr>
            <w:r w:rsidRPr="00053FD1">
              <w:rPr>
                <w:color w:val="000000"/>
              </w:rPr>
              <w:t>0</w:t>
            </w:r>
          </w:p>
        </w:tc>
        <w:tc>
          <w:tcPr>
            <w:tcW w:w="634" w:type="pct"/>
          </w:tcPr>
          <w:p w14:paraId="4C8E8F9B" w14:textId="77777777" w:rsidR="00860F8E" w:rsidRPr="00053FD1" w:rsidRDefault="00860F8E" w:rsidP="005D646B">
            <w:pPr>
              <w:pStyle w:val="TableText"/>
              <w:rPr>
                <w:color w:val="000000"/>
              </w:rPr>
            </w:pPr>
            <w:r w:rsidRPr="00053FD1">
              <w:rPr>
                <w:color w:val="000000"/>
              </w:rPr>
              <w:t>0</w:t>
            </w:r>
          </w:p>
        </w:tc>
        <w:tc>
          <w:tcPr>
            <w:tcW w:w="553" w:type="pct"/>
          </w:tcPr>
          <w:p w14:paraId="14280CEC" w14:textId="77777777" w:rsidR="00860F8E" w:rsidRPr="00053FD1" w:rsidRDefault="00860F8E" w:rsidP="005D646B">
            <w:pPr>
              <w:pStyle w:val="TableText"/>
              <w:rPr>
                <w:color w:val="000000"/>
              </w:rPr>
            </w:pPr>
            <w:r w:rsidRPr="00053FD1">
              <w:rPr>
                <w:color w:val="000000"/>
              </w:rPr>
              <w:t>0</w:t>
            </w:r>
          </w:p>
        </w:tc>
        <w:tc>
          <w:tcPr>
            <w:tcW w:w="577" w:type="pct"/>
          </w:tcPr>
          <w:p w14:paraId="5F846484" w14:textId="77777777" w:rsidR="00860F8E" w:rsidRPr="00053FD1" w:rsidRDefault="00860F8E" w:rsidP="005D646B">
            <w:pPr>
              <w:pStyle w:val="TableText"/>
            </w:pPr>
            <w:r w:rsidRPr="00053FD1">
              <w:t>0</w:t>
            </w:r>
          </w:p>
        </w:tc>
      </w:tr>
      <w:tr w:rsidR="00860F8E" w:rsidRPr="00053FD1" w14:paraId="7C8D25BD" w14:textId="77777777" w:rsidTr="00A858B3">
        <w:tc>
          <w:tcPr>
            <w:tcW w:w="1939" w:type="pct"/>
          </w:tcPr>
          <w:p w14:paraId="2AD12EF5" w14:textId="77777777" w:rsidR="00860F8E" w:rsidRPr="00053FD1" w:rsidRDefault="00860F8E" w:rsidP="005D646B">
            <w:pPr>
              <w:pStyle w:val="TableText"/>
            </w:pPr>
            <w:r w:rsidRPr="00053FD1">
              <w:t>Variation</w:t>
            </w:r>
          </w:p>
        </w:tc>
        <w:tc>
          <w:tcPr>
            <w:tcW w:w="665" w:type="pct"/>
            <w:gridSpan w:val="2"/>
          </w:tcPr>
          <w:p w14:paraId="36033636" w14:textId="77777777" w:rsidR="00860F8E" w:rsidRPr="00053FD1" w:rsidRDefault="00860F8E" w:rsidP="005D646B">
            <w:pPr>
              <w:pStyle w:val="TableText"/>
              <w:rPr>
                <w:color w:val="000000"/>
              </w:rPr>
            </w:pPr>
            <w:r w:rsidRPr="00053FD1">
              <w:rPr>
                <w:color w:val="000000"/>
              </w:rPr>
              <w:t>0</w:t>
            </w:r>
          </w:p>
        </w:tc>
        <w:tc>
          <w:tcPr>
            <w:tcW w:w="631" w:type="pct"/>
          </w:tcPr>
          <w:p w14:paraId="34437ADA" w14:textId="77777777" w:rsidR="00860F8E" w:rsidRPr="00053FD1" w:rsidRDefault="00860F8E" w:rsidP="005D646B">
            <w:pPr>
              <w:pStyle w:val="TableText"/>
              <w:rPr>
                <w:color w:val="000000"/>
              </w:rPr>
            </w:pPr>
            <w:r w:rsidRPr="00053FD1">
              <w:rPr>
                <w:color w:val="000000"/>
              </w:rPr>
              <w:t>0</w:t>
            </w:r>
          </w:p>
        </w:tc>
        <w:tc>
          <w:tcPr>
            <w:tcW w:w="634" w:type="pct"/>
          </w:tcPr>
          <w:p w14:paraId="1BCCD0BE" w14:textId="77777777" w:rsidR="00860F8E" w:rsidRPr="00053FD1" w:rsidRDefault="00860F8E" w:rsidP="005D646B">
            <w:pPr>
              <w:pStyle w:val="TableText"/>
              <w:rPr>
                <w:color w:val="000000"/>
              </w:rPr>
            </w:pPr>
            <w:r w:rsidRPr="00053FD1">
              <w:rPr>
                <w:color w:val="000000"/>
              </w:rPr>
              <w:t>1</w:t>
            </w:r>
          </w:p>
        </w:tc>
        <w:tc>
          <w:tcPr>
            <w:tcW w:w="553" w:type="pct"/>
          </w:tcPr>
          <w:p w14:paraId="1B70D0CF" w14:textId="77777777" w:rsidR="00860F8E" w:rsidRPr="00053FD1" w:rsidRDefault="00860F8E" w:rsidP="005D646B">
            <w:pPr>
              <w:pStyle w:val="TableText"/>
              <w:rPr>
                <w:color w:val="000000"/>
              </w:rPr>
            </w:pPr>
            <w:r w:rsidRPr="00053FD1">
              <w:rPr>
                <w:color w:val="000000"/>
              </w:rPr>
              <w:t>2</w:t>
            </w:r>
          </w:p>
        </w:tc>
        <w:tc>
          <w:tcPr>
            <w:tcW w:w="577" w:type="pct"/>
          </w:tcPr>
          <w:p w14:paraId="52074920" w14:textId="77777777" w:rsidR="00860F8E" w:rsidRPr="00053FD1" w:rsidRDefault="00860F8E" w:rsidP="005D646B">
            <w:pPr>
              <w:pStyle w:val="TableText"/>
            </w:pPr>
            <w:r w:rsidRPr="00053FD1">
              <w:t>3</w:t>
            </w:r>
          </w:p>
        </w:tc>
      </w:tr>
      <w:tr w:rsidR="00860F8E" w:rsidRPr="00053FD1" w14:paraId="3BAA16EB" w14:textId="77777777" w:rsidTr="00A858B3">
        <w:tc>
          <w:tcPr>
            <w:tcW w:w="1939" w:type="pct"/>
          </w:tcPr>
          <w:p w14:paraId="4DEDD10D" w14:textId="77777777" w:rsidR="00860F8E" w:rsidRPr="00053FD1" w:rsidRDefault="00860F8E" w:rsidP="005D646B">
            <w:pPr>
              <w:pStyle w:val="TableText"/>
            </w:pPr>
            <w:r w:rsidRPr="00053FD1">
              <w:t>Under voluntary suspension at 30 June</w:t>
            </w:r>
          </w:p>
        </w:tc>
        <w:tc>
          <w:tcPr>
            <w:tcW w:w="665" w:type="pct"/>
            <w:gridSpan w:val="2"/>
          </w:tcPr>
          <w:p w14:paraId="3779B045" w14:textId="77777777" w:rsidR="00860F8E" w:rsidRPr="00053FD1" w:rsidRDefault="00860F8E" w:rsidP="005D646B">
            <w:pPr>
              <w:pStyle w:val="TableText"/>
              <w:rPr>
                <w:color w:val="000000"/>
              </w:rPr>
            </w:pPr>
            <w:r w:rsidRPr="00053FD1">
              <w:rPr>
                <w:color w:val="000000"/>
              </w:rPr>
              <w:t>3</w:t>
            </w:r>
          </w:p>
        </w:tc>
        <w:tc>
          <w:tcPr>
            <w:tcW w:w="631" w:type="pct"/>
          </w:tcPr>
          <w:p w14:paraId="526C2B05" w14:textId="77777777" w:rsidR="00860F8E" w:rsidRPr="00053FD1" w:rsidRDefault="00860F8E" w:rsidP="005D646B">
            <w:pPr>
              <w:pStyle w:val="TableText"/>
              <w:rPr>
                <w:color w:val="000000"/>
              </w:rPr>
            </w:pPr>
            <w:r w:rsidRPr="00053FD1">
              <w:rPr>
                <w:color w:val="000000"/>
              </w:rPr>
              <w:t>3</w:t>
            </w:r>
          </w:p>
        </w:tc>
        <w:tc>
          <w:tcPr>
            <w:tcW w:w="634" w:type="pct"/>
          </w:tcPr>
          <w:p w14:paraId="1ABB447F" w14:textId="77777777" w:rsidR="00860F8E" w:rsidRPr="00053FD1" w:rsidRDefault="00860F8E" w:rsidP="005D646B">
            <w:pPr>
              <w:pStyle w:val="TableText"/>
              <w:rPr>
                <w:color w:val="000000"/>
              </w:rPr>
            </w:pPr>
            <w:r w:rsidRPr="00053FD1">
              <w:rPr>
                <w:color w:val="000000"/>
              </w:rPr>
              <w:t>3</w:t>
            </w:r>
          </w:p>
        </w:tc>
        <w:tc>
          <w:tcPr>
            <w:tcW w:w="553" w:type="pct"/>
          </w:tcPr>
          <w:p w14:paraId="1D3F8246" w14:textId="77777777" w:rsidR="00860F8E" w:rsidRPr="00053FD1" w:rsidRDefault="00860F8E" w:rsidP="005D646B">
            <w:pPr>
              <w:pStyle w:val="TableText"/>
              <w:rPr>
                <w:color w:val="000000"/>
              </w:rPr>
            </w:pPr>
            <w:r w:rsidRPr="00053FD1">
              <w:rPr>
                <w:color w:val="000000"/>
              </w:rPr>
              <w:t>4</w:t>
            </w:r>
          </w:p>
        </w:tc>
        <w:tc>
          <w:tcPr>
            <w:tcW w:w="577" w:type="pct"/>
          </w:tcPr>
          <w:p w14:paraId="28756B82" w14:textId="77777777" w:rsidR="00860F8E" w:rsidRPr="00053FD1" w:rsidRDefault="00860F8E" w:rsidP="005D646B">
            <w:pPr>
              <w:pStyle w:val="TableText"/>
            </w:pPr>
            <w:r w:rsidRPr="00053FD1">
              <w:t>4</w:t>
            </w:r>
          </w:p>
        </w:tc>
      </w:tr>
      <w:tr w:rsidR="00860F8E" w:rsidRPr="00053FD1" w14:paraId="7AF23EEA" w14:textId="77777777" w:rsidTr="00A858B3">
        <w:tc>
          <w:tcPr>
            <w:tcW w:w="1948" w:type="pct"/>
            <w:gridSpan w:val="2"/>
          </w:tcPr>
          <w:p w14:paraId="073E1429" w14:textId="77777777" w:rsidR="00860F8E" w:rsidRPr="00053FD1" w:rsidRDefault="00860F8E" w:rsidP="005D646B">
            <w:pPr>
              <w:pStyle w:val="TableText"/>
              <w:rPr>
                <w:color w:val="000000"/>
              </w:rPr>
            </w:pPr>
            <w:r w:rsidRPr="00053FD1">
              <w:rPr>
                <w:color w:val="000000"/>
              </w:rPr>
              <w:t>Active a</w:t>
            </w:r>
            <w:r w:rsidR="0044040E">
              <w:rPr>
                <w:color w:val="000000"/>
              </w:rPr>
              <w:t>t</w:t>
            </w:r>
            <w:r w:rsidRPr="00053FD1">
              <w:rPr>
                <w:color w:val="000000"/>
              </w:rPr>
              <w:t xml:space="preserve"> 30 June</w:t>
            </w:r>
          </w:p>
        </w:tc>
        <w:tc>
          <w:tcPr>
            <w:tcW w:w="656" w:type="pct"/>
          </w:tcPr>
          <w:p w14:paraId="739813C0" w14:textId="77777777" w:rsidR="00860F8E" w:rsidRPr="00053FD1" w:rsidRDefault="00860F8E" w:rsidP="005D646B">
            <w:pPr>
              <w:pStyle w:val="TableText"/>
              <w:rPr>
                <w:color w:val="000000"/>
              </w:rPr>
            </w:pPr>
            <w:r w:rsidRPr="00053FD1">
              <w:rPr>
                <w:color w:val="000000"/>
              </w:rPr>
              <w:t>9</w:t>
            </w:r>
          </w:p>
        </w:tc>
        <w:tc>
          <w:tcPr>
            <w:tcW w:w="631" w:type="pct"/>
          </w:tcPr>
          <w:p w14:paraId="2C3AA90F" w14:textId="77777777" w:rsidR="00860F8E" w:rsidRPr="00053FD1" w:rsidRDefault="00860F8E" w:rsidP="005D646B">
            <w:pPr>
              <w:pStyle w:val="TableText"/>
              <w:rPr>
                <w:color w:val="000000"/>
              </w:rPr>
            </w:pPr>
            <w:r w:rsidRPr="00053FD1">
              <w:rPr>
                <w:color w:val="000000"/>
              </w:rPr>
              <w:t>9</w:t>
            </w:r>
          </w:p>
        </w:tc>
        <w:tc>
          <w:tcPr>
            <w:tcW w:w="634" w:type="pct"/>
          </w:tcPr>
          <w:p w14:paraId="6174651C" w14:textId="77777777" w:rsidR="00860F8E" w:rsidRPr="00053FD1" w:rsidRDefault="00860F8E" w:rsidP="005D646B">
            <w:pPr>
              <w:pStyle w:val="TableText"/>
              <w:rPr>
                <w:color w:val="000000"/>
              </w:rPr>
            </w:pPr>
            <w:r w:rsidRPr="00053FD1">
              <w:rPr>
                <w:color w:val="000000"/>
              </w:rPr>
              <w:t>5</w:t>
            </w:r>
          </w:p>
        </w:tc>
        <w:tc>
          <w:tcPr>
            <w:tcW w:w="553" w:type="pct"/>
          </w:tcPr>
          <w:p w14:paraId="4957DA02" w14:textId="77777777" w:rsidR="00860F8E" w:rsidRPr="00053FD1" w:rsidRDefault="00860F8E" w:rsidP="005D646B">
            <w:pPr>
              <w:pStyle w:val="TableText"/>
              <w:rPr>
                <w:color w:val="000000"/>
              </w:rPr>
            </w:pPr>
            <w:r w:rsidRPr="00053FD1">
              <w:rPr>
                <w:color w:val="000000"/>
              </w:rPr>
              <w:t>7</w:t>
            </w:r>
          </w:p>
        </w:tc>
        <w:tc>
          <w:tcPr>
            <w:tcW w:w="577" w:type="pct"/>
          </w:tcPr>
          <w:p w14:paraId="4A535BB6" w14:textId="77777777" w:rsidR="00860F8E" w:rsidRPr="00053FD1" w:rsidRDefault="00860F8E" w:rsidP="005D646B">
            <w:pPr>
              <w:pStyle w:val="TableText"/>
            </w:pPr>
            <w:r w:rsidRPr="00053FD1">
              <w:t>7</w:t>
            </w:r>
          </w:p>
        </w:tc>
      </w:tr>
      <w:tr w:rsidR="00860F8E" w:rsidRPr="00053FD1" w14:paraId="3D076706" w14:textId="77777777" w:rsidTr="00A858B3">
        <w:tc>
          <w:tcPr>
            <w:tcW w:w="5000" w:type="pct"/>
            <w:gridSpan w:val="7"/>
            <w:shd w:val="clear" w:color="auto" w:fill="E6E6E6"/>
          </w:tcPr>
          <w:p w14:paraId="3A648321" w14:textId="77777777" w:rsidR="00860F8E" w:rsidRPr="005D646B" w:rsidRDefault="00860F8E" w:rsidP="005D646B">
            <w:pPr>
              <w:pStyle w:val="TableText"/>
              <w:rPr>
                <w:b/>
              </w:rPr>
            </w:pPr>
            <w:r w:rsidRPr="005D646B">
              <w:rPr>
                <w:b/>
              </w:rPr>
              <w:t>One-off production certificates</w:t>
            </w:r>
          </w:p>
        </w:tc>
      </w:tr>
      <w:tr w:rsidR="00860F8E" w:rsidRPr="00053FD1" w14:paraId="6C78887D" w14:textId="77777777" w:rsidTr="00A858B3">
        <w:tc>
          <w:tcPr>
            <w:tcW w:w="1948" w:type="pct"/>
            <w:gridSpan w:val="2"/>
          </w:tcPr>
          <w:p w14:paraId="60082972" w14:textId="77777777" w:rsidR="00860F8E" w:rsidRPr="00053FD1" w:rsidRDefault="00860F8E" w:rsidP="005D646B">
            <w:pPr>
              <w:pStyle w:val="TableText"/>
              <w:rPr>
                <w:color w:val="000000"/>
              </w:rPr>
            </w:pPr>
            <w:r w:rsidRPr="00053FD1">
              <w:rPr>
                <w:color w:val="000000"/>
              </w:rPr>
              <w:t>Initial issue</w:t>
            </w:r>
          </w:p>
        </w:tc>
        <w:tc>
          <w:tcPr>
            <w:tcW w:w="656" w:type="pct"/>
          </w:tcPr>
          <w:p w14:paraId="342AD335" w14:textId="77777777" w:rsidR="00860F8E" w:rsidRPr="00053FD1" w:rsidRDefault="00860F8E" w:rsidP="005D646B">
            <w:pPr>
              <w:pStyle w:val="TableText"/>
              <w:rPr>
                <w:color w:val="000000"/>
              </w:rPr>
            </w:pPr>
            <w:r w:rsidRPr="00053FD1">
              <w:rPr>
                <w:color w:val="000000"/>
              </w:rPr>
              <w:t>3</w:t>
            </w:r>
          </w:p>
        </w:tc>
        <w:tc>
          <w:tcPr>
            <w:tcW w:w="631" w:type="pct"/>
          </w:tcPr>
          <w:p w14:paraId="69F55518" w14:textId="77777777" w:rsidR="00860F8E" w:rsidRPr="00053FD1" w:rsidRDefault="00860F8E" w:rsidP="005D646B">
            <w:pPr>
              <w:pStyle w:val="TableText"/>
              <w:rPr>
                <w:color w:val="000000"/>
              </w:rPr>
            </w:pPr>
            <w:r w:rsidRPr="00053FD1">
              <w:rPr>
                <w:color w:val="000000"/>
              </w:rPr>
              <w:t>5</w:t>
            </w:r>
          </w:p>
        </w:tc>
        <w:tc>
          <w:tcPr>
            <w:tcW w:w="634" w:type="pct"/>
          </w:tcPr>
          <w:p w14:paraId="03CE6672" w14:textId="77777777" w:rsidR="00860F8E" w:rsidRPr="00053FD1" w:rsidRDefault="00860F8E" w:rsidP="005D646B">
            <w:pPr>
              <w:pStyle w:val="TableText"/>
              <w:rPr>
                <w:color w:val="000000"/>
              </w:rPr>
            </w:pPr>
            <w:r w:rsidRPr="00053FD1">
              <w:rPr>
                <w:color w:val="000000"/>
              </w:rPr>
              <w:t>5</w:t>
            </w:r>
          </w:p>
        </w:tc>
        <w:tc>
          <w:tcPr>
            <w:tcW w:w="553" w:type="pct"/>
          </w:tcPr>
          <w:p w14:paraId="203CC609" w14:textId="77777777" w:rsidR="00860F8E" w:rsidRPr="00053FD1" w:rsidRDefault="00860F8E" w:rsidP="005D646B">
            <w:pPr>
              <w:pStyle w:val="TableText"/>
              <w:rPr>
                <w:color w:val="000000"/>
              </w:rPr>
            </w:pPr>
            <w:r w:rsidRPr="00053FD1">
              <w:rPr>
                <w:color w:val="000000"/>
              </w:rPr>
              <w:t>4</w:t>
            </w:r>
          </w:p>
        </w:tc>
        <w:tc>
          <w:tcPr>
            <w:tcW w:w="577" w:type="pct"/>
          </w:tcPr>
          <w:p w14:paraId="5685F799" w14:textId="77777777" w:rsidR="00860F8E" w:rsidRPr="00053FD1" w:rsidRDefault="00860F8E" w:rsidP="005D646B">
            <w:pPr>
              <w:pStyle w:val="TableText"/>
            </w:pPr>
            <w:r w:rsidRPr="00053FD1">
              <w:t>2</w:t>
            </w:r>
          </w:p>
        </w:tc>
      </w:tr>
      <w:tr w:rsidR="00860F8E" w:rsidRPr="00053FD1" w14:paraId="7A6E2DF1" w14:textId="77777777" w:rsidTr="00A858B3">
        <w:tc>
          <w:tcPr>
            <w:tcW w:w="1948" w:type="pct"/>
            <w:gridSpan w:val="2"/>
          </w:tcPr>
          <w:p w14:paraId="6719106E" w14:textId="77777777" w:rsidR="00860F8E" w:rsidRPr="00053FD1" w:rsidRDefault="00860F8E" w:rsidP="005D646B">
            <w:pPr>
              <w:pStyle w:val="TableText"/>
              <w:rPr>
                <w:color w:val="000000"/>
              </w:rPr>
            </w:pPr>
            <w:r w:rsidRPr="00053FD1">
              <w:rPr>
                <w:color w:val="000000"/>
              </w:rPr>
              <w:t>Variation</w:t>
            </w:r>
          </w:p>
        </w:tc>
        <w:tc>
          <w:tcPr>
            <w:tcW w:w="656" w:type="pct"/>
          </w:tcPr>
          <w:p w14:paraId="479830E4" w14:textId="77777777" w:rsidR="00860F8E" w:rsidRPr="00053FD1" w:rsidRDefault="00860F8E" w:rsidP="005D646B">
            <w:pPr>
              <w:pStyle w:val="TableText"/>
              <w:rPr>
                <w:color w:val="000000"/>
              </w:rPr>
            </w:pPr>
            <w:r w:rsidRPr="00053FD1">
              <w:rPr>
                <w:color w:val="000000"/>
              </w:rPr>
              <w:t>2</w:t>
            </w:r>
          </w:p>
        </w:tc>
        <w:tc>
          <w:tcPr>
            <w:tcW w:w="631" w:type="pct"/>
          </w:tcPr>
          <w:p w14:paraId="34986801" w14:textId="77777777" w:rsidR="00860F8E" w:rsidRPr="00053FD1" w:rsidRDefault="00860F8E" w:rsidP="005D646B">
            <w:pPr>
              <w:pStyle w:val="TableText"/>
              <w:rPr>
                <w:color w:val="000000"/>
              </w:rPr>
            </w:pPr>
            <w:r w:rsidRPr="00053FD1">
              <w:rPr>
                <w:color w:val="000000"/>
              </w:rPr>
              <w:t>2</w:t>
            </w:r>
          </w:p>
        </w:tc>
        <w:tc>
          <w:tcPr>
            <w:tcW w:w="634" w:type="pct"/>
          </w:tcPr>
          <w:p w14:paraId="55DACBA6" w14:textId="77777777" w:rsidR="00860F8E" w:rsidRPr="00053FD1" w:rsidRDefault="00860F8E" w:rsidP="005D646B">
            <w:pPr>
              <w:pStyle w:val="TableText"/>
              <w:rPr>
                <w:color w:val="000000"/>
              </w:rPr>
            </w:pPr>
            <w:r w:rsidRPr="00053FD1">
              <w:rPr>
                <w:color w:val="000000"/>
              </w:rPr>
              <w:t>8</w:t>
            </w:r>
          </w:p>
        </w:tc>
        <w:tc>
          <w:tcPr>
            <w:tcW w:w="553" w:type="pct"/>
          </w:tcPr>
          <w:p w14:paraId="45C37E9D" w14:textId="77777777" w:rsidR="00860F8E" w:rsidRPr="00053FD1" w:rsidRDefault="00860F8E" w:rsidP="005D646B">
            <w:pPr>
              <w:pStyle w:val="TableText"/>
              <w:rPr>
                <w:color w:val="000000"/>
              </w:rPr>
            </w:pPr>
            <w:r w:rsidRPr="00053FD1">
              <w:rPr>
                <w:color w:val="000000"/>
              </w:rPr>
              <w:t>8</w:t>
            </w:r>
          </w:p>
        </w:tc>
        <w:tc>
          <w:tcPr>
            <w:tcW w:w="577" w:type="pct"/>
          </w:tcPr>
          <w:p w14:paraId="77DD28AB" w14:textId="77777777" w:rsidR="00860F8E" w:rsidRPr="00053FD1" w:rsidRDefault="00860F8E" w:rsidP="005D646B">
            <w:pPr>
              <w:pStyle w:val="TableText"/>
            </w:pPr>
            <w:r w:rsidRPr="00053FD1">
              <w:t>0</w:t>
            </w:r>
          </w:p>
        </w:tc>
      </w:tr>
      <w:tr w:rsidR="00860F8E" w:rsidRPr="00053FD1" w14:paraId="1AB35D09" w14:textId="77777777" w:rsidTr="00A858B3">
        <w:tc>
          <w:tcPr>
            <w:tcW w:w="1939" w:type="pct"/>
          </w:tcPr>
          <w:p w14:paraId="6FE56046" w14:textId="77777777" w:rsidR="00860F8E" w:rsidRPr="00053FD1" w:rsidRDefault="00860F8E" w:rsidP="005D646B">
            <w:pPr>
              <w:pStyle w:val="TableText"/>
            </w:pPr>
            <w:r w:rsidRPr="00053FD1">
              <w:t>Under voluntary suspension at 30 June</w:t>
            </w:r>
          </w:p>
        </w:tc>
        <w:tc>
          <w:tcPr>
            <w:tcW w:w="665" w:type="pct"/>
            <w:gridSpan w:val="2"/>
          </w:tcPr>
          <w:p w14:paraId="4DAB42A8" w14:textId="77777777" w:rsidR="00860F8E" w:rsidRPr="00053FD1" w:rsidRDefault="00860F8E" w:rsidP="005D646B">
            <w:pPr>
              <w:pStyle w:val="TableText"/>
              <w:rPr>
                <w:color w:val="000000"/>
              </w:rPr>
            </w:pPr>
            <w:r w:rsidRPr="00053FD1">
              <w:rPr>
                <w:color w:val="000000"/>
              </w:rPr>
              <w:t>2</w:t>
            </w:r>
          </w:p>
        </w:tc>
        <w:tc>
          <w:tcPr>
            <w:tcW w:w="631" w:type="pct"/>
          </w:tcPr>
          <w:p w14:paraId="3E291028" w14:textId="77777777" w:rsidR="00860F8E" w:rsidRPr="00053FD1" w:rsidRDefault="00860F8E" w:rsidP="005D646B">
            <w:pPr>
              <w:pStyle w:val="TableText"/>
              <w:rPr>
                <w:color w:val="000000"/>
              </w:rPr>
            </w:pPr>
            <w:r w:rsidRPr="00053FD1">
              <w:rPr>
                <w:color w:val="000000"/>
              </w:rPr>
              <w:t>2</w:t>
            </w:r>
          </w:p>
        </w:tc>
        <w:tc>
          <w:tcPr>
            <w:tcW w:w="634" w:type="pct"/>
          </w:tcPr>
          <w:p w14:paraId="485DA24D" w14:textId="77777777" w:rsidR="00860F8E" w:rsidRPr="00053FD1" w:rsidRDefault="00860F8E" w:rsidP="005D646B">
            <w:pPr>
              <w:pStyle w:val="TableText"/>
              <w:rPr>
                <w:color w:val="000000"/>
              </w:rPr>
            </w:pPr>
            <w:r w:rsidRPr="00053FD1">
              <w:rPr>
                <w:color w:val="000000"/>
              </w:rPr>
              <w:t>3</w:t>
            </w:r>
          </w:p>
        </w:tc>
        <w:tc>
          <w:tcPr>
            <w:tcW w:w="553" w:type="pct"/>
          </w:tcPr>
          <w:p w14:paraId="4B2840A9" w14:textId="77777777" w:rsidR="00860F8E" w:rsidRPr="00053FD1" w:rsidRDefault="00860F8E" w:rsidP="005D646B">
            <w:pPr>
              <w:pStyle w:val="TableText"/>
              <w:rPr>
                <w:color w:val="000000"/>
              </w:rPr>
            </w:pPr>
            <w:r w:rsidRPr="00053FD1">
              <w:rPr>
                <w:color w:val="000000"/>
              </w:rPr>
              <w:t>4</w:t>
            </w:r>
          </w:p>
        </w:tc>
        <w:tc>
          <w:tcPr>
            <w:tcW w:w="577" w:type="pct"/>
          </w:tcPr>
          <w:p w14:paraId="62456151" w14:textId="77777777" w:rsidR="00860F8E" w:rsidRPr="00053FD1" w:rsidRDefault="00860F8E" w:rsidP="005D646B">
            <w:pPr>
              <w:pStyle w:val="TableText"/>
            </w:pPr>
            <w:r w:rsidRPr="00053FD1">
              <w:t>3</w:t>
            </w:r>
          </w:p>
        </w:tc>
      </w:tr>
      <w:tr w:rsidR="00860F8E" w:rsidRPr="00053FD1" w14:paraId="72A934AC" w14:textId="77777777" w:rsidTr="00A858B3">
        <w:tc>
          <w:tcPr>
            <w:tcW w:w="1939" w:type="pct"/>
          </w:tcPr>
          <w:p w14:paraId="6E04D85E" w14:textId="77777777" w:rsidR="00860F8E" w:rsidRPr="00053FD1" w:rsidRDefault="00860F8E" w:rsidP="005D646B">
            <w:pPr>
              <w:pStyle w:val="TableText"/>
            </w:pPr>
            <w:r w:rsidRPr="00053FD1">
              <w:t>Active at 30 June</w:t>
            </w:r>
          </w:p>
        </w:tc>
        <w:tc>
          <w:tcPr>
            <w:tcW w:w="665" w:type="pct"/>
            <w:gridSpan w:val="2"/>
          </w:tcPr>
          <w:p w14:paraId="4AED6D88" w14:textId="77777777" w:rsidR="00860F8E" w:rsidRPr="00053FD1" w:rsidRDefault="00860F8E" w:rsidP="005D646B">
            <w:pPr>
              <w:pStyle w:val="TableText"/>
              <w:rPr>
                <w:color w:val="000000"/>
              </w:rPr>
            </w:pPr>
            <w:r w:rsidRPr="00053FD1">
              <w:rPr>
                <w:color w:val="000000"/>
              </w:rPr>
              <w:t>24</w:t>
            </w:r>
          </w:p>
        </w:tc>
        <w:tc>
          <w:tcPr>
            <w:tcW w:w="631" w:type="pct"/>
          </w:tcPr>
          <w:p w14:paraId="118FDD17" w14:textId="77777777" w:rsidR="00860F8E" w:rsidRPr="00053FD1" w:rsidRDefault="00860F8E" w:rsidP="005D646B">
            <w:pPr>
              <w:pStyle w:val="TableText"/>
              <w:rPr>
                <w:color w:val="000000"/>
              </w:rPr>
            </w:pPr>
            <w:r w:rsidRPr="00053FD1">
              <w:rPr>
                <w:color w:val="000000"/>
              </w:rPr>
              <w:t>29</w:t>
            </w:r>
          </w:p>
        </w:tc>
        <w:tc>
          <w:tcPr>
            <w:tcW w:w="634" w:type="pct"/>
          </w:tcPr>
          <w:p w14:paraId="5721774C" w14:textId="77777777" w:rsidR="00860F8E" w:rsidRPr="00053FD1" w:rsidRDefault="00860F8E" w:rsidP="005D646B">
            <w:pPr>
              <w:pStyle w:val="TableText"/>
              <w:rPr>
                <w:color w:val="000000"/>
              </w:rPr>
            </w:pPr>
            <w:r w:rsidRPr="00053FD1">
              <w:rPr>
                <w:color w:val="000000"/>
              </w:rPr>
              <w:t>33</w:t>
            </w:r>
          </w:p>
        </w:tc>
        <w:tc>
          <w:tcPr>
            <w:tcW w:w="553" w:type="pct"/>
          </w:tcPr>
          <w:p w14:paraId="39EA8470" w14:textId="77777777" w:rsidR="00860F8E" w:rsidRPr="00053FD1" w:rsidRDefault="00860F8E" w:rsidP="005D646B">
            <w:pPr>
              <w:pStyle w:val="TableText"/>
              <w:rPr>
                <w:color w:val="000000"/>
              </w:rPr>
            </w:pPr>
            <w:r w:rsidRPr="00053FD1">
              <w:rPr>
                <w:color w:val="000000"/>
              </w:rPr>
              <w:t>33</w:t>
            </w:r>
          </w:p>
        </w:tc>
        <w:tc>
          <w:tcPr>
            <w:tcW w:w="577" w:type="pct"/>
          </w:tcPr>
          <w:p w14:paraId="74E790C1" w14:textId="77777777" w:rsidR="00860F8E" w:rsidRPr="00053FD1" w:rsidRDefault="00860F8E" w:rsidP="005D646B">
            <w:pPr>
              <w:pStyle w:val="TableText"/>
            </w:pPr>
            <w:r w:rsidRPr="00053FD1">
              <w:t>35</w:t>
            </w:r>
          </w:p>
        </w:tc>
      </w:tr>
      <w:tr w:rsidR="00860F8E" w:rsidRPr="00053FD1" w14:paraId="73A06491" w14:textId="77777777" w:rsidTr="00A858B3">
        <w:tc>
          <w:tcPr>
            <w:tcW w:w="5000" w:type="pct"/>
            <w:gridSpan w:val="7"/>
            <w:shd w:val="clear" w:color="auto" w:fill="E6E6E6"/>
          </w:tcPr>
          <w:p w14:paraId="60568E5D" w14:textId="77777777" w:rsidR="00860F8E" w:rsidRPr="005D646B" w:rsidRDefault="00860F8E" w:rsidP="005D646B">
            <w:pPr>
              <w:pStyle w:val="TableText"/>
              <w:rPr>
                <w:b/>
              </w:rPr>
            </w:pPr>
            <w:r w:rsidRPr="005D646B">
              <w:rPr>
                <w:b/>
              </w:rPr>
              <w:t xml:space="preserve">Australian parts manufacturing approval </w:t>
            </w:r>
          </w:p>
        </w:tc>
      </w:tr>
      <w:tr w:rsidR="00860F8E" w:rsidRPr="00053FD1" w14:paraId="27922207" w14:textId="77777777" w:rsidTr="00A858B3">
        <w:tc>
          <w:tcPr>
            <w:tcW w:w="1939" w:type="pct"/>
          </w:tcPr>
          <w:p w14:paraId="6B3F0642" w14:textId="77777777" w:rsidR="00860F8E" w:rsidRPr="00053FD1" w:rsidRDefault="00860F8E" w:rsidP="005D646B">
            <w:pPr>
              <w:pStyle w:val="TableText"/>
            </w:pPr>
            <w:r w:rsidRPr="00053FD1">
              <w:t>Initial issue</w:t>
            </w:r>
          </w:p>
        </w:tc>
        <w:tc>
          <w:tcPr>
            <w:tcW w:w="665" w:type="pct"/>
            <w:gridSpan w:val="2"/>
          </w:tcPr>
          <w:p w14:paraId="6BE00E48" w14:textId="77777777" w:rsidR="00860F8E" w:rsidRPr="00053FD1" w:rsidRDefault="00860F8E" w:rsidP="005D646B">
            <w:pPr>
              <w:pStyle w:val="TableText"/>
              <w:rPr>
                <w:color w:val="000000"/>
              </w:rPr>
            </w:pPr>
            <w:r w:rsidRPr="00053FD1">
              <w:rPr>
                <w:color w:val="000000"/>
              </w:rPr>
              <w:t>1</w:t>
            </w:r>
          </w:p>
        </w:tc>
        <w:tc>
          <w:tcPr>
            <w:tcW w:w="631" w:type="pct"/>
          </w:tcPr>
          <w:p w14:paraId="0D90C730" w14:textId="77777777" w:rsidR="00860F8E" w:rsidRPr="00053FD1" w:rsidRDefault="00860F8E" w:rsidP="005D646B">
            <w:pPr>
              <w:pStyle w:val="TableText"/>
              <w:rPr>
                <w:color w:val="000000"/>
              </w:rPr>
            </w:pPr>
            <w:r w:rsidRPr="00053FD1">
              <w:rPr>
                <w:color w:val="000000"/>
              </w:rPr>
              <w:t>1</w:t>
            </w:r>
          </w:p>
        </w:tc>
        <w:tc>
          <w:tcPr>
            <w:tcW w:w="634" w:type="pct"/>
          </w:tcPr>
          <w:p w14:paraId="063626A0" w14:textId="77777777" w:rsidR="00860F8E" w:rsidRPr="00053FD1" w:rsidRDefault="00860F8E" w:rsidP="005D646B">
            <w:pPr>
              <w:pStyle w:val="TableText"/>
              <w:rPr>
                <w:color w:val="000000"/>
              </w:rPr>
            </w:pPr>
            <w:r w:rsidRPr="00053FD1">
              <w:rPr>
                <w:color w:val="000000"/>
              </w:rPr>
              <w:t>1</w:t>
            </w:r>
          </w:p>
        </w:tc>
        <w:tc>
          <w:tcPr>
            <w:tcW w:w="553" w:type="pct"/>
          </w:tcPr>
          <w:p w14:paraId="667485B7" w14:textId="77777777" w:rsidR="00860F8E" w:rsidRPr="00053FD1" w:rsidRDefault="00860F8E" w:rsidP="005D646B">
            <w:pPr>
              <w:pStyle w:val="TableText"/>
              <w:rPr>
                <w:color w:val="000000"/>
              </w:rPr>
            </w:pPr>
            <w:r w:rsidRPr="00053FD1">
              <w:rPr>
                <w:color w:val="000000"/>
              </w:rPr>
              <w:t>2</w:t>
            </w:r>
          </w:p>
        </w:tc>
        <w:tc>
          <w:tcPr>
            <w:tcW w:w="577" w:type="pct"/>
          </w:tcPr>
          <w:p w14:paraId="1F3AA329" w14:textId="77777777" w:rsidR="00860F8E" w:rsidRPr="00053FD1" w:rsidRDefault="00860F8E" w:rsidP="005D646B">
            <w:pPr>
              <w:pStyle w:val="TableText"/>
            </w:pPr>
            <w:r w:rsidRPr="00053FD1">
              <w:t>1</w:t>
            </w:r>
          </w:p>
        </w:tc>
      </w:tr>
      <w:tr w:rsidR="00860F8E" w:rsidRPr="00053FD1" w14:paraId="1468F30E" w14:textId="77777777" w:rsidTr="00A858B3">
        <w:tc>
          <w:tcPr>
            <w:tcW w:w="1939" w:type="pct"/>
          </w:tcPr>
          <w:p w14:paraId="2C3040FC" w14:textId="77777777" w:rsidR="00860F8E" w:rsidRPr="00053FD1" w:rsidRDefault="00860F8E" w:rsidP="005D646B">
            <w:pPr>
              <w:pStyle w:val="TableText"/>
            </w:pPr>
            <w:r w:rsidRPr="00053FD1">
              <w:t>Variation</w:t>
            </w:r>
          </w:p>
        </w:tc>
        <w:tc>
          <w:tcPr>
            <w:tcW w:w="665" w:type="pct"/>
            <w:gridSpan w:val="2"/>
          </w:tcPr>
          <w:p w14:paraId="5239C03D" w14:textId="77777777" w:rsidR="00860F8E" w:rsidRPr="00053FD1" w:rsidRDefault="00860F8E" w:rsidP="005D646B">
            <w:pPr>
              <w:pStyle w:val="TableText"/>
              <w:rPr>
                <w:color w:val="000000"/>
              </w:rPr>
            </w:pPr>
            <w:r w:rsidRPr="00053FD1">
              <w:rPr>
                <w:color w:val="000000"/>
              </w:rPr>
              <w:t>3</w:t>
            </w:r>
          </w:p>
        </w:tc>
        <w:tc>
          <w:tcPr>
            <w:tcW w:w="631" w:type="pct"/>
          </w:tcPr>
          <w:p w14:paraId="0C90C2F3" w14:textId="77777777" w:rsidR="00860F8E" w:rsidRPr="00053FD1" w:rsidRDefault="00860F8E" w:rsidP="005D646B">
            <w:pPr>
              <w:pStyle w:val="TableText"/>
              <w:rPr>
                <w:color w:val="000000"/>
              </w:rPr>
            </w:pPr>
            <w:r w:rsidRPr="00053FD1">
              <w:rPr>
                <w:color w:val="000000"/>
              </w:rPr>
              <w:t>7</w:t>
            </w:r>
          </w:p>
        </w:tc>
        <w:tc>
          <w:tcPr>
            <w:tcW w:w="634" w:type="pct"/>
          </w:tcPr>
          <w:p w14:paraId="28938F23" w14:textId="77777777" w:rsidR="00860F8E" w:rsidRPr="00053FD1" w:rsidRDefault="00860F8E" w:rsidP="005D646B">
            <w:pPr>
              <w:pStyle w:val="TableText"/>
              <w:rPr>
                <w:color w:val="000000"/>
              </w:rPr>
            </w:pPr>
            <w:r w:rsidRPr="00053FD1">
              <w:rPr>
                <w:color w:val="000000"/>
              </w:rPr>
              <w:t>8</w:t>
            </w:r>
          </w:p>
        </w:tc>
        <w:tc>
          <w:tcPr>
            <w:tcW w:w="553" w:type="pct"/>
          </w:tcPr>
          <w:p w14:paraId="3FE707A8" w14:textId="77777777" w:rsidR="00860F8E" w:rsidRPr="00053FD1" w:rsidRDefault="00860F8E" w:rsidP="005D646B">
            <w:pPr>
              <w:pStyle w:val="TableText"/>
              <w:rPr>
                <w:color w:val="000000"/>
              </w:rPr>
            </w:pPr>
            <w:r w:rsidRPr="00053FD1">
              <w:rPr>
                <w:color w:val="000000"/>
              </w:rPr>
              <w:t>8</w:t>
            </w:r>
          </w:p>
        </w:tc>
        <w:tc>
          <w:tcPr>
            <w:tcW w:w="577" w:type="pct"/>
          </w:tcPr>
          <w:p w14:paraId="1D1D9EFC" w14:textId="77777777" w:rsidR="00860F8E" w:rsidRPr="00053FD1" w:rsidRDefault="00860F8E" w:rsidP="005D646B">
            <w:pPr>
              <w:pStyle w:val="TableText"/>
            </w:pPr>
            <w:r w:rsidRPr="00053FD1">
              <w:t>9</w:t>
            </w:r>
          </w:p>
        </w:tc>
      </w:tr>
      <w:tr w:rsidR="00860F8E" w:rsidRPr="00053FD1" w14:paraId="165860B3" w14:textId="77777777" w:rsidTr="00A858B3">
        <w:tc>
          <w:tcPr>
            <w:tcW w:w="1939" w:type="pct"/>
          </w:tcPr>
          <w:p w14:paraId="19411AD5" w14:textId="77777777" w:rsidR="00860F8E" w:rsidRPr="00053FD1" w:rsidRDefault="00860F8E" w:rsidP="005D646B">
            <w:pPr>
              <w:pStyle w:val="TableText"/>
            </w:pPr>
            <w:r w:rsidRPr="00053FD1">
              <w:t>Under voluntary suspension at 30 June</w:t>
            </w:r>
          </w:p>
        </w:tc>
        <w:tc>
          <w:tcPr>
            <w:tcW w:w="665" w:type="pct"/>
            <w:gridSpan w:val="2"/>
          </w:tcPr>
          <w:p w14:paraId="71AF2070" w14:textId="77777777" w:rsidR="00860F8E" w:rsidRPr="00053FD1" w:rsidRDefault="00860F8E" w:rsidP="005D646B">
            <w:pPr>
              <w:pStyle w:val="TableText"/>
              <w:rPr>
                <w:color w:val="000000"/>
              </w:rPr>
            </w:pPr>
            <w:r w:rsidRPr="00053FD1">
              <w:rPr>
                <w:color w:val="000000"/>
              </w:rPr>
              <w:t>10</w:t>
            </w:r>
          </w:p>
        </w:tc>
        <w:tc>
          <w:tcPr>
            <w:tcW w:w="631" w:type="pct"/>
          </w:tcPr>
          <w:p w14:paraId="667C5854" w14:textId="77777777" w:rsidR="00860F8E" w:rsidRPr="00053FD1" w:rsidRDefault="00860F8E" w:rsidP="005D646B">
            <w:pPr>
              <w:pStyle w:val="TableText"/>
              <w:rPr>
                <w:color w:val="000000"/>
              </w:rPr>
            </w:pPr>
            <w:r w:rsidRPr="00053FD1">
              <w:rPr>
                <w:color w:val="000000"/>
              </w:rPr>
              <w:t>11</w:t>
            </w:r>
          </w:p>
        </w:tc>
        <w:tc>
          <w:tcPr>
            <w:tcW w:w="634" w:type="pct"/>
          </w:tcPr>
          <w:p w14:paraId="4B55813B" w14:textId="77777777" w:rsidR="00860F8E" w:rsidRPr="00053FD1" w:rsidRDefault="00860F8E" w:rsidP="005D646B">
            <w:pPr>
              <w:pStyle w:val="TableText"/>
              <w:rPr>
                <w:color w:val="000000"/>
              </w:rPr>
            </w:pPr>
            <w:r w:rsidRPr="00053FD1">
              <w:rPr>
                <w:color w:val="000000"/>
              </w:rPr>
              <w:t>11</w:t>
            </w:r>
          </w:p>
        </w:tc>
        <w:tc>
          <w:tcPr>
            <w:tcW w:w="553" w:type="pct"/>
          </w:tcPr>
          <w:p w14:paraId="2A4B91CC" w14:textId="77777777" w:rsidR="00860F8E" w:rsidRPr="00053FD1" w:rsidRDefault="00860F8E" w:rsidP="005D646B">
            <w:pPr>
              <w:pStyle w:val="TableText"/>
              <w:rPr>
                <w:color w:val="000000"/>
              </w:rPr>
            </w:pPr>
            <w:r w:rsidRPr="00053FD1">
              <w:rPr>
                <w:color w:val="000000"/>
              </w:rPr>
              <w:t>11</w:t>
            </w:r>
          </w:p>
        </w:tc>
        <w:tc>
          <w:tcPr>
            <w:tcW w:w="577" w:type="pct"/>
          </w:tcPr>
          <w:p w14:paraId="3024FF06" w14:textId="77777777" w:rsidR="00860F8E" w:rsidRPr="00053FD1" w:rsidRDefault="00860F8E" w:rsidP="005D646B">
            <w:pPr>
              <w:pStyle w:val="TableText"/>
            </w:pPr>
            <w:r w:rsidRPr="00053FD1">
              <w:t>12</w:t>
            </w:r>
          </w:p>
        </w:tc>
      </w:tr>
      <w:tr w:rsidR="00860F8E" w:rsidRPr="00053FD1" w14:paraId="2E5BC712" w14:textId="77777777" w:rsidTr="00A858B3">
        <w:tc>
          <w:tcPr>
            <w:tcW w:w="1948" w:type="pct"/>
            <w:gridSpan w:val="2"/>
          </w:tcPr>
          <w:p w14:paraId="57826C7F" w14:textId="77777777" w:rsidR="00860F8E" w:rsidRPr="00053FD1" w:rsidRDefault="00860F8E" w:rsidP="005D646B">
            <w:pPr>
              <w:pStyle w:val="TableText"/>
              <w:rPr>
                <w:color w:val="000000"/>
              </w:rPr>
            </w:pPr>
            <w:r w:rsidRPr="00053FD1">
              <w:rPr>
                <w:color w:val="000000"/>
              </w:rPr>
              <w:t>Active at 30 June</w:t>
            </w:r>
          </w:p>
        </w:tc>
        <w:tc>
          <w:tcPr>
            <w:tcW w:w="656" w:type="pct"/>
          </w:tcPr>
          <w:p w14:paraId="41892A30" w14:textId="77777777" w:rsidR="00860F8E" w:rsidRPr="00053FD1" w:rsidRDefault="00860F8E" w:rsidP="005D646B">
            <w:pPr>
              <w:pStyle w:val="TableText"/>
              <w:rPr>
                <w:color w:val="000000"/>
              </w:rPr>
            </w:pPr>
            <w:r w:rsidRPr="00053FD1">
              <w:rPr>
                <w:color w:val="000000"/>
              </w:rPr>
              <w:t>40</w:t>
            </w:r>
          </w:p>
        </w:tc>
        <w:tc>
          <w:tcPr>
            <w:tcW w:w="631" w:type="pct"/>
          </w:tcPr>
          <w:p w14:paraId="46245C69" w14:textId="77777777" w:rsidR="00860F8E" w:rsidRPr="00053FD1" w:rsidRDefault="00860F8E" w:rsidP="005D646B">
            <w:pPr>
              <w:pStyle w:val="TableText"/>
              <w:rPr>
                <w:color w:val="000000"/>
              </w:rPr>
            </w:pPr>
            <w:r w:rsidRPr="00053FD1">
              <w:rPr>
                <w:color w:val="000000"/>
              </w:rPr>
              <w:t>38</w:t>
            </w:r>
          </w:p>
        </w:tc>
        <w:tc>
          <w:tcPr>
            <w:tcW w:w="634" w:type="pct"/>
          </w:tcPr>
          <w:p w14:paraId="7BFA1456" w14:textId="77777777" w:rsidR="00860F8E" w:rsidRPr="00053FD1" w:rsidRDefault="00860F8E" w:rsidP="005D646B">
            <w:pPr>
              <w:pStyle w:val="TableText"/>
              <w:rPr>
                <w:color w:val="000000"/>
              </w:rPr>
            </w:pPr>
            <w:r w:rsidRPr="00053FD1">
              <w:rPr>
                <w:color w:val="000000"/>
              </w:rPr>
              <w:t>39</w:t>
            </w:r>
          </w:p>
        </w:tc>
        <w:tc>
          <w:tcPr>
            <w:tcW w:w="553" w:type="pct"/>
          </w:tcPr>
          <w:p w14:paraId="43EB3289" w14:textId="77777777" w:rsidR="00860F8E" w:rsidRPr="00053FD1" w:rsidRDefault="00860F8E" w:rsidP="005D646B">
            <w:pPr>
              <w:pStyle w:val="TableText"/>
              <w:rPr>
                <w:color w:val="000000"/>
              </w:rPr>
            </w:pPr>
            <w:r w:rsidRPr="00053FD1">
              <w:rPr>
                <w:color w:val="000000"/>
              </w:rPr>
              <w:t>35</w:t>
            </w:r>
          </w:p>
        </w:tc>
        <w:tc>
          <w:tcPr>
            <w:tcW w:w="577" w:type="pct"/>
          </w:tcPr>
          <w:p w14:paraId="30FE7F06" w14:textId="77777777" w:rsidR="00860F8E" w:rsidRPr="00053FD1" w:rsidRDefault="00860F8E" w:rsidP="005D646B">
            <w:pPr>
              <w:pStyle w:val="TableText"/>
            </w:pPr>
            <w:r w:rsidRPr="00053FD1">
              <w:t>35</w:t>
            </w:r>
          </w:p>
        </w:tc>
      </w:tr>
      <w:tr w:rsidR="00860F8E" w:rsidRPr="00053FD1" w14:paraId="5FB73395" w14:textId="77777777" w:rsidTr="00A858B3">
        <w:tc>
          <w:tcPr>
            <w:tcW w:w="5000" w:type="pct"/>
            <w:gridSpan w:val="7"/>
            <w:shd w:val="clear" w:color="auto" w:fill="E6E6E6"/>
          </w:tcPr>
          <w:p w14:paraId="11F0D8BB" w14:textId="77777777" w:rsidR="00860F8E" w:rsidRPr="005D646B" w:rsidRDefault="00860F8E" w:rsidP="005D646B">
            <w:pPr>
              <w:pStyle w:val="TableText"/>
              <w:rPr>
                <w:b/>
              </w:rPr>
            </w:pPr>
            <w:r w:rsidRPr="005D646B">
              <w:rPr>
                <w:b/>
              </w:rPr>
              <w:t xml:space="preserve">Australian Technical Standard Order authorisation </w:t>
            </w:r>
          </w:p>
        </w:tc>
      </w:tr>
      <w:tr w:rsidR="00860F8E" w:rsidRPr="00053FD1" w14:paraId="428018BC" w14:textId="77777777" w:rsidTr="00A858B3">
        <w:tc>
          <w:tcPr>
            <w:tcW w:w="1948" w:type="pct"/>
            <w:gridSpan w:val="2"/>
          </w:tcPr>
          <w:p w14:paraId="1242B712" w14:textId="77777777" w:rsidR="00860F8E" w:rsidRPr="00053FD1" w:rsidRDefault="00860F8E" w:rsidP="005D646B">
            <w:pPr>
              <w:pStyle w:val="TableText"/>
              <w:rPr>
                <w:color w:val="000000"/>
              </w:rPr>
            </w:pPr>
            <w:r w:rsidRPr="00053FD1">
              <w:rPr>
                <w:color w:val="000000"/>
              </w:rPr>
              <w:t>Initial issue or variation</w:t>
            </w:r>
          </w:p>
        </w:tc>
        <w:tc>
          <w:tcPr>
            <w:tcW w:w="656" w:type="pct"/>
          </w:tcPr>
          <w:p w14:paraId="2475DC25" w14:textId="77777777" w:rsidR="00860F8E" w:rsidRPr="00053FD1" w:rsidRDefault="00860F8E" w:rsidP="005D646B">
            <w:pPr>
              <w:pStyle w:val="TableText"/>
              <w:rPr>
                <w:color w:val="000000"/>
              </w:rPr>
            </w:pPr>
            <w:r w:rsidRPr="00053FD1">
              <w:rPr>
                <w:color w:val="000000"/>
              </w:rPr>
              <w:t>3</w:t>
            </w:r>
          </w:p>
        </w:tc>
        <w:tc>
          <w:tcPr>
            <w:tcW w:w="631" w:type="pct"/>
          </w:tcPr>
          <w:p w14:paraId="588B5088" w14:textId="77777777" w:rsidR="00860F8E" w:rsidRPr="00053FD1" w:rsidRDefault="00860F8E" w:rsidP="005D646B">
            <w:pPr>
              <w:pStyle w:val="TableText"/>
              <w:rPr>
                <w:color w:val="000000"/>
              </w:rPr>
            </w:pPr>
            <w:r w:rsidRPr="00053FD1">
              <w:rPr>
                <w:color w:val="000000"/>
              </w:rPr>
              <w:t>4</w:t>
            </w:r>
          </w:p>
        </w:tc>
        <w:tc>
          <w:tcPr>
            <w:tcW w:w="634" w:type="pct"/>
          </w:tcPr>
          <w:p w14:paraId="739D4A1E" w14:textId="77777777" w:rsidR="00860F8E" w:rsidRPr="00053FD1" w:rsidRDefault="00860F8E" w:rsidP="005D646B">
            <w:pPr>
              <w:pStyle w:val="TableText"/>
              <w:rPr>
                <w:color w:val="000000"/>
              </w:rPr>
            </w:pPr>
            <w:r w:rsidRPr="00053FD1">
              <w:rPr>
                <w:color w:val="000000"/>
              </w:rPr>
              <w:t>2</w:t>
            </w:r>
          </w:p>
        </w:tc>
        <w:tc>
          <w:tcPr>
            <w:tcW w:w="553" w:type="pct"/>
          </w:tcPr>
          <w:p w14:paraId="7431637F" w14:textId="77777777" w:rsidR="00860F8E" w:rsidRPr="00053FD1" w:rsidRDefault="00860F8E" w:rsidP="005D646B">
            <w:pPr>
              <w:pStyle w:val="TableText"/>
              <w:rPr>
                <w:color w:val="000000"/>
              </w:rPr>
            </w:pPr>
            <w:r w:rsidRPr="00053FD1">
              <w:rPr>
                <w:color w:val="000000"/>
              </w:rPr>
              <w:t>0</w:t>
            </w:r>
          </w:p>
        </w:tc>
        <w:tc>
          <w:tcPr>
            <w:tcW w:w="577" w:type="pct"/>
          </w:tcPr>
          <w:p w14:paraId="25C2F00E" w14:textId="77777777" w:rsidR="00860F8E" w:rsidRPr="00053FD1" w:rsidRDefault="00860F8E" w:rsidP="005D646B">
            <w:pPr>
              <w:pStyle w:val="TableText"/>
            </w:pPr>
            <w:r w:rsidRPr="00053FD1">
              <w:t>0</w:t>
            </w:r>
          </w:p>
        </w:tc>
      </w:tr>
      <w:tr w:rsidR="00860F8E" w:rsidRPr="00053FD1" w14:paraId="646C101F" w14:textId="77777777" w:rsidTr="00A858B3">
        <w:tc>
          <w:tcPr>
            <w:tcW w:w="1948" w:type="pct"/>
            <w:gridSpan w:val="2"/>
          </w:tcPr>
          <w:p w14:paraId="4741C15C" w14:textId="77777777" w:rsidR="00860F8E" w:rsidRPr="00053FD1" w:rsidRDefault="00860F8E" w:rsidP="005D646B">
            <w:pPr>
              <w:pStyle w:val="TableText"/>
              <w:rPr>
                <w:color w:val="000000"/>
              </w:rPr>
            </w:pPr>
            <w:r w:rsidRPr="00053FD1">
              <w:rPr>
                <w:color w:val="000000"/>
              </w:rPr>
              <w:t xml:space="preserve">Under voluntary suspension at 30 June </w:t>
            </w:r>
          </w:p>
        </w:tc>
        <w:tc>
          <w:tcPr>
            <w:tcW w:w="656" w:type="pct"/>
          </w:tcPr>
          <w:p w14:paraId="40A3B0D3" w14:textId="77777777" w:rsidR="00860F8E" w:rsidRPr="00053FD1" w:rsidRDefault="00860F8E" w:rsidP="005D646B">
            <w:pPr>
              <w:pStyle w:val="TableText"/>
              <w:rPr>
                <w:color w:val="000000"/>
              </w:rPr>
            </w:pPr>
            <w:r w:rsidRPr="00053FD1">
              <w:rPr>
                <w:color w:val="000000"/>
              </w:rPr>
              <w:t>2</w:t>
            </w:r>
          </w:p>
        </w:tc>
        <w:tc>
          <w:tcPr>
            <w:tcW w:w="631" w:type="pct"/>
          </w:tcPr>
          <w:p w14:paraId="62C376A7" w14:textId="77777777" w:rsidR="00860F8E" w:rsidRPr="00053FD1" w:rsidRDefault="00860F8E" w:rsidP="005D646B">
            <w:pPr>
              <w:pStyle w:val="TableText"/>
              <w:rPr>
                <w:color w:val="000000"/>
              </w:rPr>
            </w:pPr>
            <w:r w:rsidRPr="00053FD1">
              <w:rPr>
                <w:color w:val="000000"/>
              </w:rPr>
              <w:t>3</w:t>
            </w:r>
          </w:p>
        </w:tc>
        <w:tc>
          <w:tcPr>
            <w:tcW w:w="634" w:type="pct"/>
          </w:tcPr>
          <w:p w14:paraId="7FABC300" w14:textId="77777777" w:rsidR="00860F8E" w:rsidRPr="00053FD1" w:rsidRDefault="00860F8E" w:rsidP="005D646B">
            <w:pPr>
              <w:pStyle w:val="TableText"/>
              <w:rPr>
                <w:color w:val="000000"/>
              </w:rPr>
            </w:pPr>
            <w:r w:rsidRPr="00053FD1">
              <w:rPr>
                <w:color w:val="000000"/>
              </w:rPr>
              <w:t>3</w:t>
            </w:r>
          </w:p>
        </w:tc>
        <w:tc>
          <w:tcPr>
            <w:tcW w:w="553" w:type="pct"/>
          </w:tcPr>
          <w:p w14:paraId="7B64CB23" w14:textId="77777777" w:rsidR="00860F8E" w:rsidRPr="00053FD1" w:rsidRDefault="00860F8E" w:rsidP="005D646B">
            <w:pPr>
              <w:pStyle w:val="TableText"/>
              <w:rPr>
                <w:color w:val="000000"/>
              </w:rPr>
            </w:pPr>
            <w:r w:rsidRPr="00053FD1">
              <w:rPr>
                <w:color w:val="000000"/>
              </w:rPr>
              <w:t>4</w:t>
            </w:r>
          </w:p>
        </w:tc>
        <w:tc>
          <w:tcPr>
            <w:tcW w:w="577" w:type="pct"/>
          </w:tcPr>
          <w:p w14:paraId="64D1EC88" w14:textId="77777777" w:rsidR="00860F8E" w:rsidRPr="00053FD1" w:rsidRDefault="00860F8E" w:rsidP="005D646B">
            <w:pPr>
              <w:pStyle w:val="TableText"/>
            </w:pPr>
            <w:r w:rsidRPr="00053FD1">
              <w:t>3</w:t>
            </w:r>
          </w:p>
        </w:tc>
      </w:tr>
      <w:tr w:rsidR="00860F8E" w:rsidRPr="00053FD1" w14:paraId="76EC290B" w14:textId="77777777" w:rsidTr="00A858B3">
        <w:tc>
          <w:tcPr>
            <w:tcW w:w="1948" w:type="pct"/>
            <w:gridSpan w:val="2"/>
          </w:tcPr>
          <w:p w14:paraId="20B352A0" w14:textId="77777777" w:rsidR="00860F8E" w:rsidRPr="00053FD1" w:rsidRDefault="00860F8E" w:rsidP="005D646B">
            <w:pPr>
              <w:pStyle w:val="TableText"/>
              <w:rPr>
                <w:color w:val="000000"/>
              </w:rPr>
            </w:pPr>
            <w:r w:rsidRPr="00053FD1">
              <w:rPr>
                <w:color w:val="000000"/>
              </w:rPr>
              <w:t>Active at 30 June</w:t>
            </w:r>
          </w:p>
        </w:tc>
        <w:tc>
          <w:tcPr>
            <w:tcW w:w="656" w:type="pct"/>
          </w:tcPr>
          <w:p w14:paraId="1A75840B" w14:textId="77777777" w:rsidR="00860F8E" w:rsidRPr="00053FD1" w:rsidRDefault="00860F8E" w:rsidP="005D646B">
            <w:pPr>
              <w:pStyle w:val="TableText"/>
              <w:rPr>
                <w:color w:val="000000"/>
              </w:rPr>
            </w:pPr>
            <w:r w:rsidRPr="00053FD1">
              <w:rPr>
                <w:color w:val="000000"/>
              </w:rPr>
              <w:t>9</w:t>
            </w:r>
          </w:p>
        </w:tc>
        <w:tc>
          <w:tcPr>
            <w:tcW w:w="631" w:type="pct"/>
          </w:tcPr>
          <w:p w14:paraId="29574B27" w14:textId="77777777" w:rsidR="00860F8E" w:rsidRPr="00053FD1" w:rsidRDefault="00860F8E" w:rsidP="005D646B">
            <w:pPr>
              <w:pStyle w:val="TableText"/>
              <w:rPr>
                <w:color w:val="000000"/>
              </w:rPr>
            </w:pPr>
            <w:r w:rsidRPr="00053FD1">
              <w:rPr>
                <w:color w:val="000000"/>
              </w:rPr>
              <w:t>10</w:t>
            </w:r>
          </w:p>
        </w:tc>
        <w:tc>
          <w:tcPr>
            <w:tcW w:w="634" w:type="pct"/>
          </w:tcPr>
          <w:p w14:paraId="14EAD0A4" w14:textId="77777777" w:rsidR="00860F8E" w:rsidRPr="00053FD1" w:rsidRDefault="00860F8E" w:rsidP="005D646B">
            <w:pPr>
              <w:pStyle w:val="TableText"/>
              <w:rPr>
                <w:color w:val="000000"/>
              </w:rPr>
            </w:pPr>
            <w:r w:rsidRPr="00053FD1">
              <w:rPr>
                <w:color w:val="000000"/>
              </w:rPr>
              <w:t>11</w:t>
            </w:r>
          </w:p>
        </w:tc>
        <w:tc>
          <w:tcPr>
            <w:tcW w:w="553" w:type="pct"/>
          </w:tcPr>
          <w:p w14:paraId="0F52E345" w14:textId="77777777" w:rsidR="00860F8E" w:rsidRPr="00053FD1" w:rsidRDefault="00860F8E" w:rsidP="005D646B">
            <w:pPr>
              <w:pStyle w:val="TableText"/>
              <w:rPr>
                <w:color w:val="000000"/>
              </w:rPr>
            </w:pPr>
            <w:r w:rsidRPr="00053FD1">
              <w:rPr>
                <w:color w:val="000000"/>
              </w:rPr>
              <w:t>9</w:t>
            </w:r>
          </w:p>
        </w:tc>
        <w:tc>
          <w:tcPr>
            <w:tcW w:w="577" w:type="pct"/>
          </w:tcPr>
          <w:p w14:paraId="79E590AD" w14:textId="77777777" w:rsidR="00860F8E" w:rsidRPr="00053FD1" w:rsidRDefault="00860F8E" w:rsidP="005D646B">
            <w:pPr>
              <w:pStyle w:val="TableText"/>
            </w:pPr>
            <w:r w:rsidRPr="00053FD1">
              <w:t>9</w:t>
            </w:r>
          </w:p>
        </w:tc>
      </w:tr>
      <w:tr w:rsidR="00860F8E" w:rsidRPr="00053FD1" w14:paraId="68A5A459" w14:textId="77777777" w:rsidTr="00A858B3">
        <w:tc>
          <w:tcPr>
            <w:tcW w:w="5000" w:type="pct"/>
            <w:gridSpan w:val="7"/>
            <w:shd w:val="clear" w:color="auto" w:fill="E6E6E6"/>
          </w:tcPr>
          <w:p w14:paraId="5CEF6FEC" w14:textId="77777777" w:rsidR="00860F8E" w:rsidRPr="005D646B" w:rsidRDefault="00860F8E" w:rsidP="005D646B">
            <w:pPr>
              <w:pStyle w:val="TableText"/>
              <w:rPr>
                <w:b/>
              </w:rPr>
            </w:pPr>
            <w:r w:rsidRPr="005D646B">
              <w:rPr>
                <w:b/>
              </w:rPr>
              <w:t xml:space="preserve">Parts approval under </w:t>
            </w:r>
            <w:r w:rsidRPr="005D646B">
              <w:rPr>
                <w:b/>
                <w:lang w:val="en-AU"/>
              </w:rPr>
              <w:t>Civil Aviation Safety Regulations</w:t>
            </w:r>
            <w:r w:rsidRPr="005D646B">
              <w:rPr>
                <w:b/>
              </w:rPr>
              <w:t xml:space="preserve"> Regulation 21.305A</w:t>
            </w:r>
          </w:p>
        </w:tc>
      </w:tr>
      <w:tr w:rsidR="00860F8E" w:rsidRPr="0083596C" w14:paraId="36DE05C1" w14:textId="77777777" w:rsidTr="00A858B3">
        <w:tc>
          <w:tcPr>
            <w:tcW w:w="1948" w:type="pct"/>
            <w:gridSpan w:val="2"/>
          </w:tcPr>
          <w:p w14:paraId="359ECE96" w14:textId="77777777" w:rsidR="00860F8E" w:rsidRPr="00053FD1" w:rsidRDefault="00860F8E" w:rsidP="005D646B">
            <w:pPr>
              <w:pStyle w:val="TableText"/>
              <w:rPr>
                <w:color w:val="000000"/>
              </w:rPr>
            </w:pPr>
            <w:r w:rsidRPr="00053FD1">
              <w:rPr>
                <w:color w:val="000000"/>
              </w:rPr>
              <w:t>Initial issue or variation</w:t>
            </w:r>
          </w:p>
        </w:tc>
        <w:tc>
          <w:tcPr>
            <w:tcW w:w="656" w:type="pct"/>
          </w:tcPr>
          <w:p w14:paraId="28682BAF" w14:textId="77777777" w:rsidR="00860F8E" w:rsidRPr="00053FD1" w:rsidRDefault="00860F8E" w:rsidP="005D646B">
            <w:pPr>
              <w:pStyle w:val="TableText"/>
              <w:rPr>
                <w:color w:val="000000"/>
              </w:rPr>
            </w:pPr>
            <w:r w:rsidRPr="00053FD1">
              <w:rPr>
                <w:color w:val="000000"/>
              </w:rPr>
              <w:t>4</w:t>
            </w:r>
          </w:p>
        </w:tc>
        <w:tc>
          <w:tcPr>
            <w:tcW w:w="631" w:type="pct"/>
          </w:tcPr>
          <w:p w14:paraId="3F608E39" w14:textId="77777777" w:rsidR="00860F8E" w:rsidRPr="00053FD1" w:rsidRDefault="00860F8E" w:rsidP="005D646B">
            <w:pPr>
              <w:pStyle w:val="TableText"/>
              <w:rPr>
                <w:color w:val="000000"/>
              </w:rPr>
            </w:pPr>
            <w:r w:rsidRPr="00053FD1">
              <w:rPr>
                <w:color w:val="000000"/>
              </w:rPr>
              <w:t>1</w:t>
            </w:r>
          </w:p>
        </w:tc>
        <w:tc>
          <w:tcPr>
            <w:tcW w:w="634" w:type="pct"/>
          </w:tcPr>
          <w:p w14:paraId="763CFCA4" w14:textId="77777777" w:rsidR="00860F8E" w:rsidRPr="00053FD1" w:rsidRDefault="00860F8E" w:rsidP="005D646B">
            <w:pPr>
              <w:pStyle w:val="TableText"/>
              <w:rPr>
                <w:color w:val="000000"/>
              </w:rPr>
            </w:pPr>
            <w:r w:rsidRPr="00053FD1">
              <w:rPr>
                <w:color w:val="000000"/>
              </w:rPr>
              <w:t>0</w:t>
            </w:r>
          </w:p>
        </w:tc>
        <w:tc>
          <w:tcPr>
            <w:tcW w:w="553" w:type="pct"/>
          </w:tcPr>
          <w:p w14:paraId="1CB51AEA" w14:textId="77777777" w:rsidR="00860F8E" w:rsidRPr="00053FD1" w:rsidRDefault="00860F8E" w:rsidP="005D646B">
            <w:pPr>
              <w:pStyle w:val="TableText"/>
              <w:rPr>
                <w:color w:val="000000"/>
              </w:rPr>
            </w:pPr>
            <w:r w:rsidRPr="00053FD1">
              <w:rPr>
                <w:color w:val="000000"/>
              </w:rPr>
              <w:t>1</w:t>
            </w:r>
          </w:p>
        </w:tc>
        <w:tc>
          <w:tcPr>
            <w:tcW w:w="577" w:type="pct"/>
          </w:tcPr>
          <w:p w14:paraId="6AD635E2" w14:textId="77777777" w:rsidR="00860F8E" w:rsidRPr="00053FD1" w:rsidRDefault="00860F8E" w:rsidP="005D646B">
            <w:pPr>
              <w:pStyle w:val="TableText"/>
            </w:pPr>
            <w:r w:rsidRPr="00053FD1">
              <w:t>1</w:t>
            </w:r>
          </w:p>
        </w:tc>
      </w:tr>
      <w:tr w:rsidR="00860F8E" w:rsidRPr="00053FD1" w14:paraId="125BA913" w14:textId="77777777" w:rsidTr="00A858B3">
        <w:tc>
          <w:tcPr>
            <w:tcW w:w="1948" w:type="pct"/>
            <w:gridSpan w:val="2"/>
          </w:tcPr>
          <w:p w14:paraId="7E8F9141" w14:textId="77777777" w:rsidR="00860F8E" w:rsidRPr="00053FD1" w:rsidRDefault="00860F8E" w:rsidP="005D646B">
            <w:pPr>
              <w:pStyle w:val="TableText"/>
              <w:rPr>
                <w:color w:val="000000"/>
              </w:rPr>
            </w:pPr>
            <w:r w:rsidRPr="00053FD1">
              <w:rPr>
                <w:color w:val="000000"/>
              </w:rPr>
              <w:t>Under voluntary suspension at 30 June</w:t>
            </w:r>
          </w:p>
        </w:tc>
        <w:tc>
          <w:tcPr>
            <w:tcW w:w="656" w:type="pct"/>
          </w:tcPr>
          <w:p w14:paraId="64C46A24" w14:textId="77777777" w:rsidR="00860F8E" w:rsidRPr="00053FD1" w:rsidRDefault="00860F8E" w:rsidP="005D646B">
            <w:pPr>
              <w:pStyle w:val="TableText"/>
              <w:rPr>
                <w:color w:val="000000"/>
              </w:rPr>
            </w:pPr>
            <w:r w:rsidRPr="00053FD1">
              <w:rPr>
                <w:color w:val="000000"/>
              </w:rPr>
              <w:t>3</w:t>
            </w:r>
          </w:p>
        </w:tc>
        <w:tc>
          <w:tcPr>
            <w:tcW w:w="631" w:type="pct"/>
          </w:tcPr>
          <w:p w14:paraId="5E28C6E9" w14:textId="77777777" w:rsidR="00860F8E" w:rsidRPr="00053FD1" w:rsidRDefault="00860F8E" w:rsidP="005D646B">
            <w:pPr>
              <w:pStyle w:val="TableText"/>
              <w:rPr>
                <w:color w:val="000000"/>
              </w:rPr>
            </w:pPr>
            <w:r w:rsidRPr="00053FD1">
              <w:rPr>
                <w:color w:val="000000"/>
              </w:rPr>
              <w:t>3</w:t>
            </w:r>
          </w:p>
        </w:tc>
        <w:tc>
          <w:tcPr>
            <w:tcW w:w="634" w:type="pct"/>
          </w:tcPr>
          <w:p w14:paraId="5D63BEB2" w14:textId="77777777" w:rsidR="00860F8E" w:rsidRPr="00053FD1" w:rsidRDefault="00860F8E" w:rsidP="005D646B">
            <w:pPr>
              <w:pStyle w:val="TableText"/>
              <w:rPr>
                <w:color w:val="000000"/>
              </w:rPr>
            </w:pPr>
            <w:r w:rsidRPr="00053FD1">
              <w:rPr>
                <w:color w:val="000000"/>
              </w:rPr>
              <w:t>3</w:t>
            </w:r>
          </w:p>
        </w:tc>
        <w:tc>
          <w:tcPr>
            <w:tcW w:w="553" w:type="pct"/>
          </w:tcPr>
          <w:p w14:paraId="56979BA3" w14:textId="77777777" w:rsidR="00860F8E" w:rsidRPr="00053FD1" w:rsidRDefault="00860F8E" w:rsidP="005D646B">
            <w:pPr>
              <w:pStyle w:val="TableText"/>
              <w:rPr>
                <w:color w:val="000000"/>
              </w:rPr>
            </w:pPr>
            <w:r w:rsidRPr="00053FD1">
              <w:rPr>
                <w:color w:val="000000"/>
              </w:rPr>
              <w:t>3</w:t>
            </w:r>
          </w:p>
        </w:tc>
        <w:tc>
          <w:tcPr>
            <w:tcW w:w="577" w:type="pct"/>
          </w:tcPr>
          <w:p w14:paraId="113AA86A" w14:textId="77777777" w:rsidR="00860F8E" w:rsidRPr="00053FD1" w:rsidRDefault="00860F8E" w:rsidP="005D646B">
            <w:pPr>
              <w:pStyle w:val="TableText"/>
            </w:pPr>
            <w:r w:rsidRPr="00053FD1">
              <w:t>3</w:t>
            </w:r>
          </w:p>
        </w:tc>
      </w:tr>
      <w:tr w:rsidR="00860F8E" w:rsidRPr="00053FD1" w14:paraId="6044DFB2" w14:textId="77777777" w:rsidTr="00A858B3">
        <w:tc>
          <w:tcPr>
            <w:tcW w:w="1948" w:type="pct"/>
            <w:gridSpan w:val="2"/>
          </w:tcPr>
          <w:p w14:paraId="61720B14" w14:textId="77777777" w:rsidR="00860F8E" w:rsidRPr="00053FD1" w:rsidRDefault="00860F8E" w:rsidP="005D646B">
            <w:pPr>
              <w:pStyle w:val="TableText"/>
              <w:rPr>
                <w:color w:val="000000"/>
              </w:rPr>
            </w:pPr>
            <w:r w:rsidRPr="00053FD1">
              <w:rPr>
                <w:color w:val="000000"/>
              </w:rPr>
              <w:t>Active at 30 June</w:t>
            </w:r>
          </w:p>
        </w:tc>
        <w:tc>
          <w:tcPr>
            <w:tcW w:w="656" w:type="pct"/>
          </w:tcPr>
          <w:p w14:paraId="6F1FDB8C" w14:textId="77777777" w:rsidR="00860F8E" w:rsidRPr="00053FD1" w:rsidRDefault="00860F8E" w:rsidP="005D646B">
            <w:pPr>
              <w:pStyle w:val="TableText"/>
              <w:rPr>
                <w:color w:val="000000"/>
              </w:rPr>
            </w:pPr>
            <w:r w:rsidRPr="00053FD1">
              <w:rPr>
                <w:color w:val="000000"/>
              </w:rPr>
              <w:t>9</w:t>
            </w:r>
          </w:p>
        </w:tc>
        <w:tc>
          <w:tcPr>
            <w:tcW w:w="631" w:type="pct"/>
          </w:tcPr>
          <w:p w14:paraId="34368F88" w14:textId="77777777" w:rsidR="00860F8E" w:rsidRPr="00053FD1" w:rsidRDefault="00860F8E" w:rsidP="005D646B">
            <w:pPr>
              <w:pStyle w:val="TableText"/>
              <w:rPr>
                <w:color w:val="000000"/>
              </w:rPr>
            </w:pPr>
            <w:r w:rsidRPr="00053FD1">
              <w:rPr>
                <w:color w:val="000000"/>
              </w:rPr>
              <w:t>9</w:t>
            </w:r>
          </w:p>
        </w:tc>
        <w:tc>
          <w:tcPr>
            <w:tcW w:w="634" w:type="pct"/>
          </w:tcPr>
          <w:p w14:paraId="2C2D300C" w14:textId="77777777" w:rsidR="00860F8E" w:rsidRPr="00053FD1" w:rsidRDefault="00860F8E" w:rsidP="005D646B">
            <w:pPr>
              <w:pStyle w:val="TableText"/>
              <w:rPr>
                <w:color w:val="000000"/>
              </w:rPr>
            </w:pPr>
            <w:r w:rsidRPr="00053FD1">
              <w:rPr>
                <w:color w:val="000000"/>
              </w:rPr>
              <w:t>9</w:t>
            </w:r>
          </w:p>
        </w:tc>
        <w:tc>
          <w:tcPr>
            <w:tcW w:w="553" w:type="pct"/>
          </w:tcPr>
          <w:p w14:paraId="5C98F574" w14:textId="77777777" w:rsidR="00860F8E" w:rsidRPr="00053FD1" w:rsidRDefault="00860F8E" w:rsidP="005D646B">
            <w:pPr>
              <w:pStyle w:val="TableText"/>
              <w:rPr>
                <w:color w:val="000000"/>
              </w:rPr>
            </w:pPr>
            <w:r w:rsidRPr="00053FD1">
              <w:rPr>
                <w:color w:val="000000"/>
              </w:rPr>
              <w:t>9</w:t>
            </w:r>
          </w:p>
        </w:tc>
        <w:tc>
          <w:tcPr>
            <w:tcW w:w="577" w:type="pct"/>
          </w:tcPr>
          <w:p w14:paraId="730D4CB6" w14:textId="77777777" w:rsidR="00860F8E" w:rsidRPr="00053FD1" w:rsidRDefault="00860F8E" w:rsidP="005D646B">
            <w:pPr>
              <w:pStyle w:val="TableText"/>
            </w:pPr>
            <w:r w:rsidRPr="00053FD1">
              <w:t>9</w:t>
            </w:r>
          </w:p>
        </w:tc>
      </w:tr>
      <w:tr w:rsidR="00860F8E" w:rsidRPr="00053FD1" w14:paraId="094967D4" w14:textId="77777777" w:rsidTr="00A858B3">
        <w:tc>
          <w:tcPr>
            <w:tcW w:w="1948" w:type="pct"/>
            <w:gridSpan w:val="2"/>
            <w:shd w:val="clear" w:color="auto" w:fill="D9D9D9"/>
          </w:tcPr>
          <w:p w14:paraId="4D4699FD" w14:textId="77777777" w:rsidR="00860F8E" w:rsidRPr="005D646B" w:rsidRDefault="00860F8E" w:rsidP="005D646B">
            <w:pPr>
              <w:pStyle w:val="TableText"/>
              <w:rPr>
                <w:b/>
                <w:color w:val="000000"/>
              </w:rPr>
            </w:pPr>
            <w:r w:rsidRPr="005D646B">
              <w:rPr>
                <w:b/>
              </w:rPr>
              <w:t>Total production authorisation holders at 30 June</w:t>
            </w:r>
          </w:p>
        </w:tc>
        <w:tc>
          <w:tcPr>
            <w:tcW w:w="656" w:type="pct"/>
            <w:shd w:val="clear" w:color="auto" w:fill="D9D9D9"/>
          </w:tcPr>
          <w:p w14:paraId="288E4F16" w14:textId="77777777" w:rsidR="00860F8E" w:rsidRPr="005D646B" w:rsidRDefault="00860F8E" w:rsidP="005D646B">
            <w:pPr>
              <w:pStyle w:val="TableText"/>
              <w:rPr>
                <w:b/>
                <w:color w:val="000000"/>
              </w:rPr>
            </w:pPr>
            <w:r w:rsidRPr="005D646B">
              <w:rPr>
                <w:b/>
                <w:color w:val="000000"/>
              </w:rPr>
              <w:t>111</w:t>
            </w:r>
          </w:p>
        </w:tc>
        <w:tc>
          <w:tcPr>
            <w:tcW w:w="631" w:type="pct"/>
            <w:shd w:val="clear" w:color="auto" w:fill="D9D9D9"/>
          </w:tcPr>
          <w:p w14:paraId="767CC01A" w14:textId="77777777" w:rsidR="00860F8E" w:rsidRPr="005D646B" w:rsidRDefault="00860F8E" w:rsidP="005D646B">
            <w:pPr>
              <w:pStyle w:val="TableText"/>
              <w:rPr>
                <w:b/>
                <w:color w:val="000000"/>
              </w:rPr>
            </w:pPr>
            <w:r w:rsidRPr="005D646B">
              <w:rPr>
                <w:b/>
                <w:color w:val="000000"/>
              </w:rPr>
              <w:t>117</w:t>
            </w:r>
          </w:p>
        </w:tc>
        <w:tc>
          <w:tcPr>
            <w:tcW w:w="634" w:type="pct"/>
            <w:shd w:val="clear" w:color="auto" w:fill="D9D9D9"/>
          </w:tcPr>
          <w:p w14:paraId="2AE29FBB" w14:textId="77777777" w:rsidR="00860F8E" w:rsidRPr="005D646B" w:rsidRDefault="00860F8E" w:rsidP="005D646B">
            <w:pPr>
              <w:pStyle w:val="TableText"/>
              <w:rPr>
                <w:b/>
                <w:color w:val="000000"/>
              </w:rPr>
            </w:pPr>
            <w:r w:rsidRPr="005D646B">
              <w:rPr>
                <w:b/>
                <w:color w:val="000000"/>
              </w:rPr>
              <w:t>120</w:t>
            </w:r>
          </w:p>
        </w:tc>
        <w:tc>
          <w:tcPr>
            <w:tcW w:w="553" w:type="pct"/>
            <w:shd w:val="clear" w:color="auto" w:fill="D9D9D9"/>
          </w:tcPr>
          <w:p w14:paraId="53168D31" w14:textId="77777777" w:rsidR="00860F8E" w:rsidRPr="005D646B" w:rsidRDefault="00860F8E" w:rsidP="005D646B">
            <w:pPr>
              <w:pStyle w:val="TableText"/>
              <w:rPr>
                <w:b/>
                <w:color w:val="000000"/>
              </w:rPr>
            </w:pPr>
            <w:r w:rsidRPr="005D646B">
              <w:rPr>
                <w:b/>
                <w:color w:val="000000"/>
              </w:rPr>
              <w:t>119</w:t>
            </w:r>
          </w:p>
        </w:tc>
        <w:tc>
          <w:tcPr>
            <w:tcW w:w="577" w:type="pct"/>
            <w:shd w:val="clear" w:color="auto" w:fill="D9D9D9"/>
          </w:tcPr>
          <w:p w14:paraId="23337CD9" w14:textId="77777777" w:rsidR="00860F8E" w:rsidRPr="005D646B" w:rsidRDefault="00860F8E" w:rsidP="005D646B">
            <w:pPr>
              <w:pStyle w:val="TableText"/>
              <w:rPr>
                <w:b/>
              </w:rPr>
            </w:pPr>
            <w:r w:rsidRPr="005D646B">
              <w:rPr>
                <w:b/>
              </w:rPr>
              <w:t>120</w:t>
            </w:r>
          </w:p>
        </w:tc>
      </w:tr>
    </w:tbl>
    <w:p w14:paraId="6020DF12" w14:textId="77777777" w:rsidR="00860F8E" w:rsidRPr="00182657" w:rsidRDefault="00860F8E" w:rsidP="00860F8E">
      <w:pPr>
        <w:autoSpaceDE w:val="0"/>
        <w:autoSpaceDN w:val="0"/>
        <w:adjustRightInd w:val="0"/>
        <w:rPr>
          <w:rFonts w:ascii="Geometric415BT-LiteA" w:hAnsi="Geometric415BT-LiteA" w:cs="Geometric415BT-LiteA"/>
          <w:sz w:val="14"/>
          <w:szCs w:val="14"/>
        </w:rPr>
      </w:pPr>
    </w:p>
    <w:p w14:paraId="681A9213" w14:textId="77777777" w:rsidR="00860F8E" w:rsidRPr="00C473FA" w:rsidRDefault="00860F8E" w:rsidP="00860F8E">
      <w:pPr>
        <w:sectPr w:rsidR="00860F8E" w:rsidRPr="00C473FA" w:rsidSect="002E1C33">
          <w:pgSz w:w="11906" w:h="16838"/>
          <w:pgMar w:top="851" w:right="1440" w:bottom="1440" w:left="1440" w:header="708" w:footer="708" w:gutter="0"/>
          <w:cols w:space="708"/>
          <w:docGrid w:linePitch="360"/>
        </w:sectPr>
      </w:pPr>
    </w:p>
    <w:p w14:paraId="5E62C941" w14:textId="77777777" w:rsidR="00860F8E" w:rsidRPr="00053FD1" w:rsidRDefault="00860F8E" w:rsidP="00860F8E">
      <w:pPr>
        <w:keepNext/>
        <w:spacing w:before="180" w:after="240"/>
        <w:ind w:left="1440" w:hanging="1440"/>
        <w:rPr>
          <w:rFonts w:ascii="Arial Narrow" w:hAnsi="Arial Narrow"/>
          <w:b/>
          <w:color w:val="0099CC"/>
          <w:sz w:val="22"/>
          <w:szCs w:val="22"/>
          <w:u w:color="0099CC"/>
        </w:rPr>
      </w:pPr>
      <w:r w:rsidRPr="00053FD1">
        <w:rPr>
          <w:rFonts w:ascii="Arial Narrow" w:hAnsi="Arial Narrow"/>
          <w:b/>
          <w:color w:val="0099CC"/>
          <w:sz w:val="22"/>
          <w:szCs w:val="22"/>
          <w:u w:color="0099CC"/>
        </w:rPr>
        <w:lastRenderedPageBreak/>
        <w:t>Table A.16</w:t>
      </w:r>
      <w:r w:rsidRPr="00053FD1">
        <w:rPr>
          <w:rFonts w:ascii="Arial Narrow" w:hAnsi="Arial Narrow"/>
          <w:b/>
          <w:color w:val="0099CC"/>
          <w:sz w:val="22"/>
          <w:szCs w:val="22"/>
          <w:u w:color="0099CC"/>
        </w:rPr>
        <w:tab/>
        <w:t>Airworthiness directives and bulletins, 2013–14 to 2017–18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3826"/>
        <w:gridCol w:w="1038"/>
        <w:gridCol w:w="1038"/>
        <w:gridCol w:w="1038"/>
        <w:gridCol w:w="1038"/>
        <w:gridCol w:w="1038"/>
      </w:tblGrid>
      <w:tr w:rsidR="00860F8E" w:rsidRPr="00053FD1" w14:paraId="310F03EE" w14:textId="77777777" w:rsidTr="00A858B3">
        <w:trPr>
          <w:tblHeader/>
        </w:trPr>
        <w:tc>
          <w:tcPr>
            <w:tcW w:w="3953" w:type="dxa"/>
          </w:tcPr>
          <w:p w14:paraId="0ECFA11A" w14:textId="77777777" w:rsidR="00860F8E" w:rsidRPr="005D646B" w:rsidRDefault="00860F8E" w:rsidP="005D646B">
            <w:pPr>
              <w:pStyle w:val="TableText"/>
              <w:rPr>
                <w:b/>
              </w:rPr>
            </w:pPr>
          </w:p>
        </w:tc>
        <w:tc>
          <w:tcPr>
            <w:tcW w:w="1067" w:type="dxa"/>
          </w:tcPr>
          <w:p w14:paraId="4E6417CB" w14:textId="77777777" w:rsidR="00860F8E" w:rsidRPr="005D646B" w:rsidRDefault="00860F8E" w:rsidP="005D646B">
            <w:pPr>
              <w:pStyle w:val="TableText"/>
              <w:rPr>
                <w:b/>
              </w:rPr>
            </w:pPr>
            <w:r w:rsidRPr="005D646B">
              <w:rPr>
                <w:b/>
              </w:rPr>
              <w:t>2013–14</w:t>
            </w:r>
          </w:p>
        </w:tc>
        <w:tc>
          <w:tcPr>
            <w:tcW w:w="1066" w:type="dxa"/>
          </w:tcPr>
          <w:p w14:paraId="70F1AD2C" w14:textId="77777777" w:rsidR="00860F8E" w:rsidRPr="005D646B" w:rsidRDefault="00860F8E" w:rsidP="005D646B">
            <w:pPr>
              <w:pStyle w:val="TableText"/>
              <w:rPr>
                <w:b/>
              </w:rPr>
            </w:pPr>
            <w:r w:rsidRPr="005D646B">
              <w:rPr>
                <w:b/>
              </w:rPr>
              <w:t>2014–15</w:t>
            </w:r>
          </w:p>
        </w:tc>
        <w:tc>
          <w:tcPr>
            <w:tcW w:w="1067" w:type="dxa"/>
          </w:tcPr>
          <w:p w14:paraId="028D5671" w14:textId="77777777" w:rsidR="00860F8E" w:rsidRPr="005D646B" w:rsidRDefault="00860F8E" w:rsidP="005D646B">
            <w:pPr>
              <w:pStyle w:val="TableText"/>
              <w:rPr>
                <w:b/>
              </w:rPr>
            </w:pPr>
            <w:r w:rsidRPr="005D646B">
              <w:rPr>
                <w:b/>
              </w:rPr>
              <w:t>2015–16</w:t>
            </w:r>
          </w:p>
        </w:tc>
        <w:tc>
          <w:tcPr>
            <w:tcW w:w="1066" w:type="dxa"/>
          </w:tcPr>
          <w:p w14:paraId="0339DE6F" w14:textId="77777777" w:rsidR="00860F8E" w:rsidRPr="005D646B" w:rsidRDefault="00860F8E" w:rsidP="005D646B">
            <w:pPr>
              <w:pStyle w:val="TableText"/>
              <w:rPr>
                <w:b/>
              </w:rPr>
            </w:pPr>
            <w:r w:rsidRPr="005D646B">
              <w:rPr>
                <w:b/>
              </w:rPr>
              <w:t>2016–17</w:t>
            </w:r>
          </w:p>
        </w:tc>
        <w:tc>
          <w:tcPr>
            <w:tcW w:w="1067" w:type="dxa"/>
          </w:tcPr>
          <w:p w14:paraId="5E16F056" w14:textId="77777777" w:rsidR="00860F8E" w:rsidRPr="005D646B" w:rsidRDefault="00860F8E" w:rsidP="005D646B">
            <w:pPr>
              <w:pStyle w:val="TableText"/>
              <w:rPr>
                <w:b/>
              </w:rPr>
            </w:pPr>
            <w:r w:rsidRPr="005D646B">
              <w:rPr>
                <w:b/>
              </w:rPr>
              <w:t>2017–18</w:t>
            </w:r>
          </w:p>
        </w:tc>
      </w:tr>
      <w:tr w:rsidR="00860F8E" w:rsidRPr="00053FD1" w14:paraId="1CBB41D7" w14:textId="77777777" w:rsidTr="00A858B3">
        <w:tc>
          <w:tcPr>
            <w:tcW w:w="3953" w:type="dxa"/>
            <w:shd w:val="clear" w:color="auto" w:fill="D9D9D9"/>
          </w:tcPr>
          <w:p w14:paraId="28169ADA" w14:textId="77777777" w:rsidR="00860F8E" w:rsidRPr="00A858B3" w:rsidRDefault="00860F8E" w:rsidP="005D646B">
            <w:pPr>
              <w:pStyle w:val="TableText"/>
            </w:pPr>
            <w:r w:rsidRPr="00A858B3">
              <w:t>Australian Airworthiness Directive</w:t>
            </w:r>
          </w:p>
        </w:tc>
        <w:tc>
          <w:tcPr>
            <w:tcW w:w="1067" w:type="dxa"/>
            <w:shd w:val="clear" w:color="auto" w:fill="D9D9D9"/>
          </w:tcPr>
          <w:p w14:paraId="063F6B6D" w14:textId="77777777" w:rsidR="00860F8E" w:rsidRPr="00A858B3" w:rsidRDefault="00860F8E" w:rsidP="005D646B">
            <w:pPr>
              <w:pStyle w:val="TableText"/>
              <w:rPr>
                <w:i/>
              </w:rPr>
            </w:pPr>
          </w:p>
        </w:tc>
        <w:tc>
          <w:tcPr>
            <w:tcW w:w="1066" w:type="dxa"/>
            <w:shd w:val="clear" w:color="auto" w:fill="D9D9D9"/>
          </w:tcPr>
          <w:p w14:paraId="4A08D9FD" w14:textId="77777777" w:rsidR="00860F8E" w:rsidRPr="00A858B3" w:rsidRDefault="00860F8E" w:rsidP="005D646B">
            <w:pPr>
              <w:pStyle w:val="TableText"/>
              <w:rPr>
                <w:i/>
              </w:rPr>
            </w:pPr>
          </w:p>
        </w:tc>
        <w:tc>
          <w:tcPr>
            <w:tcW w:w="1067" w:type="dxa"/>
            <w:shd w:val="clear" w:color="auto" w:fill="D9D9D9"/>
          </w:tcPr>
          <w:p w14:paraId="509F8AE3" w14:textId="77777777" w:rsidR="00860F8E" w:rsidRPr="00A858B3" w:rsidRDefault="00860F8E" w:rsidP="005D646B">
            <w:pPr>
              <w:pStyle w:val="TableText"/>
              <w:rPr>
                <w:i/>
              </w:rPr>
            </w:pPr>
          </w:p>
        </w:tc>
        <w:tc>
          <w:tcPr>
            <w:tcW w:w="1066" w:type="dxa"/>
            <w:shd w:val="clear" w:color="auto" w:fill="D9D9D9"/>
          </w:tcPr>
          <w:p w14:paraId="13A0075A" w14:textId="77777777" w:rsidR="00860F8E" w:rsidRPr="00A858B3" w:rsidRDefault="00860F8E" w:rsidP="005D646B">
            <w:pPr>
              <w:pStyle w:val="TableText"/>
              <w:rPr>
                <w:i/>
              </w:rPr>
            </w:pPr>
          </w:p>
        </w:tc>
        <w:tc>
          <w:tcPr>
            <w:tcW w:w="1067" w:type="dxa"/>
            <w:shd w:val="clear" w:color="auto" w:fill="D9D9D9"/>
          </w:tcPr>
          <w:p w14:paraId="7D46B5D9" w14:textId="77777777" w:rsidR="00860F8E" w:rsidRPr="00A858B3" w:rsidRDefault="00860F8E" w:rsidP="005D646B">
            <w:pPr>
              <w:pStyle w:val="TableText"/>
              <w:rPr>
                <w:i/>
              </w:rPr>
            </w:pPr>
          </w:p>
        </w:tc>
      </w:tr>
      <w:tr w:rsidR="00860F8E" w:rsidRPr="00053FD1" w14:paraId="085CEFD0" w14:textId="77777777" w:rsidTr="00A858B3">
        <w:tc>
          <w:tcPr>
            <w:tcW w:w="3953" w:type="dxa"/>
          </w:tcPr>
          <w:p w14:paraId="56D9A042" w14:textId="77777777" w:rsidR="00860F8E" w:rsidRPr="00053FD1" w:rsidRDefault="00860F8E" w:rsidP="005D646B">
            <w:pPr>
              <w:pStyle w:val="TableText"/>
            </w:pPr>
            <w:r w:rsidRPr="00053FD1">
              <w:t xml:space="preserve">Issued </w:t>
            </w:r>
          </w:p>
        </w:tc>
        <w:tc>
          <w:tcPr>
            <w:tcW w:w="1067" w:type="dxa"/>
          </w:tcPr>
          <w:p w14:paraId="75E5E4EE" w14:textId="77777777" w:rsidR="00860F8E" w:rsidRPr="00053FD1" w:rsidRDefault="00860F8E" w:rsidP="005D646B">
            <w:pPr>
              <w:pStyle w:val="TableText"/>
            </w:pPr>
            <w:r w:rsidRPr="00053FD1">
              <w:t>2</w:t>
            </w:r>
          </w:p>
        </w:tc>
        <w:tc>
          <w:tcPr>
            <w:tcW w:w="1066" w:type="dxa"/>
          </w:tcPr>
          <w:p w14:paraId="0F8C8051" w14:textId="77777777" w:rsidR="00860F8E" w:rsidRPr="00053FD1" w:rsidRDefault="00860F8E" w:rsidP="005D646B">
            <w:pPr>
              <w:pStyle w:val="TableText"/>
            </w:pPr>
            <w:r w:rsidRPr="00053FD1">
              <w:t>6</w:t>
            </w:r>
          </w:p>
        </w:tc>
        <w:tc>
          <w:tcPr>
            <w:tcW w:w="1067" w:type="dxa"/>
          </w:tcPr>
          <w:p w14:paraId="1C234EA9" w14:textId="77777777" w:rsidR="00860F8E" w:rsidRPr="00053FD1" w:rsidRDefault="00860F8E" w:rsidP="005D646B">
            <w:pPr>
              <w:pStyle w:val="TableText"/>
            </w:pPr>
            <w:r w:rsidRPr="00053FD1">
              <w:t>3</w:t>
            </w:r>
          </w:p>
        </w:tc>
        <w:tc>
          <w:tcPr>
            <w:tcW w:w="1066" w:type="dxa"/>
          </w:tcPr>
          <w:p w14:paraId="118D7BD2" w14:textId="77777777" w:rsidR="00860F8E" w:rsidRPr="00053FD1" w:rsidRDefault="00860F8E" w:rsidP="005D646B">
            <w:pPr>
              <w:pStyle w:val="TableText"/>
            </w:pPr>
            <w:r w:rsidRPr="00053FD1">
              <w:t>1</w:t>
            </w:r>
          </w:p>
        </w:tc>
        <w:tc>
          <w:tcPr>
            <w:tcW w:w="1067" w:type="dxa"/>
          </w:tcPr>
          <w:p w14:paraId="7BD3D345" w14:textId="77777777" w:rsidR="00860F8E" w:rsidRPr="00053FD1" w:rsidRDefault="00860F8E" w:rsidP="005D646B">
            <w:pPr>
              <w:pStyle w:val="TableText"/>
            </w:pPr>
            <w:r w:rsidRPr="00053FD1">
              <w:t>30</w:t>
            </w:r>
          </w:p>
        </w:tc>
      </w:tr>
      <w:tr w:rsidR="00860F8E" w:rsidRPr="00053FD1" w14:paraId="5B6E7528" w14:textId="77777777" w:rsidTr="00A858B3">
        <w:tc>
          <w:tcPr>
            <w:tcW w:w="3953" w:type="dxa"/>
          </w:tcPr>
          <w:p w14:paraId="7068A7D8" w14:textId="77777777" w:rsidR="00860F8E" w:rsidRPr="00053FD1" w:rsidRDefault="00860F8E" w:rsidP="005D646B">
            <w:pPr>
              <w:pStyle w:val="TableText"/>
            </w:pPr>
            <w:r w:rsidRPr="00053FD1">
              <w:t xml:space="preserve">Cancelled </w:t>
            </w:r>
          </w:p>
        </w:tc>
        <w:tc>
          <w:tcPr>
            <w:tcW w:w="1067" w:type="dxa"/>
          </w:tcPr>
          <w:p w14:paraId="79FC0CE4" w14:textId="77777777" w:rsidR="00860F8E" w:rsidRPr="00053FD1" w:rsidRDefault="00860F8E" w:rsidP="005D646B">
            <w:pPr>
              <w:pStyle w:val="TableText"/>
            </w:pPr>
            <w:r w:rsidRPr="00053FD1">
              <w:t>86</w:t>
            </w:r>
          </w:p>
        </w:tc>
        <w:tc>
          <w:tcPr>
            <w:tcW w:w="1066" w:type="dxa"/>
          </w:tcPr>
          <w:p w14:paraId="558777BE" w14:textId="77777777" w:rsidR="00860F8E" w:rsidRPr="00053FD1" w:rsidRDefault="00860F8E" w:rsidP="005D646B">
            <w:pPr>
              <w:pStyle w:val="TableText"/>
            </w:pPr>
            <w:r w:rsidRPr="00053FD1">
              <w:t>60</w:t>
            </w:r>
          </w:p>
        </w:tc>
        <w:tc>
          <w:tcPr>
            <w:tcW w:w="1067" w:type="dxa"/>
          </w:tcPr>
          <w:p w14:paraId="4909AA09" w14:textId="77777777" w:rsidR="00860F8E" w:rsidRPr="00053FD1" w:rsidRDefault="00860F8E" w:rsidP="005D646B">
            <w:pPr>
              <w:pStyle w:val="TableText"/>
            </w:pPr>
            <w:r w:rsidRPr="00053FD1">
              <w:t>45</w:t>
            </w:r>
          </w:p>
        </w:tc>
        <w:tc>
          <w:tcPr>
            <w:tcW w:w="1066" w:type="dxa"/>
          </w:tcPr>
          <w:p w14:paraId="12CCF855" w14:textId="77777777" w:rsidR="00860F8E" w:rsidRPr="00053FD1" w:rsidRDefault="00860F8E" w:rsidP="005D646B">
            <w:pPr>
              <w:pStyle w:val="TableText"/>
            </w:pPr>
            <w:r w:rsidRPr="00053FD1">
              <w:t>33</w:t>
            </w:r>
          </w:p>
        </w:tc>
        <w:tc>
          <w:tcPr>
            <w:tcW w:w="1067" w:type="dxa"/>
          </w:tcPr>
          <w:p w14:paraId="5C5F9F48" w14:textId="77777777" w:rsidR="00860F8E" w:rsidRPr="00053FD1" w:rsidRDefault="00860F8E" w:rsidP="005D646B">
            <w:pPr>
              <w:pStyle w:val="TableText"/>
            </w:pPr>
            <w:r w:rsidRPr="00053FD1">
              <w:t>41</w:t>
            </w:r>
          </w:p>
        </w:tc>
      </w:tr>
      <w:tr w:rsidR="00860F8E" w:rsidRPr="00053FD1" w14:paraId="2CD9FBCB" w14:textId="77777777" w:rsidTr="00A858B3">
        <w:tc>
          <w:tcPr>
            <w:tcW w:w="3953" w:type="dxa"/>
          </w:tcPr>
          <w:p w14:paraId="37915DDE" w14:textId="77777777" w:rsidR="00860F8E" w:rsidRPr="00053FD1" w:rsidRDefault="00860F8E" w:rsidP="005D646B">
            <w:pPr>
              <w:pStyle w:val="TableText"/>
            </w:pPr>
            <w:r w:rsidRPr="00053FD1">
              <w:t xml:space="preserve">Amended </w:t>
            </w:r>
          </w:p>
        </w:tc>
        <w:tc>
          <w:tcPr>
            <w:tcW w:w="1067" w:type="dxa"/>
          </w:tcPr>
          <w:p w14:paraId="5ECADB6C" w14:textId="77777777" w:rsidR="00860F8E" w:rsidRPr="00053FD1" w:rsidRDefault="00860F8E" w:rsidP="005D646B">
            <w:pPr>
              <w:pStyle w:val="TableText"/>
            </w:pPr>
            <w:r w:rsidRPr="00053FD1">
              <w:t>72</w:t>
            </w:r>
          </w:p>
        </w:tc>
        <w:tc>
          <w:tcPr>
            <w:tcW w:w="1066" w:type="dxa"/>
          </w:tcPr>
          <w:p w14:paraId="2750ACE8" w14:textId="77777777" w:rsidR="00860F8E" w:rsidRPr="00053FD1" w:rsidRDefault="00860F8E" w:rsidP="005D646B">
            <w:pPr>
              <w:pStyle w:val="TableText"/>
            </w:pPr>
            <w:r w:rsidRPr="00053FD1">
              <w:t>21</w:t>
            </w:r>
          </w:p>
        </w:tc>
        <w:tc>
          <w:tcPr>
            <w:tcW w:w="1067" w:type="dxa"/>
          </w:tcPr>
          <w:p w14:paraId="5D05FE9F" w14:textId="77777777" w:rsidR="00860F8E" w:rsidRPr="00053FD1" w:rsidRDefault="00860F8E" w:rsidP="005D646B">
            <w:pPr>
              <w:pStyle w:val="TableText"/>
            </w:pPr>
            <w:r w:rsidRPr="00053FD1">
              <w:t>17</w:t>
            </w:r>
          </w:p>
        </w:tc>
        <w:tc>
          <w:tcPr>
            <w:tcW w:w="1066" w:type="dxa"/>
          </w:tcPr>
          <w:p w14:paraId="4A05F865" w14:textId="77777777" w:rsidR="00860F8E" w:rsidRPr="00053FD1" w:rsidRDefault="00860F8E" w:rsidP="005D646B">
            <w:pPr>
              <w:pStyle w:val="TableText"/>
            </w:pPr>
            <w:r w:rsidRPr="00053FD1">
              <w:t>34</w:t>
            </w:r>
          </w:p>
        </w:tc>
        <w:tc>
          <w:tcPr>
            <w:tcW w:w="1067" w:type="dxa"/>
          </w:tcPr>
          <w:p w14:paraId="62172457" w14:textId="77777777" w:rsidR="00860F8E" w:rsidRPr="00053FD1" w:rsidRDefault="00860F8E" w:rsidP="005D646B">
            <w:pPr>
              <w:pStyle w:val="TableText"/>
            </w:pPr>
            <w:r w:rsidRPr="00053FD1">
              <w:t>33</w:t>
            </w:r>
          </w:p>
        </w:tc>
      </w:tr>
      <w:tr w:rsidR="00860F8E" w:rsidRPr="00053FD1" w14:paraId="47BAD55F" w14:textId="77777777" w:rsidTr="00A858B3">
        <w:tc>
          <w:tcPr>
            <w:tcW w:w="3953" w:type="dxa"/>
          </w:tcPr>
          <w:p w14:paraId="419D5A96" w14:textId="77777777" w:rsidR="00860F8E" w:rsidRPr="00053FD1" w:rsidRDefault="00860F8E" w:rsidP="005D646B">
            <w:pPr>
              <w:pStyle w:val="TableText"/>
            </w:pPr>
            <w:r w:rsidRPr="00053FD1">
              <w:t>Current</w:t>
            </w:r>
            <w:r w:rsidRPr="00053FD1">
              <w:rPr>
                <w:vertAlign w:val="superscript"/>
              </w:rPr>
              <w:t>a</w:t>
            </w:r>
          </w:p>
        </w:tc>
        <w:tc>
          <w:tcPr>
            <w:tcW w:w="1067" w:type="dxa"/>
          </w:tcPr>
          <w:p w14:paraId="4CA8FD0A" w14:textId="77777777" w:rsidR="00860F8E" w:rsidRPr="00053FD1" w:rsidRDefault="00860F8E" w:rsidP="005D646B">
            <w:pPr>
              <w:pStyle w:val="TableText"/>
            </w:pPr>
            <w:r w:rsidRPr="00053FD1">
              <w:t>n/a</w:t>
            </w:r>
          </w:p>
        </w:tc>
        <w:tc>
          <w:tcPr>
            <w:tcW w:w="1066" w:type="dxa"/>
          </w:tcPr>
          <w:p w14:paraId="0A004C97" w14:textId="77777777" w:rsidR="00860F8E" w:rsidRPr="00053FD1" w:rsidRDefault="00860F8E" w:rsidP="005D646B">
            <w:pPr>
              <w:pStyle w:val="TableText"/>
            </w:pPr>
            <w:r w:rsidRPr="00053FD1">
              <w:t>8,191</w:t>
            </w:r>
          </w:p>
        </w:tc>
        <w:tc>
          <w:tcPr>
            <w:tcW w:w="1067" w:type="dxa"/>
          </w:tcPr>
          <w:p w14:paraId="4886FC2B" w14:textId="77777777" w:rsidR="00860F8E" w:rsidRPr="00053FD1" w:rsidRDefault="00860F8E" w:rsidP="005D646B">
            <w:pPr>
              <w:pStyle w:val="TableText"/>
            </w:pPr>
            <w:r w:rsidRPr="00053FD1">
              <w:t>8,014</w:t>
            </w:r>
          </w:p>
        </w:tc>
        <w:tc>
          <w:tcPr>
            <w:tcW w:w="1066" w:type="dxa"/>
          </w:tcPr>
          <w:p w14:paraId="7D84EA1D" w14:textId="77777777" w:rsidR="00860F8E" w:rsidRPr="00053FD1" w:rsidRDefault="00860F8E" w:rsidP="005D646B">
            <w:pPr>
              <w:pStyle w:val="TableText"/>
            </w:pPr>
            <w:r w:rsidRPr="00053FD1">
              <w:t>7,996</w:t>
            </w:r>
          </w:p>
        </w:tc>
        <w:tc>
          <w:tcPr>
            <w:tcW w:w="1067" w:type="dxa"/>
          </w:tcPr>
          <w:p w14:paraId="6F165B56" w14:textId="77777777" w:rsidR="00860F8E" w:rsidRPr="00053FD1" w:rsidRDefault="00860F8E" w:rsidP="005D646B">
            <w:pPr>
              <w:pStyle w:val="TableText"/>
            </w:pPr>
            <w:r w:rsidRPr="00053FD1">
              <w:t>7,962</w:t>
            </w:r>
          </w:p>
        </w:tc>
      </w:tr>
      <w:tr w:rsidR="00860F8E" w:rsidRPr="00053FD1" w14:paraId="1F69E8C0" w14:textId="77777777" w:rsidTr="00A858B3">
        <w:tc>
          <w:tcPr>
            <w:tcW w:w="3953" w:type="dxa"/>
          </w:tcPr>
          <w:p w14:paraId="65988356" w14:textId="77777777" w:rsidR="00860F8E" w:rsidRPr="00053FD1" w:rsidRDefault="00860F8E" w:rsidP="005D646B">
            <w:pPr>
              <w:pStyle w:val="TableText"/>
            </w:pPr>
            <w:r w:rsidRPr="00053FD1">
              <w:t>State of design airworthiness directive</w:t>
            </w:r>
          </w:p>
        </w:tc>
        <w:tc>
          <w:tcPr>
            <w:tcW w:w="1067" w:type="dxa"/>
          </w:tcPr>
          <w:p w14:paraId="26F374AD" w14:textId="77777777" w:rsidR="00860F8E" w:rsidRPr="00053FD1" w:rsidRDefault="00860F8E" w:rsidP="005D646B">
            <w:pPr>
              <w:pStyle w:val="TableText"/>
            </w:pPr>
            <w:r w:rsidRPr="00053FD1">
              <w:t>565</w:t>
            </w:r>
          </w:p>
        </w:tc>
        <w:tc>
          <w:tcPr>
            <w:tcW w:w="1066" w:type="dxa"/>
          </w:tcPr>
          <w:p w14:paraId="64CFE30B" w14:textId="77777777" w:rsidR="00860F8E" w:rsidRPr="00053FD1" w:rsidRDefault="00860F8E" w:rsidP="005D646B">
            <w:pPr>
              <w:pStyle w:val="TableText"/>
            </w:pPr>
            <w:r w:rsidRPr="00053FD1">
              <w:t>649</w:t>
            </w:r>
          </w:p>
        </w:tc>
        <w:tc>
          <w:tcPr>
            <w:tcW w:w="1067" w:type="dxa"/>
          </w:tcPr>
          <w:p w14:paraId="164600CE" w14:textId="77777777" w:rsidR="00860F8E" w:rsidRPr="00053FD1" w:rsidRDefault="00860F8E" w:rsidP="005D646B">
            <w:pPr>
              <w:pStyle w:val="TableText"/>
            </w:pPr>
            <w:r w:rsidRPr="00053FD1">
              <w:t>618</w:t>
            </w:r>
          </w:p>
        </w:tc>
        <w:tc>
          <w:tcPr>
            <w:tcW w:w="1066" w:type="dxa"/>
          </w:tcPr>
          <w:p w14:paraId="16999037" w14:textId="77777777" w:rsidR="00860F8E" w:rsidRPr="00053FD1" w:rsidRDefault="00860F8E" w:rsidP="005D646B">
            <w:pPr>
              <w:pStyle w:val="TableText"/>
            </w:pPr>
            <w:r w:rsidRPr="00053FD1">
              <w:t>641</w:t>
            </w:r>
          </w:p>
        </w:tc>
        <w:tc>
          <w:tcPr>
            <w:tcW w:w="1067" w:type="dxa"/>
          </w:tcPr>
          <w:p w14:paraId="1C3E5C5C" w14:textId="77777777" w:rsidR="00860F8E" w:rsidRPr="00053FD1" w:rsidRDefault="00860F8E" w:rsidP="005D646B">
            <w:pPr>
              <w:pStyle w:val="TableText"/>
            </w:pPr>
            <w:r w:rsidRPr="00053FD1">
              <w:t>635</w:t>
            </w:r>
          </w:p>
        </w:tc>
      </w:tr>
      <w:tr w:rsidR="00860F8E" w:rsidRPr="00053FD1" w14:paraId="4F5FE86D" w14:textId="77777777" w:rsidTr="00A858B3">
        <w:tc>
          <w:tcPr>
            <w:tcW w:w="3953" w:type="dxa"/>
          </w:tcPr>
          <w:p w14:paraId="3D12D17C" w14:textId="77777777" w:rsidR="00860F8E" w:rsidRPr="00053FD1" w:rsidRDefault="00860F8E" w:rsidP="005D646B">
            <w:pPr>
              <w:pStyle w:val="TableText"/>
            </w:pPr>
            <w:r w:rsidRPr="00053FD1">
              <w:t xml:space="preserve">Exclusion from airworthiness directive </w:t>
            </w:r>
          </w:p>
        </w:tc>
        <w:tc>
          <w:tcPr>
            <w:tcW w:w="1067" w:type="dxa"/>
          </w:tcPr>
          <w:p w14:paraId="15FB63AE" w14:textId="77777777" w:rsidR="00860F8E" w:rsidRPr="00053FD1" w:rsidRDefault="00860F8E" w:rsidP="005D646B">
            <w:pPr>
              <w:pStyle w:val="TableText"/>
            </w:pPr>
            <w:r w:rsidRPr="00053FD1">
              <w:t>101</w:t>
            </w:r>
          </w:p>
        </w:tc>
        <w:tc>
          <w:tcPr>
            <w:tcW w:w="1066" w:type="dxa"/>
          </w:tcPr>
          <w:p w14:paraId="682BD7AF" w14:textId="77777777" w:rsidR="00860F8E" w:rsidRPr="00053FD1" w:rsidRDefault="00860F8E" w:rsidP="005D646B">
            <w:pPr>
              <w:pStyle w:val="TableText"/>
            </w:pPr>
            <w:r w:rsidRPr="00053FD1">
              <w:t>67</w:t>
            </w:r>
          </w:p>
        </w:tc>
        <w:tc>
          <w:tcPr>
            <w:tcW w:w="1067" w:type="dxa"/>
          </w:tcPr>
          <w:p w14:paraId="74FE4DBB" w14:textId="77777777" w:rsidR="00860F8E" w:rsidRPr="00053FD1" w:rsidRDefault="00860F8E" w:rsidP="005D646B">
            <w:pPr>
              <w:pStyle w:val="TableText"/>
            </w:pPr>
            <w:r w:rsidRPr="00053FD1">
              <w:t>35</w:t>
            </w:r>
          </w:p>
        </w:tc>
        <w:tc>
          <w:tcPr>
            <w:tcW w:w="1066" w:type="dxa"/>
          </w:tcPr>
          <w:p w14:paraId="5AF8F41F" w14:textId="77777777" w:rsidR="00860F8E" w:rsidRPr="00053FD1" w:rsidRDefault="00860F8E" w:rsidP="005D646B">
            <w:pPr>
              <w:pStyle w:val="TableText"/>
            </w:pPr>
            <w:r w:rsidRPr="00053FD1">
              <w:t>40</w:t>
            </w:r>
          </w:p>
        </w:tc>
        <w:tc>
          <w:tcPr>
            <w:tcW w:w="1067" w:type="dxa"/>
          </w:tcPr>
          <w:p w14:paraId="1BBA2666" w14:textId="77777777" w:rsidR="00860F8E" w:rsidRPr="00053FD1" w:rsidRDefault="00860F8E" w:rsidP="005D646B">
            <w:pPr>
              <w:pStyle w:val="TableText"/>
            </w:pPr>
            <w:r w:rsidRPr="00053FD1">
              <w:t>72</w:t>
            </w:r>
          </w:p>
        </w:tc>
      </w:tr>
      <w:tr w:rsidR="00860F8E" w:rsidRPr="00053FD1" w14:paraId="75BA46E1" w14:textId="77777777" w:rsidTr="00A858B3">
        <w:tc>
          <w:tcPr>
            <w:tcW w:w="3953" w:type="dxa"/>
          </w:tcPr>
          <w:p w14:paraId="2D64817B" w14:textId="77777777" w:rsidR="00860F8E" w:rsidRPr="00053FD1" w:rsidRDefault="00860F8E" w:rsidP="005D646B">
            <w:pPr>
              <w:pStyle w:val="TableText"/>
            </w:pPr>
            <w:r w:rsidRPr="00053FD1">
              <w:t xml:space="preserve">Review of airworthiness directive </w:t>
            </w:r>
          </w:p>
        </w:tc>
        <w:tc>
          <w:tcPr>
            <w:tcW w:w="1067" w:type="dxa"/>
          </w:tcPr>
          <w:p w14:paraId="03C80409" w14:textId="77777777" w:rsidR="00860F8E" w:rsidRPr="00053FD1" w:rsidRDefault="00860F8E" w:rsidP="005D646B">
            <w:pPr>
              <w:pStyle w:val="TableText"/>
            </w:pPr>
            <w:r w:rsidRPr="00053FD1">
              <w:t>9</w:t>
            </w:r>
          </w:p>
        </w:tc>
        <w:tc>
          <w:tcPr>
            <w:tcW w:w="1066" w:type="dxa"/>
          </w:tcPr>
          <w:p w14:paraId="2B4F7129" w14:textId="77777777" w:rsidR="00860F8E" w:rsidRPr="00053FD1" w:rsidRDefault="00860F8E" w:rsidP="005D646B">
            <w:pPr>
              <w:pStyle w:val="TableText"/>
            </w:pPr>
            <w:r w:rsidRPr="00053FD1">
              <w:t>6</w:t>
            </w:r>
          </w:p>
        </w:tc>
        <w:tc>
          <w:tcPr>
            <w:tcW w:w="1067" w:type="dxa"/>
          </w:tcPr>
          <w:p w14:paraId="21B50BF6" w14:textId="77777777" w:rsidR="00860F8E" w:rsidRPr="00053FD1" w:rsidRDefault="00860F8E" w:rsidP="005D646B">
            <w:pPr>
              <w:pStyle w:val="TableText"/>
            </w:pPr>
            <w:r w:rsidRPr="00053FD1">
              <w:t>6</w:t>
            </w:r>
          </w:p>
        </w:tc>
        <w:tc>
          <w:tcPr>
            <w:tcW w:w="1066" w:type="dxa"/>
          </w:tcPr>
          <w:p w14:paraId="39989C95" w14:textId="77777777" w:rsidR="00860F8E" w:rsidRPr="00053FD1" w:rsidRDefault="00860F8E" w:rsidP="005D646B">
            <w:pPr>
              <w:pStyle w:val="TableText"/>
            </w:pPr>
            <w:r w:rsidRPr="00053FD1">
              <w:t>–</w:t>
            </w:r>
          </w:p>
        </w:tc>
        <w:tc>
          <w:tcPr>
            <w:tcW w:w="1067" w:type="dxa"/>
          </w:tcPr>
          <w:p w14:paraId="2EBBCD28" w14:textId="77777777" w:rsidR="00860F8E" w:rsidRPr="00053FD1" w:rsidRDefault="00860F8E" w:rsidP="005D646B">
            <w:pPr>
              <w:pStyle w:val="TableText"/>
            </w:pPr>
            <w:r w:rsidRPr="00053FD1">
              <w:t>8</w:t>
            </w:r>
          </w:p>
        </w:tc>
      </w:tr>
      <w:tr w:rsidR="00860F8E" w:rsidRPr="00053FD1" w14:paraId="6C0F1FC6" w14:textId="77777777" w:rsidTr="00A858B3">
        <w:tc>
          <w:tcPr>
            <w:tcW w:w="3953" w:type="dxa"/>
            <w:shd w:val="clear" w:color="auto" w:fill="D9D9D9"/>
          </w:tcPr>
          <w:p w14:paraId="063E0D4B" w14:textId="77777777" w:rsidR="00860F8E" w:rsidRPr="005D646B" w:rsidRDefault="00860F8E" w:rsidP="005D646B">
            <w:pPr>
              <w:pStyle w:val="TableText"/>
              <w:rPr>
                <w:b/>
              </w:rPr>
            </w:pPr>
            <w:r w:rsidRPr="005D646B">
              <w:rPr>
                <w:b/>
              </w:rPr>
              <w:t>Airworthiness Bulletin</w:t>
            </w:r>
          </w:p>
        </w:tc>
        <w:tc>
          <w:tcPr>
            <w:tcW w:w="1067" w:type="dxa"/>
            <w:shd w:val="clear" w:color="auto" w:fill="D9D9D9"/>
          </w:tcPr>
          <w:p w14:paraId="1590AAEC" w14:textId="77777777" w:rsidR="00860F8E" w:rsidRPr="005D646B" w:rsidRDefault="00860F8E" w:rsidP="005D646B">
            <w:pPr>
              <w:pStyle w:val="TableText"/>
              <w:rPr>
                <w:b/>
                <w:i/>
              </w:rPr>
            </w:pPr>
          </w:p>
        </w:tc>
        <w:tc>
          <w:tcPr>
            <w:tcW w:w="1066" w:type="dxa"/>
            <w:shd w:val="clear" w:color="auto" w:fill="D9D9D9"/>
          </w:tcPr>
          <w:p w14:paraId="69F9EDCF" w14:textId="77777777" w:rsidR="00860F8E" w:rsidRPr="005D646B" w:rsidRDefault="00860F8E" w:rsidP="005D646B">
            <w:pPr>
              <w:pStyle w:val="TableText"/>
              <w:rPr>
                <w:b/>
                <w:i/>
              </w:rPr>
            </w:pPr>
          </w:p>
        </w:tc>
        <w:tc>
          <w:tcPr>
            <w:tcW w:w="1067" w:type="dxa"/>
            <w:shd w:val="clear" w:color="auto" w:fill="D9D9D9"/>
          </w:tcPr>
          <w:p w14:paraId="34250261" w14:textId="77777777" w:rsidR="00860F8E" w:rsidRPr="005D646B" w:rsidRDefault="00860F8E" w:rsidP="005D646B">
            <w:pPr>
              <w:pStyle w:val="TableText"/>
              <w:rPr>
                <w:b/>
                <w:i/>
              </w:rPr>
            </w:pPr>
          </w:p>
        </w:tc>
        <w:tc>
          <w:tcPr>
            <w:tcW w:w="1066" w:type="dxa"/>
            <w:shd w:val="clear" w:color="auto" w:fill="D9D9D9"/>
          </w:tcPr>
          <w:p w14:paraId="0AD91776" w14:textId="77777777" w:rsidR="00860F8E" w:rsidRPr="005D646B" w:rsidRDefault="00860F8E" w:rsidP="005D646B">
            <w:pPr>
              <w:pStyle w:val="TableText"/>
              <w:rPr>
                <w:b/>
                <w:i/>
              </w:rPr>
            </w:pPr>
          </w:p>
        </w:tc>
        <w:tc>
          <w:tcPr>
            <w:tcW w:w="1067" w:type="dxa"/>
            <w:shd w:val="clear" w:color="auto" w:fill="D9D9D9"/>
          </w:tcPr>
          <w:p w14:paraId="4565C3A3" w14:textId="77777777" w:rsidR="00860F8E" w:rsidRPr="005D646B" w:rsidRDefault="00860F8E" w:rsidP="005D646B">
            <w:pPr>
              <w:pStyle w:val="TableText"/>
              <w:rPr>
                <w:b/>
                <w:i/>
              </w:rPr>
            </w:pPr>
          </w:p>
        </w:tc>
      </w:tr>
      <w:tr w:rsidR="00860F8E" w:rsidRPr="00053FD1" w14:paraId="1B892C96" w14:textId="77777777" w:rsidTr="00A858B3">
        <w:tc>
          <w:tcPr>
            <w:tcW w:w="3953" w:type="dxa"/>
          </w:tcPr>
          <w:p w14:paraId="1B42EDC9" w14:textId="77777777" w:rsidR="00860F8E" w:rsidRPr="00053FD1" w:rsidRDefault="00860F8E" w:rsidP="005D646B">
            <w:pPr>
              <w:pStyle w:val="TableText"/>
            </w:pPr>
            <w:r w:rsidRPr="00053FD1">
              <w:t xml:space="preserve">Issued or amended </w:t>
            </w:r>
          </w:p>
        </w:tc>
        <w:tc>
          <w:tcPr>
            <w:tcW w:w="1067" w:type="dxa"/>
          </w:tcPr>
          <w:p w14:paraId="71A8FF6C" w14:textId="77777777" w:rsidR="00860F8E" w:rsidRPr="00053FD1" w:rsidRDefault="00860F8E" w:rsidP="005D646B">
            <w:pPr>
              <w:pStyle w:val="TableText"/>
            </w:pPr>
            <w:r w:rsidRPr="00053FD1">
              <w:t>41</w:t>
            </w:r>
          </w:p>
        </w:tc>
        <w:tc>
          <w:tcPr>
            <w:tcW w:w="1066" w:type="dxa"/>
          </w:tcPr>
          <w:p w14:paraId="7B5BD668" w14:textId="77777777" w:rsidR="00860F8E" w:rsidRPr="00053FD1" w:rsidRDefault="00860F8E" w:rsidP="005D646B">
            <w:pPr>
              <w:pStyle w:val="TableText"/>
            </w:pPr>
            <w:r w:rsidRPr="00053FD1">
              <w:t>67</w:t>
            </w:r>
          </w:p>
        </w:tc>
        <w:tc>
          <w:tcPr>
            <w:tcW w:w="1067" w:type="dxa"/>
          </w:tcPr>
          <w:p w14:paraId="0D3D3D82" w14:textId="77777777" w:rsidR="00860F8E" w:rsidRPr="00053FD1" w:rsidRDefault="00860F8E" w:rsidP="005D646B">
            <w:pPr>
              <w:pStyle w:val="TableText"/>
            </w:pPr>
            <w:r w:rsidRPr="00053FD1">
              <w:t>33</w:t>
            </w:r>
          </w:p>
        </w:tc>
        <w:tc>
          <w:tcPr>
            <w:tcW w:w="1066" w:type="dxa"/>
          </w:tcPr>
          <w:p w14:paraId="016D6318" w14:textId="77777777" w:rsidR="00860F8E" w:rsidRPr="00053FD1" w:rsidRDefault="00860F8E" w:rsidP="005D646B">
            <w:pPr>
              <w:pStyle w:val="TableText"/>
            </w:pPr>
            <w:r w:rsidRPr="00053FD1">
              <w:t>14</w:t>
            </w:r>
          </w:p>
        </w:tc>
        <w:tc>
          <w:tcPr>
            <w:tcW w:w="1067" w:type="dxa"/>
          </w:tcPr>
          <w:p w14:paraId="5C7F5267" w14:textId="77777777" w:rsidR="00860F8E" w:rsidRPr="00053FD1" w:rsidRDefault="00860F8E" w:rsidP="005D646B">
            <w:pPr>
              <w:pStyle w:val="TableText"/>
            </w:pPr>
            <w:r w:rsidRPr="00053FD1">
              <w:t>22</w:t>
            </w:r>
          </w:p>
        </w:tc>
      </w:tr>
      <w:tr w:rsidR="00860F8E" w:rsidRPr="00053FD1" w14:paraId="46394776" w14:textId="77777777" w:rsidTr="00A858B3">
        <w:tc>
          <w:tcPr>
            <w:tcW w:w="3953" w:type="dxa"/>
          </w:tcPr>
          <w:p w14:paraId="78803C66" w14:textId="77777777" w:rsidR="00860F8E" w:rsidRPr="00053FD1" w:rsidDel="002E6115" w:rsidRDefault="00860F8E" w:rsidP="005D646B">
            <w:pPr>
              <w:pStyle w:val="TableText"/>
            </w:pPr>
            <w:r w:rsidRPr="00053FD1">
              <w:t>Current</w:t>
            </w:r>
            <w:r w:rsidRPr="00053FD1">
              <w:rPr>
                <w:vertAlign w:val="superscript"/>
              </w:rPr>
              <w:t>a</w:t>
            </w:r>
          </w:p>
        </w:tc>
        <w:tc>
          <w:tcPr>
            <w:tcW w:w="1067" w:type="dxa"/>
          </w:tcPr>
          <w:p w14:paraId="6A9A00F3" w14:textId="77777777" w:rsidR="00860F8E" w:rsidRPr="00053FD1" w:rsidRDefault="00860F8E" w:rsidP="005D646B">
            <w:pPr>
              <w:pStyle w:val="TableText"/>
            </w:pPr>
            <w:r w:rsidRPr="00053FD1">
              <w:t>n/a</w:t>
            </w:r>
          </w:p>
        </w:tc>
        <w:tc>
          <w:tcPr>
            <w:tcW w:w="1066" w:type="dxa"/>
          </w:tcPr>
          <w:p w14:paraId="312359B2" w14:textId="77777777" w:rsidR="00860F8E" w:rsidRPr="00053FD1" w:rsidRDefault="00860F8E" w:rsidP="005D646B">
            <w:pPr>
              <w:pStyle w:val="TableText"/>
            </w:pPr>
            <w:r w:rsidRPr="00053FD1">
              <w:t>349</w:t>
            </w:r>
          </w:p>
        </w:tc>
        <w:tc>
          <w:tcPr>
            <w:tcW w:w="1067" w:type="dxa"/>
          </w:tcPr>
          <w:p w14:paraId="3434DF53" w14:textId="77777777" w:rsidR="00860F8E" w:rsidRPr="00053FD1" w:rsidRDefault="00860F8E" w:rsidP="005D646B">
            <w:pPr>
              <w:pStyle w:val="TableText"/>
            </w:pPr>
            <w:r w:rsidRPr="00053FD1">
              <w:t>374</w:t>
            </w:r>
          </w:p>
        </w:tc>
        <w:tc>
          <w:tcPr>
            <w:tcW w:w="1066" w:type="dxa"/>
          </w:tcPr>
          <w:p w14:paraId="6B684EF0" w14:textId="77777777" w:rsidR="00860F8E" w:rsidRPr="00053FD1" w:rsidRDefault="00860F8E" w:rsidP="005D646B">
            <w:pPr>
              <w:pStyle w:val="TableText"/>
            </w:pPr>
            <w:r w:rsidRPr="00053FD1">
              <w:t>384</w:t>
            </w:r>
          </w:p>
        </w:tc>
        <w:tc>
          <w:tcPr>
            <w:tcW w:w="1067" w:type="dxa"/>
          </w:tcPr>
          <w:p w14:paraId="1BA93A96" w14:textId="77777777" w:rsidR="00860F8E" w:rsidRPr="00053FD1" w:rsidRDefault="00860F8E" w:rsidP="005D646B">
            <w:pPr>
              <w:pStyle w:val="TableText"/>
            </w:pPr>
            <w:r w:rsidRPr="00053FD1">
              <w:t>376</w:t>
            </w:r>
          </w:p>
        </w:tc>
      </w:tr>
    </w:tbl>
    <w:p w14:paraId="1E7751D6" w14:textId="77777777" w:rsidR="00860F8E" w:rsidRPr="00053FD1" w:rsidRDefault="00860F8E" w:rsidP="00860F8E">
      <w:pPr>
        <w:keepLines/>
        <w:tabs>
          <w:tab w:val="left" w:pos="284"/>
          <w:tab w:val="left" w:pos="567"/>
        </w:tabs>
        <w:spacing w:before="60"/>
        <w:rPr>
          <w:rFonts w:ascii="Arial Narrow" w:hAnsi="Arial Narrow"/>
          <w:sz w:val="16"/>
        </w:rPr>
      </w:pPr>
      <w:r w:rsidRPr="00053FD1">
        <w:rPr>
          <w:rFonts w:ascii="Arial Narrow" w:hAnsi="Arial Narrow"/>
          <w:sz w:val="16"/>
        </w:rPr>
        <w:t>n/a = not applicable</w:t>
      </w:r>
    </w:p>
    <w:p w14:paraId="628B3BA8" w14:textId="77777777" w:rsidR="00860F8E" w:rsidRPr="00053FD1" w:rsidRDefault="00860F8E" w:rsidP="00860F8E">
      <w:pPr>
        <w:keepLines/>
        <w:tabs>
          <w:tab w:val="left" w:pos="284"/>
          <w:tab w:val="left" w:pos="567"/>
        </w:tabs>
        <w:spacing w:before="60" w:after="360"/>
        <w:rPr>
          <w:rFonts w:ascii="Arial Narrow" w:eastAsia="Times New Roman" w:hAnsi="Arial Narrow"/>
          <w:sz w:val="16"/>
        </w:rPr>
      </w:pPr>
      <w:r w:rsidRPr="00053FD1">
        <w:rPr>
          <w:rFonts w:ascii="Arial Narrow" w:hAnsi="Arial Narrow"/>
          <w:sz w:val="16"/>
        </w:rPr>
        <w:t>a</w:t>
      </w:r>
      <w:r>
        <w:rPr>
          <w:rFonts w:ascii="Arial Narrow" w:hAnsi="Arial Narrow"/>
          <w:sz w:val="16"/>
        </w:rPr>
        <w:tab/>
      </w:r>
      <w:r w:rsidRPr="00053FD1">
        <w:rPr>
          <w:rFonts w:ascii="Arial Narrow" w:hAnsi="Arial Narrow"/>
          <w:sz w:val="16"/>
        </w:rPr>
        <w:t>Measure introduced in 2014–15 to enhance reporting</w:t>
      </w:r>
      <w:r>
        <w:rPr>
          <w:rFonts w:ascii="Arial Narrow" w:hAnsi="Arial Narrow"/>
          <w:sz w:val="16"/>
        </w:rPr>
        <w:t>.</w:t>
      </w:r>
    </w:p>
    <w:p w14:paraId="127C8FB9" w14:textId="77777777" w:rsidR="00860F8E" w:rsidRPr="00053FD1" w:rsidRDefault="00860F8E" w:rsidP="00860F8E">
      <w:pPr>
        <w:keepNext/>
        <w:spacing w:before="180" w:after="240"/>
        <w:ind w:left="1440" w:hanging="1440"/>
        <w:rPr>
          <w:rFonts w:ascii="Arial Narrow" w:eastAsia="Times New Roman" w:hAnsi="Arial Narrow"/>
          <w:b/>
          <w:color w:val="0099CC"/>
          <w:sz w:val="22"/>
          <w:szCs w:val="22"/>
          <w:u w:color="0099CC"/>
        </w:rPr>
      </w:pPr>
      <w:bookmarkStart w:id="168" w:name="_Hlk519498215"/>
      <w:r w:rsidRPr="00053FD1">
        <w:rPr>
          <w:rFonts w:ascii="Arial Narrow" w:eastAsia="Times New Roman" w:hAnsi="Arial Narrow"/>
          <w:b/>
          <w:color w:val="0099CC"/>
          <w:sz w:val="22"/>
          <w:szCs w:val="22"/>
          <w:u w:color="0099CC"/>
        </w:rPr>
        <w:t>Table A.17</w:t>
      </w:r>
      <w:r w:rsidRPr="00053FD1">
        <w:rPr>
          <w:rFonts w:ascii="Arial Narrow" w:eastAsia="Times New Roman" w:hAnsi="Arial Narrow"/>
          <w:b/>
          <w:color w:val="0099CC"/>
          <w:sz w:val="22"/>
          <w:szCs w:val="22"/>
          <w:u w:color="0099CC"/>
        </w:rPr>
        <w:tab/>
        <w:t>Aircraft defect reports, 2013–14 to 2017–18</w:t>
      </w:r>
    </w:p>
    <w:bookmarkEnd w:id="16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3291"/>
        <w:gridCol w:w="1145"/>
        <w:gridCol w:w="1145"/>
        <w:gridCol w:w="1145"/>
        <w:gridCol w:w="1145"/>
        <w:gridCol w:w="1145"/>
      </w:tblGrid>
      <w:tr w:rsidR="00860F8E" w:rsidRPr="00053FD1" w14:paraId="1525B42C" w14:textId="77777777" w:rsidTr="008E2A9C">
        <w:trPr>
          <w:tblHeader/>
        </w:trPr>
        <w:tc>
          <w:tcPr>
            <w:tcW w:w="1825" w:type="pct"/>
          </w:tcPr>
          <w:p w14:paraId="4FA27111" w14:textId="77777777" w:rsidR="00860F8E" w:rsidRPr="005D646B" w:rsidRDefault="00860F8E" w:rsidP="005D646B">
            <w:pPr>
              <w:pStyle w:val="TableText"/>
              <w:rPr>
                <w:b/>
              </w:rPr>
            </w:pPr>
          </w:p>
        </w:tc>
        <w:tc>
          <w:tcPr>
            <w:tcW w:w="635" w:type="pct"/>
          </w:tcPr>
          <w:p w14:paraId="25D8703F" w14:textId="77777777" w:rsidR="00860F8E" w:rsidRPr="005D646B" w:rsidRDefault="00860F8E" w:rsidP="005D646B">
            <w:pPr>
              <w:pStyle w:val="TableText"/>
              <w:rPr>
                <w:b/>
              </w:rPr>
            </w:pPr>
            <w:r w:rsidRPr="005D646B">
              <w:rPr>
                <w:b/>
              </w:rPr>
              <w:t xml:space="preserve">2013–14 </w:t>
            </w:r>
          </w:p>
        </w:tc>
        <w:tc>
          <w:tcPr>
            <w:tcW w:w="635" w:type="pct"/>
          </w:tcPr>
          <w:p w14:paraId="7B56D6E8" w14:textId="77777777" w:rsidR="00860F8E" w:rsidRPr="005D646B" w:rsidRDefault="00860F8E" w:rsidP="005D646B">
            <w:pPr>
              <w:pStyle w:val="TableText"/>
              <w:rPr>
                <w:b/>
              </w:rPr>
            </w:pPr>
            <w:r w:rsidRPr="005D646B">
              <w:rPr>
                <w:b/>
              </w:rPr>
              <w:t xml:space="preserve">2014–15 </w:t>
            </w:r>
          </w:p>
        </w:tc>
        <w:tc>
          <w:tcPr>
            <w:tcW w:w="635" w:type="pct"/>
          </w:tcPr>
          <w:p w14:paraId="4D7F810F" w14:textId="77777777" w:rsidR="00860F8E" w:rsidRPr="005D646B" w:rsidRDefault="00860F8E" w:rsidP="005D646B">
            <w:pPr>
              <w:pStyle w:val="TableText"/>
              <w:rPr>
                <w:b/>
              </w:rPr>
            </w:pPr>
            <w:r w:rsidRPr="005D646B">
              <w:rPr>
                <w:b/>
              </w:rPr>
              <w:t>2015–16</w:t>
            </w:r>
          </w:p>
        </w:tc>
        <w:tc>
          <w:tcPr>
            <w:tcW w:w="635" w:type="pct"/>
          </w:tcPr>
          <w:p w14:paraId="2F87032D" w14:textId="77777777" w:rsidR="00860F8E" w:rsidRPr="005D646B" w:rsidRDefault="00860F8E" w:rsidP="005D646B">
            <w:pPr>
              <w:pStyle w:val="TableText"/>
              <w:rPr>
                <w:b/>
              </w:rPr>
            </w:pPr>
            <w:r w:rsidRPr="005D646B">
              <w:rPr>
                <w:b/>
              </w:rPr>
              <w:t>2016–17</w:t>
            </w:r>
          </w:p>
        </w:tc>
        <w:tc>
          <w:tcPr>
            <w:tcW w:w="635" w:type="pct"/>
          </w:tcPr>
          <w:p w14:paraId="6991B04F" w14:textId="77777777" w:rsidR="00860F8E" w:rsidRPr="005D646B" w:rsidRDefault="00860F8E" w:rsidP="005D646B">
            <w:pPr>
              <w:pStyle w:val="TableText"/>
              <w:rPr>
                <w:b/>
              </w:rPr>
            </w:pPr>
            <w:r w:rsidRPr="005D646B">
              <w:rPr>
                <w:b/>
              </w:rPr>
              <w:t>2017–18</w:t>
            </w:r>
          </w:p>
        </w:tc>
      </w:tr>
      <w:tr w:rsidR="00860F8E" w:rsidRPr="00053FD1" w14:paraId="639BE894" w14:textId="77777777" w:rsidTr="008E2A9C">
        <w:tc>
          <w:tcPr>
            <w:tcW w:w="1825" w:type="pct"/>
          </w:tcPr>
          <w:p w14:paraId="627DBDEB" w14:textId="77777777" w:rsidR="00860F8E" w:rsidRPr="00053FD1" w:rsidRDefault="00860F8E" w:rsidP="005D646B">
            <w:pPr>
              <w:pStyle w:val="TableText"/>
            </w:pPr>
            <w:r w:rsidRPr="00053FD1">
              <w:t xml:space="preserve">Received during the year </w:t>
            </w:r>
          </w:p>
        </w:tc>
        <w:tc>
          <w:tcPr>
            <w:tcW w:w="635" w:type="pct"/>
          </w:tcPr>
          <w:p w14:paraId="0CEBDA95" w14:textId="77777777" w:rsidR="00860F8E" w:rsidRPr="00053FD1" w:rsidRDefault="00860F8E" w:rsidP="005D646B">
            <w:pPr>
              <w:pStyle w:val="TableText"/>
            </w:pPr>
            <w:r w:rsidRPr="00053FD1">
              <w:t>3,091</w:t>
            </w:r>
          </w:p>
        </w:tc>
        <w:tc>
          <w:tcPr>
            <w:tcW w:w="635" w:type="pct"/>
          </w:tcPr>
          <w:p w14:paraId="4F2D436B" w14:textId="77777777" w:rsidR="00860F8E" w:rsidRPr="00053FD1" w:rsidRDefault="00860F8E" w:rsidP="005D646B">
            <w:pPr>
              <w:pStyle w:val="TableText"/>
            </w:pPr>
            <w:r w:rsidRPr="00053FD1">
              <w:t>2,829</w:t>
            </w:r>
          </w:p>
        </w:tc>
        <w:tc>
          <w:tcPr>
            <w:tcW w:w="635" w:type="pct"/>
          </w:tcPr>
          <w:p w14:paraId="1680500B" w14:textId="77777777" w:rsidR="00860F8E" w:rsidRPr="00053FD1" w:rsidRDefault="00860F8E" w:rsidP="005D646B">
            <w:pPr>
              <w:pStyle w:val="TableText"/>
            </w:pPr>
            <w:r w:rsidRPr="00053FD1">
              <w:t>1,984</w:t>
            </w:r>
          </w:p>
        </w:tc>
        <w:tc>
          <w:tcPr>
            <w:tcW w:w="635" w:type="pct"/>
          </w:tcPr>
          <w:p w14:paraId="538B6640" w14:textId="77777777" w:rsidR="00860F8E" w:rsidRPr="00053FD1" w:rsidRDefault="00860F8E" w:rsidP="005D646B">
            <w:pPr>
              <w:pStyle w:val="TableText"/>
            </w:pPr>
            <w:r w:rsidRPr="00053FD1">
              <w:t>2,182</w:t>
            </w:r>
          </w:p>
        </w:tc>
        <w:tc>
          <w:tcPr>
            <w:tcW w:w="635" w:type="pct"/>
          </w:tcPr>
          <w:p w14:paraId="25DE7E31" w14:textId="77777777" w:rsidR="00860F8E" w:rsidRPr="00053FD1" w:rsidRDefault="00860F8E" w:rsidP="005D646B">
            <w:pPr>
              <w:pStyle w:val="TableText"/>
            </w:pPr>
            <w:r w:rsidRPr="00053FD1">
              <w:t>1,734</w:t>
            </w:r>
          </w:p>
        </w:tc>
      </w:tr>
      <w:tr w:rsidR="00860F8E" w:rsidRPr="00053FD1" w14:paraId="4DD85451" w14:textId="77777777" w:rsidTr="008E2A9C">
        <w:tc>
          <w:tcPr>
            <w:tcW w:w="1825" w:type="pct"/>
          </w:tcPr>
          <w:p w14:paraId="6F365A3E" w14:textId="77777777" w:rsidR="00860F8E" w:rsidRPr="00053FD1" w:rsidRDefault="00860F8E" w:rsidP="005D646B">
            <w:pPr>
              <w:pStyle w:val="TableText"/>
            </w:pPr>
            <w:r w:rsidRPr="00053FD1">
              <w:t>Closed during the year</w:t>
            </w:r>
          </w:p>
        </w:tc>
        <w:tc>
          <w:tcPr>
            <w:tcW w:w="635" w:type="pct"/>
          </w:tcPr>
          <w:p w14:paraId="1330EC9F" w14:textId="77777777" w:rsidR="00860F8E" w:rsidRPr="00053FD1" w:rsidRDefault="00860F8E" w:rsidP="005D646B">
            <w:pPr>
              <w:pStyle w:val="TableText"/>
            </w:pPr>
            <w:r w:rsidRPr="00053FD1">
              <w:t>2,170</w:t>
            </w:r>
          </w:p>
        </w:tc>
        <w:tc>
          <w:tcPr>
            <w:tcW w:w="635" w:type="pct"/>
          </w:tcPr>
          <w:p w14:paraId="56F2390C" w14:textId="77777777" w:rsidR="00860F8E" w:rsidRPr="00053FD1" w:rsidRDefault="00860F8E" w:rsidP="005D646B">
            <w:pPr>
              <w:pStyle w:val="TableText"/>
            </w:pPr>
            <w:r w:rsidRPr="00053FD1">
              <w:t>2,092</w:t>
            </w:r>
          </w:p>
        </w:tc>
        <w:tc>
          <w:tcPr>
            <w:tcW w:w="635" w:type="pct"/>
          </w:tcPr>
          <w:p w14:paraId="25835E6C" w14:textId="77777777" w:rsidR="00860F8E" w:rsidRPr="00053FD1" w:rsidRDefault="00860F8E" w:rsidP="005D646B">
            <w:pPr>
              <w:pStyle w:val="TableText"/>
            </w:pPr>
            <w:r w:rsidRPr="00053FD1">
              <w:t>2,950</w:t>
            </w:r>
          </w:p>
        </w:tc>
        <w:tc>
          <w:tcPr>
            <w:tcW w:w="635" w:type="pct"/>
          </w:tcPr>
          <w:p w14:paraId="3BCA1FA4" w14:textId="77777777" w:rsidR="00860F8E" w:rsidRPr="00053FD1" w:rsidRDefault="00860F8E" w:rsidP="005D646B">
            <w:pPr>
              <w:pStyle w:val="TableText"/>
            </w:pPr>
            <w:r w:rsidRPr="00053FD1">
              <w:t>2,084</w:t>
            </w:r>
          </w:p>
        </w:tc>
        <w:tc>
          <w:tcPr>
            <w:tcW w:w="635" w:type="pct"/>
          </w:tcPr>
          <w:p w14:paraId="542C9837" w14:textId="77777777" w:rsidR="00860F8E" w:rsidRPr="00053FD1" w:rsidRDefault="00860F8E" w:rsidP="005D646B">
            <w:pPr>
              <w:pStyle w:val="TableText"/>
            </w:pPr>
            <w:r w:rsidRPr="00053FD1">
              <w:t>875</w:t>
            </w:r>
          </w:p>
        </w:tc>
      </w:tr>
      <w:tr w:rsidR="00860F8E" w:rsidRPr="00053FD1" w14:paraId="269DE664" w14:textId="77777777" w:rsidTr="008E2A9C">
        <w:tc>
          <w:tcPr>
            <w:tcW w:w="1825" w:type="pct"/>
          </w:tcPr>
          <w:p w14:paraId="7F277533" w14:textId="77777777" w:rsidR="00860F8E" w:rsidRPr="00053FD1" w:rsidRDefault="00860F8E" w:rsidP="005D646B">
            <w:pPr>
              <w:pStyle w:val="TableText"/>
            </w:pPr>
            <w:r w:rsidRPr="00053FD1">
              <w:t xml:space="preserve">Open as at 30 June </w:t>
            </w:r>
          </w:p>
        </w:tc>
        <w:tc>
          <w:tcPr>
            <w:tcW w:w="635" w:type="pct"/>
          </w:tcPr>
          <w:p w14:paraId="27C81433" w14:textId="77777777" w:rsidR="00860F8E" w:rsidRPr="00053FD1" w:rsidRDefault="00860F8E" w:rsidP="005D646B">
            <w:pPr>
              <w:pStyle w:val="TableText"/>
            </w:pPr>
            <w:r w:rsidRPr="00053FD1">
              <w:t>935</w:t>
            </w:r>
          </w:p>
        </w:tc>
        <w:tc>
          <w:tcPr>
            <w:tcW w:w="635" w:type="pct"/>
          </w:tcPr>
          <w:p w14:paraId="41BBA6F1" w14:textId="77777777" w:rsidR="00860F8E" w:rsidRPr="00053FD1" w:rsidRDefault="00860F8E" w:rsidP="005D646B">
            <w:pPr>
              <w:pStyle w:val="TableText"/>
            </w:pPr>
            <w:r w:rsidRPr="00053FD1">
              <w:t>1,646</w:t>
            </w:r>
          </w:p>
        </w:tc>
        <w:tc>
          <w:tcPr>
            <w:tcW w:w="635" w:type="pct"/>
          </w:tcPr>
          <w:p w14:paraId="57005127" w14:textId="77777777" w:rsidR="00860F8E" w:rsidRPr="00053FD1" w:rsidRDefault="00860F8E" w:rsidP="005D646B">
            <w:pPr>
              <w:pStyle w:val="TableText"/>
            </w:pPr>
            <w:r w:rsidRPr="00053FD1">
              <w:t>680</w:t>
            </w:r>
          </w:p>
        </w:tc>
        <w:tc>
          <w:tcPr>
            <w:tcW w:w="635" w:type="pct"/>
          </w:tcPr>
          <w:p w14:paraId="42362AB2" w14:textId="77777777" w:rsidR="00860F8E" w:rsidRPr="00053FD1" w:rsidRDefault="00860F8E" w:rsidP="005D646B">
            <w:pPr>
              <w:pStyle w:val="TableText"/>
            </w:pPr>
            <w:r w:rsidRPr="00053FD1">
              <w:t>693</w:t>
            </w:r>
          </w:p>
        </w:tc>
        <w:tc>
          <w:tcPr>
            <w:tcW w:w="635" w:type="pct"/>
          </w:tcPr>
          <w:p w14:paraId="3310CD3A" w14:textId="77777777" w:rsidR="00860F8E" w:rsidRPr="00053FD1" w:rsidRDefault="00860F8E" w:rsidP="005D646B">
            <w:pPr>
              <w:pStyle w:val="TableText"/>
            </w:pPr>
            <w:r w:rsidRPr="00053FD1">
              <w:t>1,495</w:t>
            </w:r>
          </w:p>
        </w:tc>
      </w:tr>
    </w:tbl>
    <w:p w14:paraId="129C4646" w14:textId="77777777" w:rsidR="00860F8E" w:rsidRPr="00053FD1" w:rsidRDefault="00860F8E" w:rsidP="00860F8E">
      <w:pPr>
        <w:pStyle w:val="TableNotesHangLast"/>
      </w:pPr>
      <w:r w:rsidRPr="00053FD1">
        <w:rPr>
          <w:rFonts w:eastAsia="Times New Roman"/>
          <w:color w:val="000000"/>
        </w:rPr>
        <w:t>a</w:t>
      </w:r>
      <w:bookmarkStart w:id="169" w:name="_Hlk519498065"/>
      <w:r w:rsidRPr="00053FD1">
        <w:rPr>
          <w:rFonts w:eastAsia="Times New Roman"/>
          <w:color w:val="000000"/>
        </w:rPr>
        <w:tab/>
        <w:t>A significant portion of this figure consists of aircraft above 5,700kg awaiting follow-up reports, such as investigation reports or laboratory reports, including some from overseas manufacturer</w:t>
      </w:r>
      <w:bookmarkEnd w:id="169"/>
      <w:r w:rsidRPr="00053FD1">
        <w:rPr>
          <w:rFonts w:eastAsia="Times New Roman"/>
          <w:color w:val="000000"/>
        </w:rPr>
        <w:t>s.</w:t>
      </w:r>
    </w:p>
    <w:p w14:paraId="1040AAE6" w14:textId="77777777" w:rsidR="00860F8E" w:rsidRPr="00053FD1" w:rsidRDefault="00860F8E" w:rsidP="00860F8E">
      <w:pPr>
        <w:pStyle w:val="Heading2"/>
      </w:pPr>
      <w:bookmarkStart w:id="170" w:name="_Toc238803371"/>
      <w:r w:rsidRPr="00053FD1">
        <w:t>Aerodromes</w:t>
      </w:r>
    </w:p>
    <w:p w14:paraId="1BE8E743" w14:textId="77777777" w:rsidR="00860F8E" w:rsidRPr="00053FD1" w:rsidRDefault="00860F8E" w:rsidP="00860F8E">
      <w:pPr>
        <w:pStyle w:val="TableName"/>
      </w:pPr>
      <w:r w:rsidRPr="00053FD1">
        <w:t>Table A.18</w:t>
      </w:r>
      <w:r w:rsidRPr="00053FD1">
        <w:tab/>
        <w:t>Aerodromes at 30 June, 2013–14 to 2017–1</w:t>
      </w:r>
      <w:bookmarkEnd w:id="170"/>
      <w:r w:rsidRPr="00053FD1">
        <w:t>8</w:t>
      </w:r>
    </w:p>
    <w:tbl>
      <w:tblPr>
        <w:tblW w:w="45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3597"/>
        <w:gridCol w:w="923"/>
        <w:gridCol w:w="923"/>
        <w:gridCol w:w="923"/>
        <w:gridCol w:w="923"/>
        <w:gridCol w:w="923"/>
      </w:tblGrid>
      <w:tr w:rsidR="00860F8E" w:rsidRPr="00053FD1" w14:paraId="3D7A13FC" w14:textId="77777777" w:rsidTr="008E2A9C">
        <w:trPr>
          <w:tblHeader/>
        </w:trPr>
        <w:tc>
          <w:tcPr>
            <w:tcW w:w="3697" w:type="dxa"/>
            <w:hideMark/>
          </w:tcPr>
          <w:p w14:paraId="50FCC789" w14:textId="77777777" w:rsidR="00860F8E" w:rsidRPr="005D646B" w:rsidRDefault="00860F8E" w:rsidP="005D646B">
            <w:pPr>
              <w:pStyle w:val="TableText"/>
              <w:rPr>
                <w:b/>
              </w:rPr>
            </w:pPr>
          </w:p>
        </w:tc>
        <w:tc>
          <w:tcPr>
            <w:tcW w:w="944" w:type="dxa"/>
          </w:tcPr>
          <w:p w14:paraId="0C7FB694" w14:textId="77777777" w:rsidR="00860F8E" w:rsidRPr="005D646B" w:rsidRDefault="00860F8E" w:rsidP="005D646B">
            <w:pPr>
              <w:pStyle w:val="TableText"/>
              <w:rPr>
                <w:b/>
              </w:rPr>
            </w:pPr>
            <w:r w:rsidRPr="005D646B">
              <w:rPr>
                <w:b/>
              </w:rPr>
              <w:t>2013–14</w:t>
            </w:r>
          </w:p>
        </w:tc>
        <w:tc>
          <w:tcPr>
            <w:tcW w:w="944" w:type="dxa"/>
          </w:tcPr>
          <w:p w14:paraId="1A8BFD25" w14:textId="77777777" w:rsidR="00860F8E" w:rsidRPr="005D646B" w:rsidRDefault="00860F8E" w:rsidP="005D646B">
            <w:pPr>
              <w:pStyle w:val="TableText"/>
              <w:rPr>
                <w:b/>
              </w:rPr>
            </w:pPr>
            <w:r w:rsidRPr="005D646B">
              <w:rPr>
                <w:b/>
              </w:rPr>
              <w:t>2014–15</w:t>
            </w:r>
          </w:p>
        </w:tc>
        <w:tc>
          <w:tcPr>
            <w:tcW w:w="944" w:type="dxa"/>
          </w:tcPr>
          <w:p w14:paraId="077B42D2" w14:textId="77777777" w:rsidR="00860F8E" w:rsidRPr="005D646B" w:rsidRDefault="00860F8E" w:rsidP="005D646B">
            <w:pPr>
              <w:pStyle w:val="TableText"/>
              <w:rPr>
                <w:b/>
              </w:rPr>
            </w:pPr>
            <w:r w:rsidRPr="005D646B">
              <w:rPr>
                <w:b/>
              </w:rPr>
              <w:t>2015–16</w:t>
            </w:r>
          </w:p>
        </w:tc>
        <w:tc>
          <w:tcPr>
            <w:tcW w:w="944" w:type="dxa"/>
          </w:tcPr>
          <w:p w14:paraId="1EBF259E" w14:textId="77777777" w:rsidR="00860F8E" w:rsidRPr="005D646B" w:rsidRDefault="00860F8E" w:rsidP="005D646B">
            <w:pPr>
              <w:pStyle w:val="TableText"/>
              <w:rPr>
                <w:b/>
              </w:rPr>
            </w:pPr>
            <w:r w:rsidRPr="005D646B">
              <w:rPr>
                <w:b/>
              </w:rPr>
              <w:t>2016–17</w:t>
            </w:r>
          </w:p>
        </w:tc>
        <w:tc>
          <w:tcPr>
            <w:tcW w:w="944" w:type="dxa"/>
          </w:tcPr>
          <w:p w14:paraId="2612E223" w14:textId="77777777" w:rsidR="00860F8E" w:rsidRPr="005D646B" w:rsidRDefault="00860F8E" w:rsidP="005D646B">
            <w:pPr>
              <w:pStyle w:val="TableText"/>
              <w:rPr>
                <w:b/>
              </w:rPr>
            </w:pPr>
            <w:r w:rsidRPr="005D646B">
              <w:rPr>
                <w:b/>
              </w:rPr>
              <w:t>2017–18</w:t>
            </w:r>
          </w:p>
        </w:tc>
      </w:tr>
      <w:tr w:rsidR="00860F8E" w:rsidRPr="00053FD1" w14:paraId="7E948C6D" w14:textId="77777777" w:rsidTr="008E2A9C">
        <w:tc>
          <w:tcPr>
            <w:tcW w:w="3697" w:type="dxa"/>
            <w:hideMark/>
          </w:tcPr>
          <w:p w14:paraId="0F5D7807" w14:textId="77777777" w:rsidR="00860F8E" w:rsidRPr="00053FD1" w:rsidRDefault="00860F8E" w:rsidP="005D646B">
            <w:pPr>
              <w:pStyle w:val="TableText"/>
            </w:pPr>
            <w:r w:rsidRPr="00053FD1">
              <w:t>Certified</w:t>
            </w:r>
          </w:p>
        </w:tc>
        <w:tc>
          <w:tcPr>
            <w:tcW w:w="944" w:type="dxa"/>
          </w:tcPr>
          <w:p w14:paraId="0FD250FB" w14:textId="77777777" w:rsidR="00860F8E" w:rsidRPr="00053FD1" w:rsidRDefault="00860F8E" w:rsidP="005D646B">
            <w:pPr>
              <w:pStyle w:val="TableText"/>
            </w:pPr>
            <w:r w:rsidRPr="00053FD1">
              <w:t>191</w:t>
            </w:r>
          </w:p>
        </w:tc>
        <w:tc>
          <w:tcPr>
            <w:tcW w:w="944" w:type="dxa"/>
          </w:tcPr>
          <w:p w14:paraId="127955A6" w14:textId="77777777" w:rsidR="00860F8E" w:rsidRPr="00053FD1" w:rsidRDefault="00860F8E" w:rsidP="005D646B">
            <w:pPr>
              <w:pStyle w:val="TableText"/>
            </w:pPr>
            <w:r w:rsidRPr="00053FD1">
              <w:t>192</w:t>
            </w:r>
          </w:p>
        </w:tc>
        <w:tc>
          <w:tcPr>
            <w:tcW w:w="944" w:type="dxa"/>
          </w:tcPr>
          <w:p w14:paraId="53D77814" w14:textId="77777777" w:rsidR="00860F8E" w:rsidRPr="00053FD1" w:rsidRDefault="00860F8E" w:rsidP="005D646B">
            <w:pPr>
              <w:pStyle w:val="TableText"/>
            </w:pPr>
            <w:r w:rsidRPr="00053FD1">
              <w:t>189</w:t>
            </w:r>
          </w:p>
        </w:tc>
        <w:tc>
          <w:tcPr>
            <w:tcW w:w="944" w:type="dxa"/>
          </w:tcPr>
          <w:p w14:paraId="0C2668A4" w14:textId="77777777" w:rsidR="00860F8E" w:rsidRPr="00053FD1" w:rsidRDefault="00860F8E" w:rsidP="005D646B">
            <w:pPr>
              <w:pStyle w:val="TableText"/>
            </w:pPr>
            <w:r w:rsidRPr="00053FD1">
              <w:t>188</w:t>
            </w:r>
          </w:p>
        </w:tc>
        <w:tc>
          <w:tcPr>
            <w:tcW w:w="944" w:type="dxa"/>
          </w:tcPr>
          <w:p w14:paraId="38891918" w14:textId="77777777" w:rsidR="00860F8E" w:rsidRPr="00053FD1" w:rsidRDefault="00860F8E" w:rsidP="005D646B">
            <w:pPr>
              <w:pStyle w:val="TableText"/>
            </w:pPr>
            <w:r w:rsidRPr="00053FD1">
              <w:t>194</w:t>
            </w:r>
          </w:p>
        </w:tc>
      </w:tr>
      <w:tr w:rsidR="00860F8E" w:rsidRPr="00053FD1" w14:paraId="17D5981F" w14:textId="77777777" w:rsidTr="008E2A9C">
        <w:tc>
          <w:tcPr>
            <w:tcW w:w="3697" w:type="dxa"/>
            <w:hideMark/>
          </w:tcPr>
          <w:p w14:paraId="23DC2238" w14:textId="77777777" w:rsidR="00860F8E" w:rsidRPr="00053FD1" w:rsidRDefault="00860F8E" w:rsidP="005D646B">
            <w:pPr>
              <w:pStyle w:val="TableText"/>
            </w:pPr>
            <w:r w:rsidRPr="00053FD1">
              <w:t>Registered</w:t>
            </w:r>
          </w:p>
        </w:tc>
        <w:tc>
          <w:tcPr>
            <w:tcW w:w="944" w:type="dxa"/>
          </w:tcPr>
          <w:p w14:paraId="4F19721E" w14:textId="77777777" w:rsidR="00860F8E" w:rsidRPr="00053FD1" w:rsidRDefault="00860F8E" w:rsidP="005D646B">
            <w:pPr>
              <w:pStyle w:val="TableText"/>
            </w:pPr>
            <w:r w:rsidRPr="00053FD1">
              <w:t>136</w:t>
            </w:r>
          </w:p>
        </w:tc>
        <w:tc>
          <w:tcPr>
            <w:tcW w:w="944" w:type="dxa"/>
          </w:tcPr>
          <w:p w14:paraId="1E3BD672" w14:textId="77777777" w:rsidR="00860F8E" w:rsidRPr="00053FD1" w:rsidRDefault="00860F8E" w:rsidP="005D646B">
            <w:pPr>
              <w:pStyle w:val="TableText"/>
            </w:pPr>
            <w:r w:rsidRPr="00053FD1">
              <w:t>135</w:t>
            </w:r>
          </w:p>
        </w:tc>
        <w:tc>
          <w:tcPr>
            <w:tcW w:w="944" w:type="dxa"/>
          </w:tcPr>
          <w:p w14:paraId="789E9C51" w14:textId="77777777" w:rsidR="00860F8E" w:rsidRPr="00053FD1" w:rsidRDefault="00860F8E" w:rsidP="005D646B">
            <w:pPr>
              <w:pStyle w:val="TableText"/>
            </w:pPr>
            <w:r w:rsidRPr="00053FD1">
              <w:t>133</w:t>
            </w:r>
          </w:p>
        </w:tc>
        <w:tc>
          <w:tcPr>
            <w:tcW w:w="944" w:type="dxa"/>
          </w:tcPr>
          <w:p w14:paraId="77DFC582" w14:textId="77777777" w:rsidR="00860F8E" w:rsidRPr="00053FD1" w:rsidRDefault="00860F8E" w:rsidP="005D646B">
            <w:pPr>
              <w:pStyle w:val="TableText"/>
            </w:pPr>
            <w:r w:rsidRPr="00053FD1">
              <w:t>133</w:t>
            </w:r>
          </w:p>
        </w:tc>
        <w:tc>
          <w:tcPr>
            <w:tcW w:w="944" w:type="dxa"/>
          </w:tcPr>
          <w:p w14:paraId="5EA9169E" w14:textId="77777777" w:rsidR="00860F8E" w:rsidRPr="00053FD1" w:rsidRDefault="00860F8E" w:rsidP="005D646B">
            <w:pPr>
              <w:pStyle w:val="TableText"/>
            </w:pPr>
            <w:r w:rsidRPr="00053FD1">
              <w:t>130</w:t>
            </w:r>
          </w:p>
        </w:tc>
      </w:tr>
      <w:tr w:rsidR="00860F8E" w:rsidRPr="00053FD1" w14:paraId="0021157C" w14:textId="77777777" w:rsidTr="008E2A9C">
        <w:tc>
          <w:tcPr>
            <w:tcW w:w="3697" w:type="dxa"/>
            <w:hideMark/>
          </w:tcPr>
          <w:p w14:paraId="7839A63D" w14:textId="77777777" w:rsidR="00860F8E" w:rsidRPr="00053FD1" w:rsidRDefault="00860F8E" w:rsidP="005D646B">
            <w:pPr>
              <w:pStyle w:val="TableText"/>
            </w:pPr>
            <w:r w:rsidRPr="00053FD1">
              <w:t>Total</w:t>
            </w:r>
          </w:p>
        </w:tc>
        <w:tc>
          <w:tcPr>
            <w:tcW w:w="944" w:type="dxa"/>
          </w:tcPr>
          <w:p w14:paraId="56AB6F37" w14:textId="77777777" w:rsidR="00860F8E" w:rsidRPr="00053FD1" w:rsidRDefault="00860F8E" w:rsidP="005D646B">
            <w:pPr>
              <w:pStyle w:val="TableText"/>
            </w:pPr>
            <w:r w:rsidRPr="00053FD1">
              <w:t>327</w:t>
            </w:r>
          </w:p>
        </w:tc>
        <w:tc>
          <w:tcPr>
            <w:tcW w:w="944" w:type="dxa"/>
          </w:tcPr>
          <w:p w14:paraId="09D670F8" w14:textId="77777777" w:rsidR="00860F8E" w:rsidRPr="00053FD1" w:rsidRDefault="00860F8E" w:rsidP="005D646B">
            <w:pPr>
              <w:pStyle w:val="TableText"/>
            </w:pPr>
            <w:r w:rsidRPr="00053FD1">
              <w:t>327</w:t>
            </w:r>
          </w:p>
        </w:tc>
        <w:tc>
          <w:tcPr>
            <w:tcW w:w="944" w:type="dxa"/>
          </w:tcPr>
          <w:p w14:paraId="02B8815C" w14:textId="77777777" w:rsidR="00860F8E" w:rsidRPr="00053FD1" w:rsidRDefault="00860F8E" w:rsidP="005D646B">
            <w:pPr>
              <w:pStyle w:val="TableText"/>
            </w:pPr>
            <w:r w:rsidRPr="00053FD1">
              <w:t>322</w:t>
            </w:r>
          </w:p>
        </w:tc>
        <w:tc>
          <w:tcPr>
            <w:tcW w:w="944" w:type="dxa"/>
          </w:tcPr>
          <w:p w14:paraId="7B4760CA" w14:textId="77777777" w:rsidR="00860F8E" w:rsidRPr="00053FD1" w:rsidRDefault="00860F8E" w:rsidP="005D646B">
            <w:pPr>
              <w:pStyle w:val="TableText"/>
            </w:pPr>
            <w:r w:rsidRPr="00053FD1">
              <w:t>321</w:t>
            </w:r>
          </w:p>
        </w:tc>
        <w:tc>
          <w:tcPr>
            <w:tcW w:w="944" w:type="dxa"/>
          </w:tcPr>
          <w:p w14:paraId="7C591254" w14:textId="77777777" w:rsidR="00860F8E" w:rsidRPr="00053FD1" w:rsidRDefault="00860F8E" w:rsidP="005D646B">
            <w:pPr>
              <w:pStyle w:val="TableText"/>
            </w:pPr>
            <w:r w:rsidRPr="00053FD1">
              <w:t>324</w:t>
            </w:r>
          </w:p>
        </w:tc>
      </w:tr>
    </w:tbl>
    <w:p w14:paraId="1041D7FE" w14:textId="77777777" w:rsidR="00860F8E" w:rsidRPr="00053FD1" w:rsidRDefault="00860F8E" w:rsidP="00860F8E">
      <w:pPr>
        <w:spacing w:after="0"/>
        <w:rPr>
          <w:rFonts w:ascii="Times New Roman" w:eastAsia="Times New Roman" w:hAnsi="Times New Roman"/>
          <w:szCs w:val="24"/>
          <w:lang w:eastAsia="en-AU"/>
        </w:rPr>
      </w:pPr>
      <w:bookmarkStart w:id="171" w:name="tablea8"/>
      <w:bookmarkEnd w:id="171"/>
    </w:p>
    <w:p w14:paraId="4907E99D" w14:textId="77777777" w:rsidR="00860F8E" w:rsidRPr="00053FD1" w:rsidRDefault="00860F8E" w:rsidP="00860F8E">
      <w:pPr>
        <w:keepLines/>
        <w:tabs>
          <w:tab w:val="left" w:pos="284"/>
          <w:tab w:val="left" w:pos="567"/>
        </w:tabs>
        <w:spacing w:before="60" w:after="360"/>
        <w:rPr>
          <w:rFonts w:ascii="Arial Narrow" w:eastAsia="Times New Roman" w:hAnsi="Arial Narrow"/>
          <w:sz w:val="16"/>
        </w:rPr>
      </w:pPr>
    </w:p>
    <w:p w14:paraId="4F9A1909" w14:textId="77777777" w:rsidR="00860F8E" w:rsidRPr="00053FD1" w:rsidRDefault="00860F8E" w:rsidP="00860F8E">
      <w:pPr>
        <w:sectPr w:rsidR="00860F8E" w:rsidRPr="00053FD1" w:rsidSect="002E1C33">
          <w:pgSz w:w="11906" w:h="16838"/>
          <w:pgMar w:top="851" w:right="1440" w:bottom="1440" w:left="1440" w:header="708" w:footer="708" w:gutter="0"/>
          <w:cols w:space="708"/>
          <w:docGrid w:linePitch="360"/>
        </w:sectPr>
      </w:pPr>
    </w:p>
    <w:p w14:paraId="65BF5AFD" w14:textId="77777777" w:rsidR="00860F8E" w:rsidRPr="00DA56E7" w:rsidRDefault="00860F8E" w:rsidP="00860F8E">
      <w:pPr>
        <w:pStyle w:val="Heading2"/>
      </w:pPr>
      <w:r w:rsidRPr="00053FD1">
        <w:lastRenderedPageBreak/>
        <w:t>Training</w:t>
      </w:r>
    </w:p>
    <w:p w14:paraId="79128B40" w14:textId="77777777" w:rsidR="00860F8E" w:rsidRPr="00C473FA" w:rsidRDefault="00860F8E" w:rsidP="00860F8E">
      <w:pPr>
        <w:pStyle w:val="TableName"/>
      </w:pPr>
      <w:r w:rsidRPr="00C473FA">
        <w:rPr>
          <w:szCs w:val="24"/>
          <w:lang w:eastAsia="en-AU"/>
        </w:rPr>
        <w:t>Table A.19</w:t>
      </w:r>
      <w:r w:rsidRPr="00C473FA">
        <w:rPr>
          <w:szCs w:val="24"/>
          <w:lang w:eastAsia="en-AU"/>
        </w:rPr>
        <w:tab/>
      </w:r>
      <w:r w:rsidRPr="00C473FA">
        <w:t>Civil Aviation Safety Regulations Part 1</w:t>
      </w:r>
      <w:r w:rsidRPr="00C473FA">
        <w:rPr>
          <w:lang w:eastAsia="en-AU"/>
        </w:rPr>
        <w:t>41</w:t>
      </w:r>
      <w:r w:rsidRPr="00C473FA">
        <w:t xml:space="preserve"> </w:t>
      </w:r>
      <w:r w:rsidRPr="00C473FA">
        <w:rPr>
          <w:lang w:eastAsia="en-AU"/>
        </w:rPr>
        <w:t xml:space="preserve">flight training </w:t>
      </w:r>
      <w:r w:rsidRPr="00C473FA">
        <w:t>certificates, 2015–16 to 201</w:t>
      </w:r>
      <w:r>
        <w:t>7</w:t>
      </w:r>
      <w:r w:rsidRPr="00C473FA">
        <w:t>–1</w:t>
      </w:r>
      <w:r>
        <w:t>8</w:t>
      </w:r>
    </w:p>
    <w:tbl>
      <w:tblPr>
        <w:tblW w:w="4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4A0" w:firstRow="1" w:lastRow="0" w:firstColumn="1" w:lastColumn="0" w:noHBand="0" w:noVBand="1"/>
      </w:tblPr>
      <w:tblGrid>
        <w:gridCol w:w="3341"/>
        <w:gridCol w:w="1419"/>
        <w:gridCol w:w="1419"/>
        <w:gridCol w:w="1418"/>
      </w:tblGrid>
      <w:tr w:rsidR="00860F8E" w:rsidRPr="00053FD1" w14:paraId="785D4A1A" w14:textId="77777777" w:rsidTr="00A858B3">
        <w:trPr>
          <w:tblHeader/>
        </w:trPr>
        <w:tc>
          <w:tcPr>
            <w:tcW w:w="2199" w:type="pct"/>
            <w:tcMar>
              <w:top w:w="0" w:type="dxa"/>
              <w:left w:w="108" w:type="dxa"/>
              <w:bottom w:w="0" w:type="dxa"/>
              <w:right w:w="108" w:type="dxa"/>
            </w:tcMar>
            <w:hideMark/>
          </w:tcPr>
          <w:p w14:paraId="5775134E" w14:textId="77777777" w:rsidR="00860F8E" w:rsidRPr="005D646B" w:rsidRDefault="00860F8E" w:rsidP="005D646B">
            <w:pPr>
              <w:pStyle w:val="TableText"/>
              <w:rPr>
                <w:b/>
              </w:rPr>
            </w:pPr>
            <w:r w:rsidRPr="005D646B">
              <w:rPr>
                <w:b/>
              </w:rPr>
              <w:t>Type of application</w:t>
            </w:r>
          </w:p>
        </w:tc>
        <w:tc>
          <w:tcPr>
            <w:tcW w:w="934" w:type="pct"/>
            <w:hideMark/>
          </w:tcPr>
          <w:p w14:paraId="41727752" w14:textId="77777777" w:rsidR="00860F8E" w:rsidRPr="005D646B" w:rsidRDefault="00860F8E" w:rsidP="005D646B">
            <w:pPr>
              <w:pStyle w:val="TableText"/>
              <w:rPr>
                <w:b/>
              </w:rPr>
            </w:pPr>
            <w:r w:rsidRPr="005D646B">
              <w:rPr>
                <w:b/>
              </w:rPr>
              <w:t>2015–16</w:t>
            </w:r>
          </w:p>
        </w:tc>
        <w:tc>
          <w:tcPr>
            <w:tcW w:w="934" w:type="pct"/>
            <w:hideMark/>
          </w:tcPr>
          <w:p w14:paraId="5F58526A" w14:textId="77777777" w:rsidR="00860F8E" w:rsidRPr="005D646B" w:rsidRDefault="00860F8E" w:rsidP="005D646B">
            <w:pPr>
              <w:pStyle w:val="TableText"/>
              <w:rPr>
                <w:b/>
              </w:rPr>
            </w:pPr>
            <w:r w:rsidRPr="005D646B">
              <w:rPr>
                <w:b/>
              </w:rPr>
              <w:t>2016–17</w:t>
            </w:r>
          </w:p>
        </w:tc>
        <w:tc>
          <w:tcPr>
            <w:tcW w:w="933" w:type="pct"/>
          </w:tcPr>
          <w:p w14:paraId="5A5E8D3D" w14:textId="77777777" w:rsidR="00860F8E" w:rsidRPr="005D646B" w:rsidRDefault="00860F8E" w:rsidP="005D646B">
            <w:pPr>
              <w:pStyle w:val="TableText"/>
              <w:rPr>
                <w:b/>
              </w:rPr>
            </w:pPr>
            <w:r w:rsidRPr="005D646B">
              <w:rPr>
                <w:b/>
              </w:rPr>
              <w:t>2017–18</w:t>
            </w:r>
          </w:p>
        </w:tc>
      </w:tr>
      <w:tr w:rsidR="00860F8E" w:rsidRPr="00053FD1" w14:paraId="4334D55A" w14:textId="77777777" w:rsidTr="00A858B3">
        <w:tc>
          <w:tcPr>
            <w:tcW w:w="2199" w:type="pct"/>
            <w:tcMar>
              <w:top w:w="0" w:type="dxa"/>
              <w:left w:w="108" w:type="dxa"/>
              <w:bottom w:w="0" w:type="dxa"/>
              <w:right w:w="108" w:type="dxa"/>
            </w:tcMar>
            <w:hideMark/>
          </w:tcPr>
          <w:p w14:paraId="2DF0CBB2" w14:textId="77777777" w:rsidR="00860F8E" w:rsidRPr="00053FD1" w:rsidRDefault="00860F8E" w:rsidP="005D646B">
            <w:pPr>
              <w:pStyle w:val="TableText"/>
            </w:pPr>
            <w:r w:rsidRPr="00053FD1">
              <w:t>Initial issue</w:t>
            </w:r>
            <w:r w:rsidRPr="00053FD1">
              <w:rPr>
                <w:vertAlign w:val="superscript"/>
              </w:rPr>
              <w:t>a</w:t>
            </w:r>
          </w:p>
        </w:tc>
        <w:tc>
          <w:tcPr>
            <w:tcW w:w="934" w:type="pct"/>
            <w:hideMark/>
          </w:tcPr>
          <w:p w14:paraId="09C33612" w14:textId="77777777" w:rsidR="00860F8E" w:rsidRPr="00053FD1" w:rsidRDefault="00860F8E" w:rsidP="005D646B">
            <w:pPr>
              <w:pStyle w:val="TableText"/>
            </w:pPr>
            <w:r w:rsidRPr="00053FD1">
              <w:t>2</w:t>
            </w:r>
          </w:p>
        </w:tc>
        <w:tc>
          <w:tcPr>
            <w:tcW w:w="934" w:type="pct"/>
            <w:hideMark/>
          </w:tcPr>
          <w:p w14:paraId="20FE122E" w14:textId="77777777" w:rsidR="00860F8E" w:rsidRPr="00053FD1" w:rsidRDefault="00860F8E" w:rsidP="005D646B">
            <w:pPr>
              <w:pStyle w:val="TableText"/>
            </w:pPr>
            <w:r w:rsidRPr="00053FD1">
              <w:t>16</w:t>
            </w:r>
          </w:p>
        </w:tc>
        <w:tc>
          <w:tcPr>
            <w:tcW w:w="933" w:type="pct"/>
          </w:tcPr>
          <w:p w14:paraId="4E0C26AF" w14:textId="77777777" w:rsidR="00860F8E" w:rsidRPr="00053FD1" w:rsidRDefault="00860F8E" w:rsidP="005D646B">
            <w:pPr>
              <w:pStyle w:val="TableText"/>
            </w:pPr>
            <w:r w:rsidRPr="00053FD1">
              <w:t>17</w:t>
            </w:r>
          </w:p>
        </w:tc>
      </w:tr>
      <w:tr w:rsidR="00860F8E" w:rsidRPr="00053FD1" w14:paraId="02966834" w14:textId="77777777" w:rsidTr="00A858B3">
        <w:tc>
          <w:tcPr>
            <w:tcW w:w="2199" w:type="pct"/>
            <w:tcMar>
              <w:top w:w="0" w:type="dxa"/>
              <w:left w:w="108" w:type="dxa"/>
              <w:bottom w:w="0" w:type="dxa"/>
              <w:right w:w="108" w:type="dxa"/>
            </w:tcMar>
            <w:hideMark/>
          </w:tcPr>
          <w:p w14:paraId="5CE9A600" w14:textId="77777777" w:rsidR="00860F8E" w:rsidRPr="00053FD1" w:rsidRDefault="00860F8E" w:rsidP="005D646B">
            <w:pPr>
              <w:pStyle w:val="TableText"/>
            </w:pPr>
            <w:r w:rsidRPr="00053FD1">
              <w:t>Subsequent issue</w:t>
            </w:r>
          </w:p>
        </w:tc>
        <w:tc>
          <w:tcPr>
            <w:tcW w:w="934" w:type="pct"/>
            <w:hideMark/>
          </w:tcPr>
          <w:p w14:paraId="0A9232B5" w14:textId="77777777" w:rsidR="00860F8E" w:rsidRPr="00053FD1" w:rsidRDefault="00860F8E" w:rsidP="005D646B">
            <w:pPr>
              <w:pStyle w:val="TableText"/>
            </w:pPr>
            <w:r w:rsidRPr="00053FD1">
              <w:t>4</w:t>
            </w:r>
          </w:p>
        </w:tc>
        <w:tc>
          <w:tcPr>
            <w:tcW w:w="934" w:type="pct"/>
            <w:hideMark/>
          </w:tcPr>
          <w:p w14:paraId="25B00207" w14:textId="77777777" w:rsidR="00860F8E" w:rsidRPr="00053FD1" w:rsidRDefault="00860F8E" w:rsidP="005D646B">
            <w:pPr>
              <w:pStyle w:val="TableText"/>
            </w:pPr>
            <w:r w:rsidRPr="00053FD1">
              <w:t>4</w:t>
            </w:r>
          </w:p>
        </w:tc>
        <w:tc>
          <w:tcPr>
            <w:tcW w:w="933" w:type="pct"/>
          </w:tcPr>
          <w:p w14:paraId="6C4A89D4" w14:textId="77777777" w:rsidR="00860F8E" w:rsidRPr="00053FD1" w:rsidRDefault="00860F8E" w:rsidP="005D646B">
            <w:pPr>
              <w:pStyle w:val="TableText"/>
            </w:pPr>
            <w:r w:rsidRPr="00053FD1">
              <w:t>16</w:t>
            </w:r>
          </w:p>
        </w:tc>
      </w:tr>
      <w:tr w:rsidR="00860F8E" w:rsidRPr="00053FD1" w14:paraId="5A023720" w14:textId="77777777" w:rsidTr="00A858B3">
        <w:tc>
          <w:tcPr>
            <w:tcW w:w="2199" w:type="pct"/>
            <w:tcMar>
              <w:top w:w="0" w:type="dxa"/>
              <w:left w:w="108" w:type="dxa"/>
              <w:bottom w:w="0" w:type="dxa"/>
              <w:right w:w="108" w:type="dxa"/>
            </w:tcMar>
            <w:hideMark/>
          </w:tcPr>
          <w:p w14:paraId="5F2852CE" w14:textId="77777777" w:rsidR="00860F8E" w:rsidRPr="00053FD1" w:rsidRDefault="00860F8E" w:rsidP="005D646B">
            <w:pPr>
              <w:pStyle w:val="TableText"/>
            </w:pPr>
            <w:r w:rsidRPr="00053FD1">
              <w:t>Variation</w:t>
            </w:r>
          </w:p>
        </w:tc>
        <w:tc>
          <w:tcPr>
            <w:tcW w:w="934" w:type="pct"/>
            <w:hideMark/>
          </w:tcPr>
          <w:p w14:paraId="28FD805B" w14:textId="77777777" w:rsidR="00860F8E" w:rsidRPr="00053FD1" w:rsidRDefault="00860F8E" w:rsidP="005D646B">
            <w:pPr>
              <w:pStyle w:val="TableText"/>
            </w:pPr>
            <w:r w:rsidRPr="00053FD1">
              <w:t>27</w:t>
            </w:r>
          </w:p>
        </w:tc>
        <w:tc>
          <w:tcPr>
            <w:tcW w:w="934" w:type="pct"/>
            <w:hideMark/>
          </w:tcPr>
          <w:p w14:paraId="2031F389" w14:textId="77777777" w:rsidR="00860F8E" w:rsidRPr="00053FD1" w:rsidRDefault="00860F8E" w:rsidP="005D646B">
            <w:pPr>
              <w:pStyle w:val="TableText"/>
            </w:pPr>
            <w:r w:rsidRPr="00053FD1">
              <w:t>47</w:t>
            </w:r>
          </w:p>
        </w:tc>
        <w:tc>
          <w:tcPr>
            <w:tcW w:w="933" w:type="pct"/>
          </w:tcPr>
          <w:p w14:paraId="37588565" w14:textId="77777777" w:rsidR="00860F8E" w:rsidRPr="00053FD1" w:rsidRDefault="00860F8E" w:rsidP="005D646B">
            <w:pPr>
              <w:pStyle w:val="TableText"/>
            </w:pPr>
            <w:r w:rsidRPr="00053FD1">
              <w:t>53</w:t>
            </w:r>
          </w:p>
        </w:tc>
      </w:tr>
      <w:tr w:rsidR="00860F8E" w:rsidRPr="00053FD1" w14:paraId="0D6D76E3" w14:textId="77777777" w:rsidTr="00A858B3">
        <w:tc>
          <w:tcPr>
            <w:tcW w:w="2199" w:type="pct"/>
            <w:tcMar>
              <w:top w:w="0" w:type="dxa"/>
              <w:left w:w="108" w:type="dxa"/>
              <w:bottom w:w="0" w:type="dxa"/>
              <w:right w:w="108" w:type="dxa"/>
            </w:tcMar>
            <w:hideMark/>
          </w:tcPr>
          <w:p w14:paraId="2209B2C0" w14:textId="77777777" w:rsidR="00860F8E" w:rsidRPr="005D646B" w:rsidRDefault="00860F8E" w:rsidP="005D646B">
            <w:pPr>
              <w:pStyle w:val="TableText"/>
              <w:rPr>
                <w:b/>
                <w:bCs/>
              </w:rPr>
            </w:pPr>
            <w:r w:rsidRPr="005D646B">
              <w:rPr>
                <w:b/>
                <w:bCs/>
              </w:rPr>
              <w:t>Total</w:t>
            </w:r>
          </w:p>
        </w:tc>
        <w:tc>
          <w:tcPr>
            <w:tcW w:w="934" w:type="pct"/>
            <w:hideMark/>
          </w:tcPr>
          <w:p w14:paraId="691B2758" w14:textId="77777777" w:rsidR="00860F8E" w:rsidRPr="005D646B" w:rsidRDefault="00860F8E" w:rsidP="005D646B">
            <w:pPr>
              <w:pStyle w:val="TableText"/>
              <w:rPr>
                <w:b/>
              </w:rPr>
            </w:pPr>
            <w:r w:rsidRPr="005D646B">
              <w:rPr>
                <w:b/>
              </w:rPr>
              <w:t>33</w:t>
            </w:r>
          </w:p>
        </w:tc>
        <w:tc>
          <w:tcPr>
            <w:tcW w:w="934" w:type="pct"/>
            <w:hideMark/>
          </w:tcPr>
          <w:p w14:paraId="51C152A1" w14:textId="77777777" w:rsidR="00860F8E" w:rsidRPr="005D646B" w:rsidRDefault="00860F8E" w:rsidP="005D646B">
            <w:pPr>
              <w:pStyle w:val="TableText"/>
              <w:rPr>
                <w:b/>
              </w:rPr>
            </w:pPr>
            <w:r w:rsidRPr="005D646B">
              <w:rPr>
                <w:b/>
              </w:rPr>
              <w:t>67</w:t>
            </w:r>
          </w:p>
        </w:tc>
        <w:tc>
          <w:tcPr>
            <w:tcW w:w="933" w:type="pct"/>
          </w:tcPr>
          <w:p w14:paraId="008BC767" w14:textId="77777777" w:rsidR="00860F8E" w:rsidRPr="005D646B" w:rsidRDefault="00860F8E" w:rsidP="005D646B">
            <w:pPr>
              <w:pStyle w:val="TableText"/>
              <w:rPr>
                <w:b/>
                <w:bCs/>
              </w:rPr>
            </w:pPr>
            <w:r w:rsidRPr="005D646B">
              <w:rPr>
                <w:b/>
                <w:bCs/>
              </w:rPr>
              <w:t>86</w:t>
            </w:r>
          </w:p>
        </w:tc>
      </w:tr>
    </w:tbl>
    <w:p w14:paraId="3B76AC59" w14:textId="77777777" w:rsidR="00860F8E" w:rsidRPr="00053FD1" w:rsidRDefault="00860F8E" w:rsidP="00860F8E">
      <w:pPr>
        <w:pStyle w:val="TableNotesHangLast"/>
        <w:rPr>
          <w:rFonts w:eastAsia="Times New Roman"/>
        </w:rPr>
      </w:pPr>
      <w:r w:rsidRPr="00053FD1">
        <w:t>a</w:t>
      </w:r>
      <w:r w:rsidRPr="00053FD1">
        <w:tab/>
        <w:t>The figures for initial issue do not include interim certificates and transitions.</w:t>
      </w:r>
    </w:p>
    <w:p w14:paraId="52BE950E" w14:textId="77777777" w:rsidR="00860F8E" w:rsidRPr="00053FD1" w:rsidRDefault="00860F8E" w:rsidP="00860F8E">
      <w:pPr>
        <w:pStyle w:val="TableName"/>
      </w:pPr>
      <w:r w:rsidRPr="00053FD1">
        <w:rPr>
          <w:szCs w:val="24"/>
          <w:lang w:eastAsia="en-AU"/>
        </w:rPr>
        <w:t>Table A.20</w:t>
      </w:r>
      <w:r w:rsidRPr="00053FD1">
        <w:rPr>
          <w:szCs w:val="24"/>
          <w:lang w:eastAsia="en-AU"/>
        </w:rPr>
        <w:tab/>
      </w:r>
      <w:r w:rsidRPr="00053FD1">
        <w:t>Civil Aviation Safety Regulations Part 1</w:t>
      </w:r>
      <w:r w:rsidRPr="00053FD1">
        <w:rPr>
          <w:lang w:eastAsia="en-AU"/>
        </w:rPr>
        <w:t xml:space="preserve">42 flight training </w:t>
      </w:r>
      <w:r w:rsidRPr="00053FD1">
        <w:t>certificates, 2015–16 to 2017–18</w:t>
      </w:r>
    </w:p>
    <w:tbl>
      <w:tblPr>
        <w:tblW w:w="4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4A0" w:firstRow="1" w:lastRow="0" w:firstColumn="1" w:lastColumn="0" w:noHBand="0" w:noVBand="1"/>
      </w:tblPr>
      <w:tblGrid>
        <w:gridCol w:w="3341"/>
        <w:gridCol w:w="1419"/>
        <w:gridCol w:w="1419"/>
        <w:gridCol w:w="1418"/>
      </w:tblGrid>
      <w:tr w:rsidR="00860F8E" w:rsidRPr="00053FD1" w14:paraId="6297BE8C" w14:textId="77777777" w:rsidTr="00A858B3">
        <w:trPr>
          <w:tblHeader/>
        </w:trPr>
        <w:tc>
          <w:tcPr>
            <w:tcW w:w="2199" w:type="pct"/>
            <w:tcMar>
              <w:top w:w="0" w:type="dxa"/>
              <w:left w:w="108" w:type="dxa"/>
              <w:bottom w:w="0" w:type="dxa"/>
              <w:right w:w="108" w:type="dxa"/>
            </w:tcMar>
          </w:tcPr>
          <w:p w14:paraId="74691D96" w14:textId="77777777" w:rsidR="00860F8E" w:rsidRPr="005D646B" w:rsidRDefault="00860F8E" w:rsidP="005D646B">
            <w:pPr>
              <w:pStyle w:val="TableText"/>
              <w:rPr>
                <w:b/>
              </w:rPr>
            </w:pPr>
            <w:r w:rsidRPr="005D646B">
              <w:rPr>
                <w:b/>
                <w:lang w:eastAsia="en-AU"/>
              </w:rPr>
              <w:t>Type of application</w:t>
            </w:r>
          </w:p>
        </w:tc>
        <w:tc>
          <w:tcPr>
            <w:tcW w:w="934" w:type="pct"/>
          </w:tcPr>
          <w:p w14:paraId="7FA10C15" w14:textId="77777777" w:rsidR="00860F8E" w:rsidRPr="005D646B" w:rsidRDefault="00860F8E" w:rsidP="005D646B">
            <w:pPr>
              <w:pStyle w:val="TableText"/>
              <w:rPr>
                <w:b/>
              </w:rPr>
            </w:pPr>
            <w:r w:rsidRPr="005D646B">
              <w:rPr>
                <w:b/>
              </w:rPr>
              <w:t>2015–16</w:t>
            </w:r>
          </w:p>
        </w:tc>
        <w:tc>
          <w:tcPr>
            <w:tcW w:w="934" w:type="pct"/>
          </w:tcPr>
          <w:p w14:paraId="605986ED" w14:textId="77777777" w:rsidR="00860F8E" w:rsidRPr="005D646B" w:rsidRDefault="00860F8E" w:rsidP="005D646B">
            <w:pPr>
              <w:pStyle w:val="TableText"/>
              <w:rPr>
                <w:b/>
              </w:rPr>
            </w:pPr>
            <w:r w:rsidRPr="005D646B">
              <w:rPr>
                <w:b/>
              </w:rPr>
              <w:t>2016–17</w:t>
            </w:r>
          </w:p>
        </w:tc>
        <w:tc>
          <w:tcPr>
            <w:tcW w:w="933" w:type="pct"/>
          </w:tcPr>
          <w:p w14:paraId="659A1154" w14:textId="77777777" w:rsidR="00860F8E" w:rsidRPr="005D646B" w:rsidRDefault="00860F8E" w:rsidP="005D646B">
            <w:pPr>
              <w:pStyle w:val="TableText"/>
              <w:rPr>
                <w:b/>
              </w:rPr>
            </w:pPr>
            <w:r w:rsidRPr="005D646B">
              <w:rPr>
                <w:b/>
              </w:rPr>
              <w:t>2017–18</w:t>
            </w:r>
          </w:p>
        </w:tc>
      </w:tr>
      <w:tr w:rsidR="00860F8E" w:rsidRPr="00053FD1" w14:paraId="53173DCE" w14:textId="77777777" w:rsidTr="00A858B3">
        <w:tc>
          <w:tcPr>
            <w:tcW w:w="2199" w:type="pct"/>
            <w:tcMar>
              <w:top w:w="0" w:type="dxa"/>
              <w:left w:w="108" w:type="dxa"/>
              <w:bottom w:w="0" w:type="dxa"/>
              <w:right w:w="108" w:type="dxa"/>
            </w:tcMar>
            <w:hideMark/>
          </w:tcPr>
          <w:p w14:paraId="7275E470" w14:textId="77777777" w:rsidR="00860F8E" w:rsidRPr="00053FD1" w:rsidRDefault="00860F8E" w:rsidP="005D646B">
            <w:pPr>
              <w:pStyle w:val="TableText"/>
            </w:pPr>
            <w:r w:rsidRPr="00053FD1">
              <w:t>Initial issue</w:t>
            </w:r>
            <w:r w:rsidRPr="00053FD1">
              <w:rPr>
                <w:vertAlign w:val="superscript"/>
              </w:rPr>
              <w:t>a</w:t>
            </w:r>
          </w:p>
        </w:tc>
        <w:tc>
          <w:tcPr>
            <w:tcW w:w="934" w:type="pct"/>
          </w:tcPr>
          <w:p w14:paraId="2FC985E3" w14:textId="77777777" w:rsidR="00860F8E" w:rsidRPr="00053FD1" w:rsidRDefault="00860F8E" w:rsidP="005D646B">
            <w:pPr>
              <w:pStyle w:val="TableText"/>
            </w:pPr>
            <w:r w:rsidRPr="00053FD1">
              <w:t>3</w:t>
            </w:r>
          </w:p>
        </w:tc>
        <w:tc>
          <w:tcPr>
            <w:tcW w:w="934" w:type="pct"/>
          </w:tcPr>
          <w:p w14:paraId="61223034" w14:textId="77777777" w:rsidR="00860F8E" w:rsidRPr="00053FD1" w:rsidRDefault="00860F8E" w:rsidP="005D646B">
            <w:pPr>
              <w:pStyle w:val="TableText"/>
            </w:pPr>
            <w:r w:rsidRPr="00053FD1">
              <w:t>8</w:t>
            </w:r>
          </w:p>
        </w:tc>
        <w:tc>
          <w:tcPr>
            <w:tcW w:w="933" w:type="pct"/>
          </w:tcPr>
          <w:p w14:paraId="77A01374" w14:textId="77777777" w:rsidR="00860F8E" w:rsidRPr="00053FD1" w:rsidRDefault="00860F8E" w:rsidP="005D646B">
            <w:pPr>
              <w:pStyle w:val="TableText"/>
            </w:pPr>
            <w:r w:rsidRPr="00053FD1">
              <w:t>0</w:t>
            </w:r>
          </w:p>
        </w:tc>
      </w:tr>
      <w:tr w:rsidR="00860F8E" w:rsidRPr="00053FD1" w14:paraId="0EB41341" w14:textId="77777777" w:rsidTr="00A858B3">
        <w:tc>
          <w:tcPr>
            <w:tcW w:w="2199" w:type="pct"/>
            <w:tcMar>
              <w:top w:w="0" w:type="dxa"/>
              <w:left w:w="108" w:type="dxa"/>
              <w:bottom w:w="0" w:type="dxa"/>
              <w:right w:w="108" w:type="dxa"/>
            </w:tcMar>
            <w:hideMark/>
          </w:tcPr>
          <w:p w14:paraId="3DAADAA2" w14:textId="77777777" w:rsidR="00860F8E" w:rsidRPr="00053FD1" w:rsidRDefault="00860F8E" w:rsidP="005D646B">
            <w:pPr>
              <w:pStyle w:val="TableText"/>
            </w:pPr>
            <w:r w:rsidRPr="00053FD1">
              <w:t>Subsequent issue</w:t>
            </w:r>
          </w:p>
        </w:tc>
        <w:tc>
          <w:tcPr>
            <w:tcW w:w="934" w:type="pct"/>
          </w:tcPr>
          <w:p w14:paraId="5E9247AD" w14:textId="77777777" w:rsidR="00860F8E" w:rsidRPr="00053FD1" w:rsidRDefault="00860F8E" w:rsidP="005D646B">
            <w:pPr>
              <w:pStyle w:val="TableText"/>
            </w:pPr>
            <w:r w:rsidRPr="00053FD1">
              <w:t>2</w:t>
            </w:r>
          </w:p>
        </w:tc>
        <w:tc>
          <w:tcPr>
            <w:tcW w:w="934" w:type="pct"/>
          </w:tcPr>
          <w:p w14:paraId="2CD494FC" w14:textId="77777777" w:rsidR="00860F8E" w:rsidRPr="00053FD1" w:rsidRDefault="00860F8E" w:rsidP="005D646B">
            <w:pPr>
              <w:pStyle w:val="TableText"/>
            </w:pPr>
            <w:r w:rsidRPr="00053FD1">
              <w:t>3</w:t>
            </w:r>
          </w:p>
        </w:tc>
        <w:tc>
          <w:tcPr>
            <w:tcW w:w="933" w:type="pct"/>
          </w:tcPr>
          <w:p w14:paraId="726458EB" w14:textId="77777777" w:rsidR="00860F8E" w:rsidRPr="00053FD1" w:rsidRDefault="00860F8E" w:rsidP="005D646B">
            <w:pPr>
              <w:pStyle w:val="TableText"/>
            </w:pPr>
            <w:r w:rsidRPr="00053FD1">
              <w:t>3</w:t>
            </w:r>
          </w:p>
        </w:tc>
      </w:tr>
      <w:tr w:rsidR="00860F8E" w:rsidRPr="00053FD1" w14:paraId="15AAE0B4" w14:textId="77777777" w:rsidTr="00A858B3">
        <w:tc>
          <w:tcPr>
            <w:tcW w:w="2199" w:type="pct"/>
            <w:tcMar>
              <w:top w:w="0" w:type="dxa"/>
              <w:left w:w="108" w:type="dxa"/>
              <w:bottom w:w="0" w:type="dxa"/>
              <w:right w:w="108" w:type="dxa"/>
            </w:tcMar>
            <w:hideMark/>
          </w:tcPr>
          <w:p w14:paraId="2D535D09" w14:textId="77777777" w:rsidR="00860F8E" w:rsidRPr="00053FD1" w:rsidRDefault="00860F8E" w:rsidP="005D646B">
            <w:pPr>
              <w:pStyle w:val="TableText"/>
            </w:pPr>
            <w:r w:rsidRPr="00053FD1">
              <w:t>Variation</w:t>
            </w:r>
          </w:p>
        </w:tc>
        <w:tc>
          <w:tcPr>
            <w:tcW w:w="934" w:type="pct"/>
          </w:tcPr>
          <w:p w14:paraId="7224F37D" w14:textId="77777777" w:rsidR="00860F8E" w:rsidRPr="00053FD1" w:rsidRDefault="00860F8E" w:rsidP="005D646B">
            <w:pPr>
              <w:pStyle w:val="TableText"/>
            </w:pPr>
            <w:r w:rsidRPr="00053FD1">
              <w:t>3</w:t>
            </w:r>
          </w:p>
        </w:tc>
        <w:tc>
          <w:tcPr>
            <w:tcW w:w="934" w:type="pct"/>
          </w:tcPr>
          <w:p w14:paraId="0E9DFEB8" w14:textId="77777777" w:rsidR="00860F8E" w:rsidRPr="00053FD1" w:rsidRDefault="00860F8E" w:rsidP="005D646B">
            <w:pPr>
              <w:pStyle w:val="TableText"/>
            </w:pPr>
            <w:r w:rsidRPr="00053FD1">
              <w:t>13</w:t>
            </w:r>
          </w:p>
        </w:tc>
        <w:tc>
          <w:tcPr>
            <w:tcW w:w="933" w:type="pct"/>
          </w:tcPr>
          <w:p w14:paraId="5E419981" w14:textId="77777777" w:rsidR="00860F8E" w:rsidRPr="00053FD1" w:rsidRDefault="00860F8E" w:rsidP="005D646B">
            <w:pPr>
              <w:pStyle w:val="TableText"/>
            </w:pPr>
            <w:r w:rsidRPr="00053FD1">
              <w:t>5</w:t>
            </w:r>
          </w:p>
        </w:tc>
      </w:tr>
      <w:tr w:rsidR="00860F8E" w:rsidRPr="00053FD1" w14:paraId="7F1A776F" w14:textId="77777777" w:rsidTr="00A858B3">
        <w:tc>
          <w:tcPr>
            <w:tcW w:w="2199" w:type="pct"/>
            <w:tcMar>
              <w:top w:w="0" w:type="dxa"/>
              <w:left w:w="108" w:type="dxa"/>
              <w:bottom w:w="0" w:type="dxa"/>
              <w:right w:w="108" w:type="dxa"/>
            </w:tcMar>
            <w:hideMark/>
          </w:tcPr>
          <w:p w14:paraId="577B1003" w14:textId="77777777" w:rsidR="00860F8E" w:rsidRPr="005D646B" w:rsidRDefault="00860F8E" w:rsidP="005D646B">
            <w:pPr>
              <w:pStyle w:val="TableText"/>
              <w:rPr>
                <w:b/>
              </w:rPr>
            </w:pPr>
            <w:r w:rsidRPr="005D646B">
              <w:rPr>
                <w:b/>
              </w:rPr>
              <w:t>Total</w:t>
            </w:r>
          </w:p>
        </w:tc>
        <w:tc>
          <w:tcPr>
            <w:tcW w:w="934" w:type="pct"/>
          </w:tcPr>
          <w:p w14:paraId="27222CE4" w14:textId="77777777" w:rsidR="00860F8E" w:rsidRPr="005D646B" w:rsidRDefault="00860F8E" w:rsidP="005D646B">
            <w:pPr>
              <w:pStyle w:val="TableText"/>
              <w:rPr>
                <w:b/>
              </w:rPr>
            </w:pPr>
            <w:r w:rsidRPr="005D646B">
              <w:rPr>
                <w:b/>
              </w:rPr>
              <w:t>8</w:t>
            </w:r>
          </w:p>
        </w:tc>
        <w:tc>
          <w:tcPr>
            <w:tcW w:w="934" w:type="pct"/>
          </w:tcPr>
          <w:p w14:paraId="6520EC96" w14:textId="77777777" w:rsidR="00860F8E" w:rsidRPr="005D646B" w:rsidRDefault="00860F8E" w:rsidP="005D646B">
            <w:pPr>
              <w:pStyle w:val="TableText"/>
              <w:rPr>
                <w:b/>
              </w:rPr>
            </w:pPr>
            <w:r w:rsidRPr="005D646B">
              <w:rPr>
                <w:b/>
              </w:rPr>
              <w:t>24</w:t>
            </w:r>
          </w:p>
        </w:tc>
        <w:tc>
          <w:tcPr>
            <w:tcW w:w="933" w:type="pct"/>
          </w:tcPr>
          <w:p w14:paraId="3B211474" w14:textId="77777777" w:rsidR="00860F8E" w:rsidRPr="005D646B" w:rsidRDefault="00860F8E" w:rsidP="005D646B">
            <w:pPr>
              <w:pStyle w:val="TableText"/>
              <w:rPr>
                <w:b/>
                <w:bCs/>
              </w:rPr>
            </w:pPr>
            <w:r w:rsidRPr="005D646B">
              <w:rPr>
                <w:b/>
                <w:bCs/>
              </w:rPr>
              <w:t>8</w:t>
            </w:r>
          </w:p>
        </w:tc>
      </w:tr>
    </w:tbl>
    <w:p w14:paraId="3564E099" w14:textId="77777777" w:rsidR="00860F8E" w:rsidRPr="00053FD1" w:rsidRDefault="00860F8E" w:rsidP="00860F8E">
      <w:pPr>
        <w:pStyle w:val="TableNotesHangLast"/>
      </w:pPr>
      <w:r w:rsidRPr="00053FD1">
        <w:t>a</w:t>
      </w:r>
      <w:r w:rsidRPr="00053FD1">
        <w:tab/>
        <w:t>The figures for initial issue do not include interim certificates and transitions.</w:t>
      </w:r>
    </w:p>
    <w:p w14:paraId="7A093069" w14:textId="77777777" w:rsidR="00860F8E" w:rsidRPr="00053FD1" w:rsidRDefault="00860F8E" w:rsidP="00860F8E">
      <w:pPr>
        <w:pStyle w:val="TableName"/>
      </w:pPr>
      <w:r w:rsidRPr="00053FD1">
        <w:rPr>
          <w:szCs w:val="24"/>
          <w:lang w:eastAsia="en-AU"/>
        </w:rPr>
        <w:t>Table A.21</w:t>
      </w:r>
      <w:r w:rsidRPr="00053FD1">
        <w:rPr>
          <w:szCs w:val="24"/>
          <w:lang w:eastAsia="en-AU"/>
        </w:rPr>
        <w:tab/>
      </w:r>
      <w:r w:rsidRPr="00053FD1">
        <w:t>Civil Aviation Safety Regulations Part 1</w:t>
      </w:r>
      <w:r w:rsidRPr="00053FD1">
        <w:rPr>
          <w:lang w:eastAsia="en-AU"/>
        </w:rPr>
        <w:t xml:space="preserve">47 maintenance training organisation </w:t>
      </w:r>
      <w:r w:rsidRPr="00053FD1">
        <w:t>certificates, 2013–14 to 2017–18</w:t>
      </w:r>
    </w:p>
    <w:tbl>
      <w:tblPr>
        <w:tblW w:w="4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2858"/>
        <w:gridCol w:w="964"/>
        <w:gridCol w:w="963"/>
        <w:gridCol w:w="963"/>
        <w:gridCol w:w="963"/>
        <w:gridCol w:w="960"/>
      </w:tblGrid>
      <w:tr w:rsidR="00860F8E" w:rsidRPr="00053FD1" w14:paraId="6046BBBD" w14:textId="77777777" w:rsidTr="00A858B3">
        <w:trPr>
          <w:tblHeader/>
        </w:trPr>
        <w:tc>
          <w:tcPr>
            <w:tcW w:w="1862" w:type="pct"/>
          </w:tcPr>
          <w:p w14:paraId="4D931C63" w14:textId="77777777" w:rsidR="00860F8E" w:rsidRPr="005D646B" w:rsidRDefault="00860F8E" w:rsidP="005D646B">
            <w:pPr>
              <w:pStyle w:val="TableText"/>
              <w:rPr>
                <w:b/>
              </w:rPr>
            </w:pPr>
          </w:p>
        </w:tc>
        <w:tc>
          <w:tcPr>
            <w:tcW w:w="628" w:type="pct"/>
          </w:tcPr>
          <w:p w14:paraId="1FB4DFB4" w14:textId="77777777" w:rsidR="00860F8E" w:rsidRPr="005D646B" w:rsidRDefault="00860F8E" w:rsidP="005D646B">
            <w:pPr>
              <w:pStyle w:val="TableText"/>
              <w:rPr>
                <w:b/>
              </w:rPr>
            </w:pPr>
            <w:r w:rsidRPr="005D646B">
              <w:rPr>
                <w:b/>
              </w:rPr>
              <w:t>2013–14</w:t>
            </w:r>
          </w:p>
        </w:tc>
        <w:tc>
          <w:tcPr>
            <w:tcW w:w="628" w:type="pct"/>
          </w:tcPr>
          <w:p w14:paraId="78F6B8C8" w14:textId="77777777" w:rsidR="00860F8E" w:rsidRPr="005D646B" w:rsidRDefault="00860F8E" w:rsidP="005D646B">
            <w:pPr>
              <w:pStyle w:val="TableText"/>
              <w:rPr>
                <w:b/>
              </w:rPr>
            </w:pPr>
            <w:r w:rsidRPr="005D646B">
              <w:rPr>
                <w:b/>
              </w:rPr>
              <w:t>2014–15</w:t>
            </w:r>
          </w:p>
        </w:tc>
        <w:tc>
          <w:tcPr>
            <w:tcW w:w="628" w:type="pct"/>
          </w:tcPr>
          <w:p w14:paraId="2C1BB9EF" w14:textId="77777777" w:rsidR="00860F8E" w:rsidRPr="005D646B" w:rsidRDefault="00860F8E" w:rsidP="005D646B">
            <w:pPr>
              <w:pStyle w:val="TableText"/>
              <w:rPr>
                <w:b/>
              </w:rPr>
            </w:pPr>
            <w:r w:rsidRPr="005D646B">
              <w:rPr>
                <w:b/>
              </w:rPr>
              <w:t>2015–16</w:t>
            </w:r>
          </w:p>
        </w:tc>
        <w:tc>
          <w:tcPr>
            <w:tcW w:w="628" w:type="pct"/>
          </w:tcPr>
          <w:p w14:paraId="3EB8C13E" w14:textId="77777777" w:rsidR="00860F8E" w:rsidRPr="005D646B" w:rsidRDefault="00860F8E" w:rsidP="005D646B">
            <w:pPr>
              <w:pStyle w:val="TableText"/>
              <w:rPr>
                <w:b/>
              </w:rPr>
            </w:pPr>
            <w:r w:rsidRPr="005D646B">
              <w:rPr>
                <w:b/>
              </w:rPr>
              <w:t>2016–17</w:t>
            </w:r>
          </w:p>
        </w:tc>
        <w:tc>
          <w:tcPr>
            <w:tcW w:w="628" w:type="pct"/>
          </w:tcPr>
          <w:p w14:paraId="50DA42EF" w14:textId="77777777" w:rsidR="00860F8E" w:rsidRPr="005D646B" w:rsidRDefault="00860F8E" w:rsidP="005D646B">
            <w:pPr>
              <w:pStyle w:val="TableText"/>
              <w:rPr>
                <w:b/>
              </w:rPr>
            </w:pPr>
            <w:r w:rsidRPr="005D646B">
              <w:rPr>
                <w:b/>
              </w:rPr>
              <w:t>2017–18</w:t>
            </w:r>
          </w:p>
        </w:tc>
      </w:tr>
      <w:tr w:rsidR="00860F8E" w:rsidRPr="00053FD1" w14:paraId="6A6DF168" w14:textId="77777777" w:rsidTr="00A858B3">
        <w:tc>
          <w:tcPr>
            <w:tcW w:w="1862" w:type="pct"/>
          </w:tcPr>
          <w:p w14:paraId="149D379A" w14:textId="77777777" w:rsidR="00860F8E" w:rsidRPr="00053FD1" w:rsidRDefault="00860F8E" w:rsidP="005D646B">
            <w:pPr>
              <w:pStyle w:val="TableText"/>
            </w:pPr>
            <w:r w:rsidRPr="00053FD1">
              <w:t>Initial issue</w:t>
            </w:r>
            <w:r w:rsidRPr="00053FD1">
              <w:rPr>
                <w:vertAlign w:val="superscript"/>
              </w:rPr>
              <w:t>a</w:t>
            </w:r>
            <w:r w:rsidRPr="00053FD1">
              <w:t xml:space="preserve"> </w:t>
            </w:r>
          </w:p>
        </w:tc>
        <w:tc>
          <w:tcPr>
            <w:tcW w:w="628" w:type="pct"/>
          </w:tcPr>
          <w:p w14:paraId="6E6ABEAC" w14:textId="77777777" w:rsidR="00860F8E" w:rsidRPr="00053FD1" w:rsidRDefault="00860F8E" w:rsidP="005D646B">
            <w:pPr>
              <w:pStyle w:val="TableText"/>
            </w:pPr>
            <w:r w:rsidRPr="00053FD1">
              <w:t>4</w:t>
            </w:r>
          </w:p>
        </w:tc>
        <w:tc>
          <w:tcPr>
            <w:tcW w:w="628" w:type="pct"/>
          </w:tcPr>
          <w:p w14:paraId="1021C160" w14:textId="77777777" w:rsidR="00860F8E" w:rsidRPr="00053FD1" w:rsidRDefault="00860F8E" w:rsidP="005D646B">
            <w:pPr>
              <w:pStyle w:val="TableText"/>
            </w:pPr>
            <w:r w:rsidRPr="00053FD1">
              <w:t>2</w:t>
            </w:r>
          </w:p>
        </w:tc>
        <w:tc>
          <w:tcPr>
            <w:tcW w:w="628" w:type="pct"/>
            <w:vAlign w:val="bottom"/>
          </w:tcPr>
          <w:p w14:paraId="7A044122" w14:textId="77777777" w:rsidR="00860F8E" w:rsidRPr="00053FD1" w:rsidRDefault="00860F8E" w:rsidP="005D646B">
            <w:pPr>
              <w:pStyle w:val="TableText"/>
            </w:pPr>
            <w:r w:rsidRPr="00053FD1">
              <w:t>1</w:t>
            </w:r>
          </w:p>
        </w:tc>
        <w:tc>
          <w:tcPr>
            <w:tcW w:w="628" w:type="pct"/>
          </w:tcPr>
          <w:p w14:paraId="1043BD93" w14:textId="77777777" w:rsidR="00860F8E" w:rsidRPr="00053FD1" w:rsidRDefault="00860F8E" w:rsidP="005D646B">
            <w:pPr>
              <w:pStyle w:val="TableText"/>
            </w:pPr>
            <w:r w:rsidRPr="00053FD1">
              <w:t>2</w:t>
            </w:r>
          </w:p>
        </w:tc>
        <w:tc>
          <w:tcPr>
            <w:tcW w:w="628" w:type="pct"/>
          </w:tcPr>
          <w:p w14:paraId="11CC6C93" w14:textId="77777777" w:rsidR="00860F8E" w:rsidRPr="00053FD1" w:rsidRDefault="00860F8E" w:rsidP="005D646B">
            <w:pPr>
              <w:pStyle w:val="TableText"/>
            </w:pPr>
            <w:r w:rsidRPr="00053FD1">
              <w:t>1</w:t>
            </w:r>
          </w:p>
        </w:tc>
      </w:tr>
      <w:tr w:rsidR="00860F8E" w:rsidRPr="00053FD1" w14:paraId="162C8D7B" w14:textId="77777777" w:rsidTr="00A858B3">
        <w:tc>
          <w:tcPr>
            <w:tcW w:w="1862" w:type="pct"/>
          </w:tcPr>
          <w:p w14:paraId="16D310DB" w14:textId="77777777" w:rsidR="00860F8E" w:rsidRPr="00053FD1" w:rsidRDefault="00860F8E" w:rsidP="005D646B">
            <w:pPr>
              <w:pStyle w:val="TableText"/>
            </w:pPr>
            <w:r w:rsidRPr="00053FD1">
              <w:t>Variation</w:t>
            </w:r>
          </w:p>
        </w:tc>
        <w:tc>
          <w:tcPr>
            <w:tcW w:w="628" w:type="pct"/>
          </w:tcPr>
          <w:p w14:paraId="3A3A4E84" w14:textId="77777777" w:rsidR="00860F8E" w:rsidRPr="00053FD1" w:rsidRDefault="00860F8E" w:rsidP="005D646B">
            <w:pPr>
              <w:pStyle w:val="TableText"/>
            </w:pPr>
            <w:r w:rsidRPr="00053FD1">
              <w:t>26</w:t>
            </w:r>
          </w:p>
        </w:tc>
        <w:tc>
          <w:tcPr>
            <w:tcW w:w="628" w:type="pct"/>
          </w:tcPr>
          <w:p w14:paraId="69E2F731" w14:textId="77777777" w:rsidR="00860F8E" w:rsidRPr="00053FD1" w:rsidRDefault="00860F8E" w:rsidP="005D646B">
            <w:pPr>
              <w:pStyle w:val="TableText"/>
            </w:pPr>
            <w:r w:rsidRPr="00053FD1">
              <w:t>34</w:t>
            </w:r>
          </w:p>
        </w:tc>
        <w:tc>
          <w:tcPr>
            <w:tcW w:w="628" w:type="pct"/>
            <w:vAlign w:val="bottom"/>
          </w:tcPr>
          <w:p w14:paraId="4331F974" w14:textId="77777777" w:rsidR="00860F8E" w:rsidRPr="00053FD1" w:rsidRDefault="00860F8E" w:rsidP="005D646B">
            <w:pPr>
              <w:pStyle w:val="TableText"/>
            </w:pPr>
            <w:r w:rsidRPr="00053FD1">
              <w:t>40</w:t>
            </w:r>
          </w:p>
        </w:tc>
        <w:tc>
          <w:tcPr>
            <w:tcW w:w="628" w:type="pct"/>
          </w:tcPr>
          <w:p w14:paraId="6F3BAB22" w14:textId="77777777" w:rsidR="00860F8E" w:rsidRPr="00053FD1" w:rsidRDefault="00860F8E" w:rsidP="005D646B">
            <w:pPr>
              <w:pStyle w:val="TableText"/>
            </w:pPr>
            <w:r w:rsidRPr="00053FD1">
              <w:t>42</w:t>
            </w:r>
          </w:p>
        </w:tc>
        <w:tc>
          <w:tcPr>
            <w:tcW w:w="628" w:type="pct"/>
          </w:tcPr>
          <w:p w14:paraId="5F2128F1" w14:textId="77777777" w:rsidR="00860F8E" w:rsidRPr="00053FD1" w:rsidRDefault="00860F8E" w:rsidP="005D646B">
            <w:pPr>
              <w:pStyle w:val="TableText"/>
            </w:pPr>
            <w:r w:rsidRPr="00053FD1">
              <w:t>40</w:t>
            </w:r>
          </w:p>
        </w:tc>
      </w:tr>
      <w:tr w:rsidR="00860F8E" w:rsidRPr="00053FD1" w14:paraId="3C6F39E5" w14:textId="77777777" w:rsidTr="00A858B3">
        <w:tc>
          <w:tcPr>
            <w:tcW w:w="1862" w:type="pct"/>
          </w:tcPr>
          <w:p w14:paraId="463C58B0" w14:textId="77777777" w:rsidR="00860F8E" w:rsidRPr="005D646B" w:rsidRDefault="00860F8E" w:rsidP="005D646B">
            <w:pPr>
              <w:pStyle w:val="TableText"/>
              <w:rPr>
                <w:b/>
              </w:rPr>
            </w:pPr>
            <w:r w:rsidRPr="005D646B">
              <w:rPr>
                <w:b/>
              </w:rPr>
              <w:t>Total</w:t>
            </w:r>
          </w:p>
        </w:tc>
        <w:tc>
          <w:tcPr>
            <w:tcW w:w="628" w:type="pct"/>
          </w:tcPr>
          <w:p w14:paraId="142329D6" w14:textId="77777777" w:rsidR="00860F8E" w:rsidRPr="005D646B" w:rsidRDefault="00860F8E" w:rsidP="005D646B">
            <w:pPr>
              <w:pStyle w:val="TableText"/>
              <w:rPr>
                <w:b/>
              </w:rPr>
            </w:pPr>
            <w:r w:rsidRPr="005D646B">
              <w:rPr>
                <w:b/>
              </w:rPr>
              <w:t>30</w:t>
            </w:r>
          </w:p>
        </w:tc>
        <w:tc>
          <w:tcPr>
            <w:tcW w:w="628" w:type="pct"/>
          </w:tcPr>
          <w:p w14:paraId="2408BEAD" w14:textId="77777777" w:rsidR="00860F8E" w:rsidRPr="005D646B" w:rsidRDefault="00860F8E" w:rsidP="005D646B">
            <w:pPr>
              <w:pStyle w:val="TableText"/>
              <w:rPr>
                <w:b/>
              </w:rPr>
            </w:pPr>
            <w:r w:rsidRPr="005D646B">
              <w:rPr>
                <w:b/>
              </w:rPr>
              <w:t>36</w:t>
            </w:r>
          </w:p>
        </w:tc>
        <w:tc>
          <w:tcPr>
            <w:tcW w:w="628" w:type="pct"/>
            <w:vAlign w:val="bottom"/>
          </w:tcPr>
          <w:p w14:paraId="7E87B4B5" w14:textId="77777777" w:rsidR="00860F8E" w:rsidRPr="005D646B" w:rsidRDefault="00860F8E" w:rsidP="005D646B">
            <w:pPr>
              <w:pStyle w:val="TableText"/>
              <w:rPr>
                <w:b/>
              </w:rPr>
            </w:pPr>
            <w:r w:rsidRPr="005D646B">
              <w:rPr>
                <w:b/>
              </w:rPr>
              <w:t>41</w:t>
            </w:r>
          </w:p>
        </w:tc>
        <w:tc>
          <w:tcPr>
            <w:tcW w:w="628" w:type="pct"/>
          </w:tcPr>
          <w:p w14:paraId="372C76FF" w14:textId="77777777" w:rsidR="00860F8E" w:rsidRPr="005D646B" w:rsidRDefault="00860F8E" w:rsidP="005D646B">
            <w:pPr>
              <w:pStyle w:val="TableText"/>
              <w:rPr>
                <w:b/>
              </w:rPr>
            </w:pPr>
            <w:r w:rsidRPr="005D646B">
              <w:rPr>
                <w:b/>
              </w:rPr>
              <w:t>44</w:t>
            </w:r>
          </w:p>
        </w:tc>
        <w:tc>
          <w:tcPr>
            <w:tcW w:w="628" w:type="pct"/>
          </w:tcPr>
          <w:p w14:paraId="3FDDD633" w14:textId="77777777" w:rsidR="00860F8E" w:rsidRPr="005D646B" w:rsidRDefault="00860F8E" w:rsidP="005D646B">
            <w:pPr>
              <w:pStyle w:val="TableText"/>
              <w:rPr>
                <w:b/>
              </w:rPr>
            </w:pPr>
            <w:r w:rsidRPr="005D646B">
              <w:rPr>
                <w:b/>
              </w:rPr>
              <w:t>41</w:t>
            </w:r>
          </w:p>
        </w:tc>
      </w:tr>
      <w:tr w:rsidR="00860F8E" w:rsidRPr="00053FD1" w14:paraId="32ABD8A8" w14:textId="77777777" w:rsidTr="00A858B3">
        <w:trPr>
          <w:trHeight w:val="161"/>
        </w:trPr>
        <w:tc>
          <w:tcPr>
            <w:tcW w:w="1862" w:type="pct"/>
          </w:tcPr>
          <w:p w14:paraId="120CD817" w14:textId="77777777" w:rsidR="00860F8E" w:rsidRPr="00053FD1" w:rsidRDefault="00860F8E" w:rsidP="005D646B">
            <w:pPr>
              <w:pStyle w:val="TableText"/>
            </w:pPr>
            <w:r w:rsidRPr="00053FD1">
              <w:t>Suspended certificates</w:t>
            </w:r>
          </w:p>
        </w:tc>
        <w:tc>
          <w:tcPr>
            <w:tcW w:w="628" w:type="pct"/>
          </w:tcPr>
          <w:p w14:paraId="11CAB24A" w14:textId="77777777" w:rsidR="00860F8E" w:rsidRPr="00053FD1" w:rsidRDefault="00860F8E" w:rsidP="005D646B">
            <w:pPr>
              <w:pStyle w:val="TableText"/>
            </w:pPr>
            <w:r w:rsidRPr="00053FD1">
              <w:t>–</w:t>
            </w:r>
          </w:p>
        </w:tc>
        <w:tc>
          <w:tcPr>
            <w:tcW w:w="628" w:type="pct"/>
          </w:tcPr>
          <w:p w14:paraId="282682BF" w14:textId="77777777" w:rsidR="00860F8E" w:rsidRPr="00053FD1" w:rsidRDefault="00860F8E" w:rsidP="005D646B">
            <w:pPr>
              <w:pStyle w:val="TableText"/>
            </w:pPr>
            <w:r w:rsidRPr="00053FD1">
              <w:t>–</w:t>
            </w:r>
          </w:p>
        </w:tc>
        <w:tc>
          <w:tcPr>
            <w:tcW w:w="628" w:type="pct"/>
            <w:vAlign w:val="bottom"/>
          </w:tcPr>
          <w:p w14:paraId="6872A643" w14:textId="77777777" w:rsidR="00860F8E" w:rsidRPr="00053FD1" w:rsidRDefault="00860F8E" w:rsidP="005D646B">
            <w:pPr>
              <w:pStyle w:val="TableText"/>
            </w:pPr>
            <w:r w:rsidRPr="00053FD1">
              <w:t>2</w:t>
            </w:r>
          </w:p>
        </w:tc>
        <w:tc>
          <w:tcPr>
            <w:tcW w:w="628" w:type="pct"/>
          </w:tcPr>
          <w:p w14:paraId="1161401E" w14:textId="77777777" w:rsidR="00860F8E" w:rsidRPr="00053FD1" w:rsidRDefault="00860F8E" w:rsidP="005D646B">
            <w:pPr>
              <w:pStyle w:val="TableText"/>
            </w:pPr>
            <w:r w:rsidRPr="00053FD1">
              <w:t>2</w:t>
            </w:r>
          </w:p>
        </w:tc>
        <w:tc>
          <w:tcPr>
            <w:tcW w:w="628" w:type="pct"/>
          </w:tcPr>
          <w:p w14:paraId="5AE58854" w14:textId="77777777" w:rsidR="00860F8E" w:rsidRPr="00053FD1" w:rsidRDefault="00860F8E" w:rsidP="005D646B">
            <w:pPr>
              <w:pStyle w:val="TableText"/>
            </w:pPr>
            <w:r w:rsidRPr="00053FD1">
              <w:t>_</w:t>
            </w:r>
          </w:p>
        </w:tc>
      </w:tr>
      <w:tr w:rsidR="00860F8E" w:rsidRPr="00C473FA" w14:paraId="7691754D" w14:textId="77777777" w:rsidTr="00A858B3">
        <w:tc>
          <w:tcPr>
            <w:tcW w:w="1862" w:type="pct"/>
          </w:tcPr>
          <w:p w14:paraId="05A36C38" w14:textId="77777777" w:rsidR="00860F8E" w:rsidRPr="00053FD1" w:rsidRDefault="00860F8E" w:rsidP="005D646B">
            <w:pPr>
              <w:pStyle w:val="TableText"/>
            </w:pPr>
            <w:r w:rsidRPr="00053FD1">
              <w:t>Surrendered certificates</w:t>
            </w:r>
          </w:p>
        </w:tc>
        <w:tc>
          <w:tcPr>
            <w:tcW w:w="628" w:type="pct"/>
          </w:tcPr>
          <w:p w14:paraId="697B42E2" w14:textId="77777777" w:rsidR="00860F8E" w:rsidRPr="00053FD1" w:rsidRDefault="00860F8E" w:rsidP="005D646B">
            <w:pPr>
              <w:pStyle w:val="TableText"/>
            </w:pPr>
            <w:r w:rsidRPr="00053FD1">
              <w:t>–</w:t>
            </w:r>
          </w:p>
        </w:tc>
        <w:tc>
          <w:tcPr>
            <w:tcW w:w="628" w:type="pct"/>
          </w:tcPr>
          <w:p w14:paraId="38C1CE30" w14:textId="77777777" w:rsidR="00860F8E" w:rsidRPr="00053FD1" w:rsidRDefault="00860F8E" w:rsidP="005D646B">
            <w:pPr>
              <w:pStyle w:val="TableText"/>
            </w:pPr>
            <w:r w:rsidRPr="00053FD1">
              <w:t>1</w:t>
            </w:r>
          </w:p>
        </w:tc>
        <w:tc>
          <w:tcPr>
            <w:tcW w:w="628" w:type="pct"/>
            <w:vAlign w:val="bottom"/>
          </w:tcPr>
          <w:p w14:paraId="7E0FEB77" w14:textId="77777777" w:rsidR="00860F8E" w:rsidRPr="00053FD1" w:rsidRDefault="00860F8E" w:rsidP="005D646B">
            <w:pPr>
              <w:pStyle w:val="TableText"/>
            </w:pPr>
            <w:r w:rsidRPr="00053FD1">
              <w:t>2</w:t>
            </w:r>
          </w:p>
        </w:tc>
        <w:tc>
          <w:tcPr>
            <w:tcW w:w="628" w:type="pct"/>
          </w:tcPr>
          <w:p w14:paraId="43C920E0" w14:textId="77777777" w:rsidR="00860F8E" w:rsidRPr="00053FD1" w:rsidRDefault="00860F8E" w:rsidP="005D646B">
            <w:pPr>
              <w:pStyle w:val="TableText"/>
            </w:pPr>
            <w:r w:rsidRPr="00053FD1">
              <w:t>2</w:t>
            </w:r>
          </w:p>
        </w:tc>
        <w:tc>
          <w:tcPr>
            <w:tcW w:w="628" w:type="pct"/>
          </w:tcPr>
          <w:p w14:paraId="15FF19E7" w14:textId="77777777" w:rsidR="00860F8E" w:rsidRPr="00053FD1" w:rsidRDefault="00860F8E" w:rsidP="005D646B">
            <w:pPr>
              <w:pStyle w:val="TableText"/>
            </w:pPr>
            <w:r w:rsidRPr="00053FD1">
              <w:t>1</w:t>
            </w:r>
          </w:p>
        </w:tc>
      </w:tr>
    </w:tbl>
    <w:p w14:paraId="454E08A1" w14:textId="77777777" w:rsidR="00860F8E" w:rsidRPr="00C473FA" w:rsidRDefault="00860F8E" w:rsidP="00860F8E">
      <w:pPr>
        <w:pStyle w:val="TableNotesHangLast"/>
      </w:pPr>
      <w:r>
        <w:t>a</w:t>
      </w:r>
      <w:r>
        <w:tab/>
      </w:r>
      <w:r w:rsidRPr="00C473FA">
        <w:t>The figures for initial issue do not include interim certificates and transitions.</w:t>
      </w:r>
    </w:p>
    <w:bookmarkEnd w:id="162"/>
    <w:p w14:paraId="5DADD37D" w14:textId="77777777" w:rsidR="00860F8E" w:rsidRPr="00C473FA" w:rsidRDefault="00860F8E" w:rsidP="00860F8E">
      <w:pPr>
        <w:spacing w:after="0"/>
        <w:rPr>
          <w:rFonts w:ascii="Times New Roman" w:eastAsia="Times New Roman" w:hAnsi="Times New Roman"/>
          <w:szCs w:val="24"/>
          <w:lang w:eastAsia="en-AU"/>
        </w:rPr>
      </w:pPr>
    </w:p>
    <w:p w14:paraId="70975BCB" w14:textId="77777777" w:rsidR="00860F8E" w:rsidRPr="00C473FA" w:rsidRDefault="00860F8E" w:rsidP="00860F8E">
      <w:pPr>
        <w:sectPr w:rsidR="00860F8E" w:rsidRPr="00C473FA" w:rsidSect="002E1C33">
          <w:pgSz w:w="11906" w:h="16838"/>
          <w:pgMar w:top="851" w:right="1440" w:bottom="1440" w:left="1440" w:header="708" w:footer="708" w:gutter="0"/>
          <w:cols w:space="708"/>
          <w:docGrid w:linePitch="360"/>
        </w:sectPr>
      </w:pPr>
    </w:p>
    <w:p w14:paraId="79A95E79" w14:textId="77777777" w:rsidR="00860F8E" w:rsidRDefault="00860F8E" w:rsidP="00860F8E">
      <w:pPr>
        <w:pStyle w:val="Heading1"/>
        <w:rPr>
          <w:lang w:val="en-AU"/>
        </w:rPr>
      </w:pPr>
      <w:bookmarkStart w:id="172" w:name="_Toc522537178"/>
      <w:bookmarkStart w:id="173" w:name="_Toc523924902"/>
      <w:r w:rsidRPr="00C473FA">
        <w:lastRenderedPageBreak/>
        <w:t>Appendix B</w:t>
      </w:r>
      <w:r>
        <w:rPr>
          <w:lang w:val="en-AU"/>
        </w:rPr>
        <w:t>: Management and accountability data</w:t>
      </w:r>
      <w:bookmarkEnd w:id="172"/>
      <w:bookmarkEnd w:id="173"/>
    </w:p>
    <w:p w14:paraId="719A3F2A" w14:textId="77777777" w:rsidR="00860F8E" w:rsidRPr="00053FD1" w:rsidRDefault="00860F8E" w:rsidP="00860F8E">
      <w:pPr>
        <w:pStyle w:val="Heading2"/>
        <w:rPr>
          <w:u w:color="0099CC"/>
          <w:lang w:eastAsia="en-AU"/>
        </w:rPr>
      </w:pPr>
      <w:r w:rsidRPr="00053FD1">
        <w:rPr>
          <w:u w:color="0099CC"/>
          <w:lang w:eastAsia="en-AU"/>
        </w:rPr>
        <w:t>Staffing</w:t>
      </w:r>
    </w:p>
    <w:p w14:paraId="45762E29" w14:textId="77777777" w:rsidR="00860F8E" w:rsidRPr="00053FD1" w:rsidRDefault="00860F8E" w:rsidP="00860F8E">
      <w:pPr>
        <w:pStyle w:val="TableName"/>
        <w:rPr>
          <w:lang w:eastAsia="en-AU"/>
        </w:rPr>
      </w:pPr>
      <w:r w:rsidRPr="00053FD1">
        <w:rPr>
          <w:lang w:eastAsia="en-AU"/>
        </w:rPr>
        <w:t>Table B.1</w:t>
      </w:r>
      <w:r w:rsidRPr="00053FD1">
        <w:rPr>
          <w:lang w:eastAsia="en-AU"/>
        </w:rPr>
        <w:tab/>
        <w:t>Employees by classification and location at 30 June 2018</w:t>
      </w:r>
    </w:p>
    <w:tbl>
      <w:tblPr>
        <w:tblW w:w="45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40"/>
        <w:gridCol w:w="1128"/>
        <w:gridCol w:w="1254"/>
        <w:gridCol w:w="1327"/>
        <w:gridCol w:w="871"/>
        <w:gridCol w:w="1264"/>
        <w:gridCol w:w="845"/>
        <w:gridCol w:w="915"/>
        <w:gridCol w:w="1154"/>
        <w:gridCol w:w="685"/>
      </w:tblGrid>
      <w:tr w:rsidR="00860F8E" w:rsidRPr="00053FD1" w14:paraId="4ECE8FE7" w14:textId="77777777" w:rsidTr="00A858B3">
        <w:trPr>
          <w:trHeight w:val="307"/>
          <w:tblHeader/>
        </w:trPr>
        <w:tc>
          <w:tcPr>
            <w:tcW w:w="2547" w:type="dxa"/>
            <w:shd w:val="clear" w:color="auto" w:fill="auto"/>
            <w:noWrap/>
            <w:vAlign w:val="bottom"/>
            <w:hideMark/>
          </w:tcPr>
          <w:p w14:paraId="61D5B721" w14:textId="77777777" w:rsidR="00860F8E" w:rsidRPr="005D646B" w:rsidRDefault="00860F8E" w:rsidP="005D646B">
            <w:pPr>
              <w:pStyle w:val="TableText"/>
              <w:rPr>
                <w:b/>
                <w:lang w:eastAsia="en-AU"/>
              </w:rPr>
            </w:pPr>
            <w:r w:rsidRPr="005D646B">
              <w:rPr>
                <w:b/>
                <w:lang w:eastAsia="en-AU"/>
              </w:rPr>
              <w:t>Classification</w:t>
            </w:r>
          </w:p>
        </w:tc>
        <w:tc>
          <w:tcPr>
            <w:tcW w:w="1140" w:type="dxa"/>
            <w:shd w:val="clear" w:color="auto" w:fill="auto"/>
            <w:noWrap/>
            <w:vAlign w:val="center"/>
            <w:hideMark/>
          </w:tcPr>
          <w:p w14:paraId="5EDF5DD4" w14:textId="77777777" w:rsidR="00860F8E" w:rsidRPr="005D646B" w:rsidRDefault="00860F8E" w:rsidP="005D646B">
            <w:pPr>
              <w:pStyle w:val="TableText"/>
              <w:rPr>
                <w:rFonts w:eastAsia="Times New Roman"/>
                <w:b/>
                <w:lang w:eastAsia="en-AU"/>
              </w:rPr>
            </w:pPr>
            <w:r w:rsidRPr="005D646B">
              <w:rPr>
                <w:rFonts w:eastAsia="Times New Roman"/>
                <w:b/>
                <w:lang w:eastAsia="en-AU"/>
              </w:rPr>
              <w:t>Adelaide</w:t>
            </w:r>
          </w:p>
        </w:tc>
        <w:tc>
          <w:tcPr>
            <w:tcW w:w="1128" w:type="dxa"/>
            <w:shd w:val="clear" w:color="auto" w:fill="auto"/>
            <w:noWrap/>
            <w:vAlign w:val="center"/>
            <w:hideMark/>
          </w:tcPr>
          <w:p w14:paraId="3A1F7CFC" w14:textId="77777777" w:rsidR="00860F8E" w:rsidRPr="005D646B" w:rsidRDefault="00860F8E" w:rsidP="005D646B">
            <w:pPr>
              <w:pStyle w:val="TableText"/>
              <w:rPr>
                <w:rFonts w:eastAsia="Times New Roman"/>
                <w:b/>
                <w:lang w:eastAsia="en-AU"/>
              </w:rPr>
            </w:pPr>
            <w:r w:rsidRPr="005D646B">
              <w:rPr>
                <w:rFonts w:eastAsia="Times New Roman"/>
                <w:b/>
                <w:lang w:eastAsia="en-AU"/>
              </w:rPr>
              <w:t>Brisbane</w:t>
            </w:r>
          </w:p>
        </w:tc>
        <w:tc>
          <w:tcPr>
            <w:tcW w:w="1254" w:type="dxa"/>
          </w:tcPr>
          <w:p w14:paraId="650AA9C2" w14:textId="77777777" w:rsidR="00860F8E" w:rsidRPr="005D646B" w:rsidRDefault="00860F8E" w:rsidP="005D646B">
            <w:pPr>
              <w:pStyle w:val="TableText"/>
              <w:rPr>
                <w:rFonts w:eastAsia="Times New Roman"/>
                <w:b/>
                <w:lang w:eastAsia="en-AU"/>
              </w:rPr>
            </w:pPr>
            <w:r w:rsidRPr="005D646B">
              <w:rPr>
                <w:rFonts w:eastAsia="Times New Roman"/>
                <w:b/>
                <w:lang w:eastAsia="en-AU"/>
              </w:rPr>
              <w:t>Cairns</w:t>
            </w:r>
          </w:p>
        </w:tc>
        <w:tc>
          <w:tcPr>
            <w:tcW w:w="1327" w:type="dxa"/>
            <w:shd w:val="clear" w:color="auto" w:fill="auto"/>
            <w:noWrap/>
            <w:vAlign w:val="center"/>
            <w:hideMark/>
          </w:tcPr>
          <w:p w14:paraId="651F6BFD" w14:textId="77777777" w:rsidR="00860F8E" w:rsidRPr="005D646B" w:rsidRDefault="00860F8E" w:rsidP="005D646B">
            <w:pPr>
              <w:pStyle w:val="TableText"/>
              <w:rPr>
                <w:rFonts w:eastAsia="Times New Roman"/>
                <w:b/>
                <w:lang w:eastAsia="en-AU"/>
              </w:rPr>
            </w:pPr>
            <w:r w:rsidRPr="005D646B">
              <w:rPr>
                <w:rFonts w:eastAsia="Times New Roman"/>
                <w:b/>
                <w:lang w:eastAsia="en-AU"/>
              </w:rPr>
              <w:t>Canberra</w:t>
            </w:r>
          </w:p>
        </w:tc>
        <w:tc>
          <w:tcPr>
            <w:tcW w:w="871" w:type="dxa"/>
            <w:shd w:val="clear" w:color="auto" w:fill="auto"/>
            <w:vAlign w:val="center"/>
            <w:hideMark/>
          </w:tcPr>
          <w:p w14:paraId="017EB410" w14:textId="77777777" w:rsidR="00860F8E" w:rsidRPr="005D646B" w:rsidRDefault="00860F8E" w:rsidP="005D646B">
            <w:pPr>
              <w:pStyle w:val="TableText"/>
              <w:rPr>
                <w:rFonts w:eastAsia="Times New Roman"/>
                <w:b/>
                <w:lang w:eastAsia="en-AU"/>
              </w:rPr>
            </w:pPr>
            <w:r w:rsidRPr="005D646B">
              <w:rPr>
                <w:rFonts w:eastAsia="Times New Roman"/>
                <w:b/>
                <w:lang w:eastAsia="en-AU"/>
              </w:rPr>
              <w:t>Darwin</w:t>
            </w:r>
          </w:p>
        </w:tc>
        <w:tc>
          <w:tcPr>
            <w:tcW w:w="1264" w:type="dxa"/>
            <w:shd w:val="clear" w:color="auto" w:fill="auto"/>
            <w:noWrap/>
            <w:vAlign w:val="center"/>
            <w:hideMark/>
          </w:tcPr>
          <w:p w14:paraId="74CE738B" w14:textId="77777777" w:rsidR="00860F8E" w:rsidRPr="005D646B" w:rsidRDefault="00860F8E" w:rsidP="005D646B">
            <w:pPr>
              <w:pStyle w:val="TableText"/>
              <w:rPr>
                <w:rFonts w:eastAsia="Times New Roman"/>
                <w:b/>
                <w:lang w:eastAsia="en-AU"/>
              </w:rPr>
            </w:pPr>
            <w:r w:rsidRPr="005D646B">
              <w:rPr>
                <w:rFonts w:eastAsia="Times New Roman"/>
                <w:b/>
                <w:lang w:eastAsia="en-AU"/>
              </w:rPr>
              <w:t>Melbourne</w:t>
            </w:r>
          </w:p>
        </w:tc>
        <w:tc>
          <w:tcPr>
            <w:tcW w:w="845" w:type="dxa"/>
            <w:shd w:val="clear" w:color="auto" w:fill="auto"/>
            <w:noWrap/>
            <w:vAlign w:val="center"/>
          </w:tcPr>
          <w:p w14:paraId="2F33A25F" w14:textId="77777777" w:rsidR="00860F8E" w:rsidRPr="005D646B" w:rsidRDefault="00860F8E" w:rsidP="005D646B">
            <w:pPr>
              <w:pStyle w:val="TableText"/>
              <w:rPr>
                <w:rFonts w:eastAsia="Times New Roman"/>
                <w:b/>
                <w:lang w:eastAsia="en-AU"/>
              </w:rPr>
            </w:pPr>
            <w:r w:rsidRPr="005D646B">
              <w:rPr>
                <w:rFonts w:eastAsia="Times New Roman"/>
                <w:b/>
                <w:lang w:eastAsia="en-AU"/>
              </w:rPr>
              <w:t>Perth</w:t>
            </w:r>
          </w:p>
        </w:tc>
        <w:tc>
          <w:tcPr>
            <w:tcW w:w="915" w:type="dxa"/>
            <w:shd w:val="clear" w:color="auto" w:fill="auto"/>
            <w:noWrap/>
            <w:vAlign w:val="center"/>
          </w:tcPr>
          <w:p w14:paraId="6AE8D3BA" w14:textId="77777777" w:rsidR="00860F8E" w:rsidRPr="005D646B" w:rsidRDefault="00860F8E" w:rsidP="005D646B">
            <w:pPr>
              <w:pStyle w:val="TableText"/>
              <w:rPr>
                <w:rFonts w:eastAsia="Times New Roman"/>
                <w:b/>
                <w:lang w:eastAsia="en-AU"/>
              </w:rPr>
            </w:pPr>
            <w:r w:rsidRPr="005D646B">
              <w:rPr>
                <w:rFonts w:eastAsia="Times New Roman"/>
                <w:b/>
                <w:lang w:eastAsia="en-AU"/>
              </w:rPr>
              <w:t>Sydney</w:t>
            </w:r>
          </w:p>
        </w:tc>
        <w:tc>
          <w:tcPr>
            <w:tcW w:w="1154" w:type="dxa"/>
            <w:shd w:val="clear" w:color="auto" w:fill="auto"/>
            <w:noWrap/>
            <w:vAlign w:val="center"/>
          </w:tcPr>
          <w:p w14:paraId="010F6FC6" w14:textId="77777777" w:rsidR="00860F8E" w:rsidRPr="005D646B" w:rsidRDefault="00860F8E" w:rsidP="005D646B">
            <w:pPr>
              <w:pStyle w:val="TableText"/>
              <w:rPr>
                <w:rFonts w:eastAsia="Times New Roman"/>
                <w:b/>
                <w:lang w:eastAsia="en-AU"/>
              </w:rPr>
            </w:pPr>
            <w:r w:rsidRPr="005D646B">
              <w:rPr>
                <w:rFonts w:eastAsia="Times New Roman"/>
                <w:b/>
                <w:lang w:eastAsia="en-AU"/>
              </w:rPr>
              <w:t>Tamworth</w:t>
            </w:r>
          </w:p>
        </w:tc>
        <w:tc>
          <w:tcPr>
            <w:tcW w:w="685" w:type="dxa"/>
            <w:vAlign w:val="center"/>
          </w:tcPr>
          <w:p w14:paraId="483FB34E" w14:textId="77777777" w:rsidR="00860F8E" w:rsidRPr="005D646B" w:rsidRDefault="00860F8E" w:rsidP="005D646B">
            <w:pPr>
              <w:pStyle w:val="TableText"/>
              <w:rPr>
                <w:b/>
                <w:lang w:eastAsia="en-AU"/>
              </w:rPr>
            </w:pPr>
            <w:r w:rsidRPr="005D646B">
              <w:rPr>
                <w:b/>
                <w:lang w:eastAsia="en-AU"/>
              </w:rPr>
              <w:t>Total</w:t>
            </w:r>
          </w:p>
        </w:tc>
      </w:tr>
      <w:tr w:rsidR="00860F8E" w:rsidRPr="00053FD1" w14:paraId="1F02B051" w14:textId="77777777" w:rsidTr="00A858B3">
        <w:trPr>
          <w:trHeight w:val="153"/>
        </w:trPr>
        <w:tc>
          <w:tcPr>
            <w:tcW w:w="2547" w:type="dxa"/>
            <w:shd w:val="clear" w:color="auto" w:fill="auto"/>
            <w:noWrap/>
            <w:vAlign w:val="center"/>
          </w:tcPr>
          <w:p w14:paraId="65736AAE" w14:textId="77777777" w:rsidR="00860F8E" w:rsidRPr="00053FD1" w:rsidRDefault="00860F8E" w:rsidP="005D646B">
            <w:pPr>
              <w:pStyle w:val="TableText"/>
            </w:pPr>
            <w:r w:rsidRPr="00053FD1">
              <w:t>Aviation Safety Regulator – Safety Systems Inspector</w:t>
            </w:r>
          </w:p>
        </w:tc>
        <w:tc>
          <w:tcPr>
            <w:tcW w:w="1140" w:type="dxa"/>
            <w:shd w:val="clear" w:color="auto" w:fill="auto"/>
            <w:noWrap/>
            <w:vAlign w:val="center"/>
          </w:tcPr>
          <w:p w14:paraId="17D08648" w14:textId="77777777" w:rsidR="00860F8E" w:rsidRPr="00053FD1" w:rsidRDefault="00860F8E" w:rsidP="005D646B">
            <w:pPr>
              <w:pStyle w:val="TableText"/>
            </w:pPr>
            <w:r w:rsidRPr="00053FD1">
              <w:t>1</w:t>
            </w:r>
          </w:p>
        </w:tc>
        <w:tc>
          <w:tcPr>
            <w:tcW w:w="1128" w:type="dxa"/>
            <w:shd w:val="clear" w:color="auto" w:fill="auto"/>
            <w:noWrap/>
            <w:vAlign w:val="center"/>
          </w:tcPr>
          <w:p w14:paraId="35BC2F4E" w14:textId="77777777" w:rsidR="00860F8E" w:rsidRPr="00053FD1" w:rsidRDefault="00860F8E" w:rsidP="005D646B">
            <w:pPr>
              <w:pStyle w:val="TableText"/>
            </w:pPr>
            <w:r w:rsidRPr="00053FD1">
              <w:rPr>
                <w:color w:val="000000"/>
              </w:rPr>
              <w:t>4</w:t>
            </w:r>
          </w:p>
        </w:tc>
        <w:tc>
          <w:tcPr>
            <w:tcW w:w="1254" w:type="dxa"/>
            <w:vAlign w:val="center"/>
          </w:tcPr>
          <w:p w14:paraId="0F6F9131" w14:textId="77777777" w:rsidR="00860F8E" w:rsidRPr="00053FD1" w:rsidRDefault="00860F8E" w:rsidP="005D646B">
            <w:pPr>
              <w:pStyle w:val="TableText"/>
            </w:pPr>
            <w:r w:rsidRPr="00053FD1">
              <w:rPr>
                <w:color w:val="000000"/>
              </w:rPr>
              <w:t>1</w:t>
            </w:r>
          </w:p>
        </w:tc>
        <w:tc>
          <w:tcPr>
            <w:tcW w:w="1327" w:type="dxa"/>
            <w:shd w:val="clear" w:color="auto" w:fill="auto"/>
            <w:noWrap/>
            <w:vAlign w:val="center"/>
          </w:tcPr>
          <w:p w14:paraId="4621ADB6" w14:textId="77777777" w:rsidR="00860F8E" w:rsidRPr="00053FD1" w:rsidRDefault="00860F8E" w:rsidP="005D646B">
            <w:pPr>
              <w:pStyle w:val="TableText"/>
            </w:pPr>
            <w:r w:rsidRPr="00053FD1">
              <w:t>–</w:t>
            </w:r>
          </w:p>
        </w:tc>
        <w:tc>
          <w:tcPr>
            <w:tcW w:w="871" w:type="dxa"/>
            <w:shd w:val="clear" w:color="auto" w:fill="auto"/>
            <w:noWrap/>
            <w:vAlign w:val="center"/>
          </w:tcPr>
          <w:p w14:paraId="1511FFB4" w14:textId="77777777" w:rsidR="00860F8E" w:rsidRPr="00053FD1" w:rsidRDefault="00860F8E" w:rsidP="005D646B">
            <w:pPr>
              <w:pStyle w:val="TableText"/>
            </w:pPr>
            <w:r w:rsidRPr="00053FD1">
              <w:t>–</w:t>
            </w:r>
          </w:p>
        </w:tc>
        <w:tc>
          <w:tcPr>
            <w:tcW w:w="1264" w:type="dxa"/>
            <w:shd w:val="clear" w:color="auto" w:fill="auto"/>
            <w:noWrap/>
            <w:vAlign w:val="center"/>
          </w:tcPr>
          <w:p w14:paraId="6E8B5509" w14:textId="77777777" w:rsidR="00860F8E" w:rsidRPr="00053FD1" w:rsidRDefault="00860F8E" w:rsidP="005D646B">
            <w:pPr>
              <w:pStyle w:val="TableText"/>
            </w:pPr>
            <w:r w:rsidRPr="00053FD1">
              <w:rPr>
                <w:color w:val="000000"/>
              </w:rPr>
              <w:t>4</w:t>
            </w:r>
          </w:p>
        </w:tc>
        <w:tc>
          <w:tcPr>
            <w:tcW w:w="845" w:type="dxa"/>
            <w:shd w:val="clear" w:color="auto" w:fill="auto"/>
            <w:noWrap/>
            <w:vAlign w:val="center"/>
          </w:tcPr>
          <w:p w14:paraId="724A2065" w14:textId="77777777" w:rsidR="00860F8E" w:rsidRPr="00053FD1" w:rsidRDefault="00860F8E" w:rsidP="005D646B">
            <w:pPr>
              <w:pStyle w:val="TableText"/>
            </w:pPr>
            <w:r w:rsidRPr="00053FD1">
              <w:rPr>
                <w:color w:val="000000"/>
              </w:rPr>
              <w:t>3</w:t>
            </w:r>
          </w:p>
        </w:tc>
        <w:tc>
          <w:tcPr>
            <w:tcW w:w="915" w:type="dxa"/>
            <w:shd w:val="clear" w:color="auto" w:fill="auto"/>
            <w:noWrap/>
            <w:vAlign w:val="center"/>
          </w:tcPr>
          <w:p w14:paraId="20C9B2B6" w14:textId="77777777" w:rsidR="00860F8E" w:rsidRPr="00053FD1" w:rsidRDefault="00860F8E" w:rsidP="005D646B">
            <w:pPr>
              <w:pStyle w:val="TableText"/>
            </w:pPr>
            <w:r>
              <w:rPr>
                <w:color w:val="000000"/>
              </w:rPr>
              <w:t>3</w:t>
            </w:r>
          </w:p>
        </w:tc>
        <w:tc>
          <w:tcPr>
            <w:tcW w:w="1154" w:type="dxa"/>
            <w:shd w:val="clear" w:color="auto" w:fill="auto"/>
            <w:noWrap/>
            <w:vAlign w:val="center"/>
          </w:tcPr>
          <w:p w14:paraId="74D9B8DF" w14:textId="77777777" w:rsidR="00860F8E" w:rsidRPr="00053FD1" w:rsidRDefault="00860F8E" w:rsidP="005D646B">
            <w:pPr>
              <w:pStyle w:val="TableText"/>
            </w:pPr>
            <w:r>
              <w:rPr>
                <w:color w:val="000000"/>
              </w:rPr>
              <w:t>–</w:t>
            </w:r>
          </w:p>
        </w:tc>
        <w:tc>
          <w:tcPr>
            <w:tcW w:w="685" w:type="dxa"/>
            <w:vAlign w:val="center"/>
          </w:tcPr>
          <w:p w14:paraId="5F962B29" w14:textId="77777777" w:rsidR="00860F8E" w:rsidRPr="00053FD1" w:rsidRDefault="00860F8E" w:rsidP="005D646B">
            <w:pPr>
              <w:pStyle w:val="TableText"/>
            </w:pPr>
            <w:r w:rsidRPr="00053FD1">
              <w:rPr>
                <w:color w:val="000000"/>
              </w:rPr>
              <w:t>16</w:t>
            </w:r>
          </w:p>
        </w:tc>
      </w:tr>
      <w:tr w:rsidR="00860F8E" w:rsidRPr="00053FD1" w14:paraId="23E5C7DE" w14:textId="77777777" w:rsidTr="00A858B3">
        <w:trPr>
          <w:trHeight w:val="153"/>
        </w:trPr>
        <w:tc>
          <w:tcPr>
            <w:tcW w:w="2547" w:type="dxa"/>
            <w:shd w:val="clear" w:color="auto" w:fill="auto"/>
            <w:noWrap/>
            <w:vAlign w:val="center"/>
          </w:tcPr>
          <w:p w14:paraId="4532E6E5" w14:textId="77777777" w:rsidR="00860F8E" w:rsidRPr="00053FD1" w:rsidRDefault="00860F8E" w:rsidP="005D646B">
            <w:pPr>
              <w:pStyle w:val="TableText"/>
            </w:pPr>
            <w:r w:rsidRPr="00053FD1">
              <w:t>Aviation Safety Regulator – Aviation Safety Adviser</w:t>
            </w:r>
          </w:p>
        </w:tc>
        <w:tc>
          <w:tcPr>
            <w:tcW w:w="1140" w:type="dxa"/>
            <w:shd w:val="clear" w:color="auto" w:fill="auto"/>
            <w:noWrap/>
            <w:vAlign w:val="center"/>
          </w:tcPr>
          <w:p w14:paraId="4CD0C65E" w14:textId="77777777" w:rsidR="00860F8E" w:rsidRPr="00053FD1" w:rsidRDefault="00860F8E" w:rsidP="005D646B">
            <w:pPr>
              <w:pStyle w:val="TableText"/>
            </w:pPr>
            <w:r w:rsidRPr="00053FD1">
              <w:rPr>
                <w:color w:val="000000"/>
              </w:rPr>
              <w:t>1</w:t>
            </w:r>
          </w:p>
        </w:tc>
        <w:tc>
          <w:tcPr>
            <w:tcW w:w="1128" w:type="dxa"/>
            <w:shd w:val="clear" w:color="auto" w:fill="auto"/>
            <w:noWrap/>
            <w:vAlign w:val="center"/>
          </w:tcPr>
          <w:p w14:paraId="0056E290" w14:textId="77777777" w:rsidR="00860F8E" w:rsidRPr="00053FD1" w:rsidRDefault="00860F8E" w:rsidP="005D646B">
            <w:pPr>
              <w:pStyle w:val="TableText"/>
            </w:pPr>
            <w:r w:rsidRPr="00053FD1">
              <w:rPr>
                <w:color w:val="000000"/>
              </w:rPr>
              <w:t>1</w:t>
            </w:r>
          </w:p>
        </w:tc>
        <w:tc>
          <w:tcPr>
            <w:tcW w:w="1254" w:type="dxa"/>
            <w:vAlign w:val="center"/>
          </w:tcPr>
          <w:p w14:paraId="203E5CB2" w14:textId="77777777" w:rsidR="00860F8E" w:rsidRPr="00053FD1" w:rsidRDefault="00860F8E" w:rsidP="005D646B">
            <w:pPr>
              <w:pStyle w:val="TableText"/>
            </w:pPr>
            <w:r w:rsidRPr="00053FD1">
              <w:t>–</w:t>
            </w:r>
          </w:p>
        </w:tc>
        <w:tc>
          <w:tcPr>
            <w:tcW w:w="1327" w:type="dxa"/>
            <w:shd w:val="clear" w:color="auto" w:fill="auto"/>
            <w:noWrap/>
            <w:vAlign w:val="center"/>
          </w:tcPr>
          <w:p w14:paraId="1376DCDA" w14:textId="77777777" w:rsidR="00860F8E" w:rsidRPr="00053FD1" w:rsidRDefault="00860F8E" w:rsidP="005D646B">
            <w:pPr>
              <w:pStyle w:val="TableText"/>
            </w:pPr>
            <w:r w:rsidRPr="00053FD1">
              <w:rPr>
                <w:color w:val="000000"/>
              </w:rPr>
              <w:t>1</w:t>
            </w:r>
          </w:p>
        </w:tc>
        <w:tc>
          <w:tcPr>
            <w:tcW w:w="871" w:type="dxa"/>
            <w:shd w:val="clear" w:color="auto" w:fill="auto"/>
            <w:noWrap/>
            <w:vAlign w:val="center"/>
          </w:tcPr>
          <w:p w14:paraId="5203644C" w14:textId="77777777" w:rsidR="00860F8E" w:rsidRPr="00053FD1" w:rsidRDefault="00860F8E" w:rsidP="005D646B">
            <w:pPr>
              <w:pStyle w:val="TableText"/>
            </w:pPr>
            <w:r w:rsidRPr="00053FD1">
              <w:rPr>
                <w:color w:val="000000"/>
              </w:rPr>
              <w:t>1</w:t>
            </w:r>
          </w:p>
        </w:tc>
        <w:tc>
          <w:tcPr>
            <w:tcW w:w="1264" w:type="dxa"/>
            <w:shd w:val="clear" w:color="auto" w:fill="auto"/>
            <w:noWrap/>
            <w:vAlign w:val="center"/>
          </w:tcPr>
          <w:p w14:paraId="672B8DED" w14:textId="77777777" w:rsidR="00860F8E" w:rsidRPr="00053FD1" w:rsidRDefault="00860F8E" w:rsidP="005D646B">
            <w:pPr>
              <w:pStyle w:val="TableText"/>
            </w:pPr>
            <w:r w:rsidRPr="00053FD1">
              <w:rPr>
                <w:color w:val="000000"/>
              </w:rPr>
              <w:t>2</w:t>
            </w:r>
          </w:p>
        </w:tc>
        <w:tc>
          <w:tcPr>
            <w:tcW w:w="845" w:type="dxa"/>
            <w:shd w:val="clear" w:color="auto" w:fill="auto"/>
            <w:noWrap/>
            <w:vAlign w:val="center"/>
          </w:tcPr>
          <w:p w14:paraId="0CF0A088" w14:textId="77777777" w:rsidR="00860F8E" w:rsidRPr="00053FD1" w:rsidRDefault="00860F8E" w:rsidP="005D646B">
            <w:pPr>
              <w:pStyle w:val="TableText"/>
            </w:pPr>
            <w:r w:rsidRPr="00053FD1">
              <w:rPr>
                <w:color w:val="000000"/>
              </w:rPr>
              <w:t>1</w:t>
            </w:r>
          </w:p>
        </w:tc>
        <w:tc>
          <w:tcPr>
            <w:tcW w:w="915" w:type="dxa"/>
            <w:shd w:val="clear" w:color="auto" w:fill="auto"/>
            <w:noWrap/>
            <w:vAlign w:val="center"/>
          </w:tcPr>
          <w:p w14:paraId="064B364F" w14:textId="77777777" w:rsidR="00860F8E" w:rsidRPr="00053FD1" w:rsidRDefault="00860F8E" w:rsidP="005D646B">
            <w:pPr>
              <w:pStyle w:val="TableText"/>
            </w:pPr>
            <w:r w:rsidRPr="00053FD1">
              <w:t>–</w:t>
            </w:r>
          </w:p>
        </w:tc>
        <w:tc>
          <w:tcPr>
            <w:tcW w:w="1154" w:type="dxa"/>
            <w:shd w:val="clear" w:color="auto" w:fill="auto"/>
            <w:noWrap/>
            <w:vAlign w:val="center"/>
          </w:tcPr>
          <w:p w14:paraId="0E6F3152" w14:textId="77777777" w:rsidR="00860F8E" w:rsidRPr="00053FD1" w:rsidRDefault="00860F8E" w:rsidP="005D646B">
            <w:pPr>
              <w:pStyle w:val="TableText"/>
            </w:pPr>
            <w:r w:rsidRPr="00053FD1">
              <w:t>–</w:t>
            </w:r>
          </w:p>
        </w:tc>
        <w:tc>
          <w:tcPr>
            <w:tcW w:w="685" w:type="dxa"/>
            <w:vAlign w:val="center"/>
          </w:tcPr>
          <w:p w14:paraId="5AC3C83E" w14:textId="77777777" w:rsidR="00860F8E" w:rsidRPr="00053FD1" w:rsidRDefault="00860F8E" w:rsidP="005D646B">
            <w:pPr>
              <w:pStyle w:val="TableText"/>
            </w:pPr>
            <w:r w:rsidRPr="00053FD1">
              <w:rPr>
                <w:color w:val="000000"/>
              </w:rPr>
              <w:t>7</w:t>
            </w:r>
          </w:p>
        </w:tc>
      </w:tr>
      <w:tr w:rsidR="00860F8E" w:rsidRPr="00053FD1" w14:paraId="55FD191E" w14:textId="77777777" w:rsidTr="00A858B3">
        <w:trPr>
          <w:trHeight w:val="153"/>
        </w:trPr>
        <w:tc>
          <w:tcPr>
            <w:tcW w:w="2547" w:type="dxa"/>
            <w:shd w:val="clear" w:color="auto" w:fill="auto"/>
            <w:noWrap/>
            <w:vAlign w:val="center"/>
          </w:tcPr>
          <w:p w14:paraId="41316538" w14:textId="77777777" w:rsidR="00860F8E" w:rsidRPr="00053FD1" w:rsidRDefault="00860F8E" w:rsidP="005D646B">
            <w:pPr>
              <w:pStyle w:val="TableText"/>
            </w:pPr>
            <w:r w:rsidRPr="00053FD1">
              <w:t>Aviation Safety Regulator – Airworthiness Inspector</w:t>
            </w:r>
          </w:p>
        </w:tc>
        <w:tc>
          <w:tcPr>
            <w:tcW w:w="1140" w:type="dxa"/>
            <w:shd w:val="clear" w:color="auto" w:fill="auto"/>
            <w:noWrap/>
            <w:vAlign w:val="center"/>
          </w:tcPr>
          <w:p w14:paraId="1F04D975" w14:textId="77777777" w:rsidR="00860F8E" w:rsidRPr="00053FD1" w:rsidRDefault="00860F8E" w:rsidP="005D646B">
            <w:pPr>
              <w:pStyle w:val="TableText"/>
            </w:pPr>
            <w:r w:rsidRPr="00053FD1">
              <w:rPr>
                <w:color w:val="000000"/>
              </w:rPr>
              <w:t>4</w:t>
            </w:r>
          </w:p>
        </w:tc>
        <w:tc>
          <w:tcPr>
            <w:tcW w:w="1128" w:type="dxa"/>
            <w:shd w:val="clear" w:color="auto" w:fill="auto"/>
            <w:noWrap/>
            <w:vAlign w:val="center"/>
          </w:tcPr>
          <w:p w14:paraId="18171541" w14:textId="77777777" w:rsidR="00860F8E" w:rsidRPr="00053FD1" w:rsidRDefault="00860F8E" w:rsidP="005D646B">
            <w:pPr>
              <w:pStyle w:val="TableText"/>
            </w:pPr>
            <w:r w:rsidRPr="00053FD1">
              <w:rPr>
                <w:color w:val="000000"/>
              </w:rPr>
              <w:t>12</w:t>
            </w:r>
          </w:p>
        </w:tc>
        <w:tc>
          <w:tcPr>
            <w:tcW w:w="1254" w:type="dxa"/>
            <w:vAlign w:val="center"/>
          </w:tcPr>
          <w:p w14:paraId="4897177C" w14:textId="77777777" w:rsidR="00860F8E" w:rsidRPr="00053FD1" w:rsidRDefault="00860F8E" w:rsidP="005D646B">
            <w:pPr>
              <w:pStyle w:val="TableText"/>
            </w:pPr>
            <w:r w:rsidRPr="00053FD1">
              <w:rPr>
                <w:color w:val="000000"/>
              </w:rPr>
              <w:t>6</w:t>
            </w:r>
          </w:p>
        </w:tc>
        <w:tc>
          <w:tcPr>
            <w:tcW w:w="1327" w:type="dxa"/>
            <w:shd w:val="clear" w:color="auto" w:fill="auto"/>
            <w:noWrap/>
            <w:vAlign w:val="center"/>
          </w:tcPr>
          <w:p w14:paraId="676CC4B7" w14:textId="77777777" w:rsidR="00860F8E" w:rsidRPr="00053FD1" w:rsidRDefault="00860F8E" w:rsidP="005D646B">
            <w:pPr>
              <w:pStyle w:val="TableText"/>
            </w:pPr>
            <w:r w:rsidRPr="00053FD1">
              <w:t>–</w:t>
            </w:r>
          </w:p>
        </w:tc>
        <w:tc>
          <w:tcPr>
            <w:tcW w:w="871" w:type="dxa"/>
            <w:shd w:val="clear" w:color="auto" w:fill="auto"/>
            <w:noWrap/>
            <w:vAlign w:val="center"/>
          </w:tcPr>
          <w:p w14:paraId="52C3840F" w14:textId="77777777" w:rsidR="00860F8E" w:rsidRPr="00053FD1" w:rsidRDefault="00860F8E" w:rsidP="005D646B">
            <w:pPr>
              <w:pStyle w:val="TableText"/>
            </w:pPr>
            <w:r w:rsidRPr="00053FD1">
              <w:rPr>
                <w:color w:val="000000"/>
              </w:rPr>
              <w:t>4</w:t>
            </w:r>
          </w:p>
        </w:tc>
        <w:tc>
          <w:tcPr>
            <w:tcW w:w="1264" w:type="dxa"/>
            <w:shd w:val="clear" w:color="auto" w:fill="auto"/>
            <w:noWrap/>
            <w:vAlign w:val="center"/>
          </w:tcPr>
          <w:p w14:paraId="31AE1CA6" w14:textId="77777777" w:rsidR="00860F8E" w:rsidRPr="00053FD1" w:rsidRDefault="00860F8E" w:rsidP="005D646B">
            <w:pPr>
              <w:pStyle w:val="TableText"/>
            </w:pPr>
            <w:r w:rsidRPr="00053FD1">
              <w:rPr>
                <w:color w:val="000000"/>
              </w:rPr>
              <w:t>13</w:t>
            </w:r>
          </w:p>
        </w:tc>
        <w:tc>
          <w:tcPr>
            <w:tcW w:w="845" w:type="dxa"/>
            <w:shd w:val="clear" w:color="auto" w:fill="auto"/>
            <w:noWrap/>
            <w:vAlign w:val="center"/>
          </w:tcPr>
          <w:p w14:paraId="7F8DE70A" w14:textId="77777777" w:rsidR="00860F8E" w:rsidRPr="00053FD1" w:rsidRDefault="00860F8E" w:rsidP="005D646B">
            <w:pPr>
              <w:pStyle w:val="TableText"/>
            </w:pPr>
            <w:r w:rsidRPr="00053FD1">
              <w:rPr>
                <w:color w:val="000000"/>
              </w:rPr>
              <w:t>7</w:t>
            </w:r>
          </w:p>
        </w:tc>
        <w:tc>
          <w:tcPr>
            <w:tcW w:w="915" w:type="dxa"/>
            <w:shd w:val="clear" w:color="auto" w:fill="auto"/>
            <w:noWrap/>
            <w:vAlign w:val="center"/>
          </w:tcPr>
          <w:p w14:paraId="01E56991" w14:textId="77777777" w:rsidR="00860F8E" w:rsidRPr="00053FD1" w:rsidRDefault="00860F8E" w:rsidP="005D646B">
            <w:pPr>
              <w:pStyle w:val="TableText"/>
            </w:pPr>
            <w:r w:rsidRPr="00053FD1">
              <w:rPr>
                <w:color w:val="000000"/>
              </w:rPr>
              <w:t>15</w:t>
            </w:r>
          </w:p>
        </w:tc>
        <w:tc>
          <w:tcPr>
            <w:tcW w:w="1154" w:type="dxa"/>
            <w:shd w:val="clear" w:color="auto" w:fill="auto"/>
            <w:noWrap/>
            <w:vAlign w:val="center"/>
          </w:tcPr>
          <w:p w14:paraId="590F87C3" w14:textId="77777777" w:rsidR="00860F8E" w:rsidRPr="00053FD1" w:rsidRDefault="00860F8E" w:rsidP="005D646B">
            <w:pPr>
              <w:pStyle w:val="TableText"/>
            </w:pPr>
            <w:r w:rsidRPr="00053FD1">
              <w:rPr>
                <w:color w:val="000000"/>
              </w:rPr>
              <w:t>2</w:t>
            </w:r>
          </w:p>
        </w:tc>
        <w:tc>
          <w:tcPr>
            <w:tcW w:w="685" w:type="dxa"/>
            <w:vAlign w:val="center"/>
          </w:tcPr>
          <w:p w14:paraId="43D82480" w14:textId="77777777" w:rsidR="00860F8E" w:rsidRPr="00053FD1" w:rsidRDefault="00860F8E" w:rsidP="005D646B">
            <w:pPr>
              <w:pStyle w:val="TableText"/>
            </w:pPr>
            <w:r w:rsidRPr="00053FD1">
              <w:rPr>
                <w:color w:val="000000"/>
              </w:rPr>
              <w:t>63</w:t>
            </w:r>
          </w:p>
        </w:tc>
      </w:tr>
      <w:tr w:rsidR="00860F8E" w:rsidRPr="00053FD1" w14:paraId="6E1DD372" w14:textId="77777777" w:rsidTr="00A858B3">
        <w:trPr>
          <w:trHeight w:val="153"/>
        </w:trPr>
        <w:tc>
          <w:tcPr>
            <w:tcW w:w="2547" w:type="dxa"/>
            <w:shd w:val="clear" w:color="auto" w:fill="auto"/>
            <w:noWrap/>
            <w:vAlign w:val="center"/>
          </w:tcPr>
          <w:p w14:paraId="69B96CD6" w14:textId="77777777" w:rsidR="00860F8E" w:rsidRPr="00053FD1" w:rsidRDefault="00860F8E" w:rsidP="005D646B">
            <w:pPr>
              <w:pStyle w:val="TableText"/>
            </w:pPr>
            <w:r w:rsidRPr="00053FD1">
              <w:t>Aviation Safety Regulator – Aerodrome Inspector</w:t>
            </w:r>
          </w:p>
        </w:tc>
        <w:tc>
          <w:tcPr>
            <w:tcW w:w="1140" w:type="dxa"/>
            <w:shd w:val="clear" w:color="auto" w:fill="auto"/>
            <w:noWrap/>
            <w:vAlign w:val="center"/>
          </w:tcPr>
          <w:p w14:paraId="09913EE3" w14:textId="77777777" w:rsidR="00860F8E" w:rsidRPr="00053FD1" w:rsidRDefault="00860F8E" w:rsidP="005D646B">
            <w:pPr>
              <w:pStyle w:val="TableText"/>
            </w:pPr>
            <w:r w:rsidRPr="00053FD1">
              <w:rPr>
                <w:color w:val="000000"/>
              </w:rPr>
              <w:t>1</w:t>
            </w:r>
          </w:p>
        </w:tc>
        <w:tc>
          <w:tcPr>
            <w:tcW w:w="1128" w:type="dxa"/>
            <w:shd w:val="clear" w:color="auto" w:fill="auto"/>
            <w:noWrap/>
            <w:vAlign w:val="center"/>
          </w:tcPr>
          <w:p w14:paraId="24264895" w14:textId="77777777" w:rsidR="00860F8E" w:rsidRPr="00053FD1" w:rsidRDefault="00860F8E" w:rsidP="005D646B">
            <w:pPr>
              <w:pStyle w:val="TableText"/>
            </w:pPr>
            <w:r w:rsidRPr="00053FD1">
              <w:rPr>
                <w:color w:val="000000"/>
              </w:rPr>
              <w:t>4</w:t>
            </w:r>
          </w:p>
        </w:tc>
        <w:tc>
          <w:tcPr>
            <w:tcW w:w="1254" w:type="dxa"/>
            <w:vAlign w:val="center"/>
          </w:tcPr>
          <w:p w14:paraId="6BBB45DB" w14:textId="77777777" w:rsidR="00860F8E" w:rsidRPr="00053FD1" w:rsidRDefault="00860F8E" w:rsidP="005D646B">
            <w:pPr>
              <w:pStyle w:val="TableText"/>
            </w:pPr>
            <w:r w:rsidRPr="00053FD1">
              <w:t>–</w:t>
            </w:r>
          </w:p>
        </w:tc>
        <w:tc>
          <w:tcPr>
            <w:tcW w:w="1327" w:type="dxa"/>
            <w:shd w:val="clear" w:color="auto" w:fill="auto"/>
            <w:noWrap/>
            <w:vAlign w:val="center"/>
          </w:tcPr>
          <w:p w14:paraId="0A73D893" w14:textId="77777777" w:rsidR="00860F8E" w:rsidRPr="00053FD1" w:rsidRDefault="00860F8E" w:rsidP="005D646B">
            <w:pPr>
              <w:pStyle w:val="TableText"/>
            </w:pPr>
            <w:r>
              <w:t>–</w:t>
            </w:r>
          </w:p>
        </w:tc>
        <w:tc>
          <w:tcPr>
            <w:tcW w:w="871" w:type="dxa"/>
            <w:shd w:val="clear" w:color="auto" w:fill="auto"/>
            <w:noWrap/>
            <w:vAlign w:val="center"/>
          </w:tcPr>
          <w:p w14:paraId="1948362D" w14:textId="77777777" w:rsidR="00860F8E" w:rsidRPr="00053FD1" w:rsidRDefault="00860F8E" w:rsidP="005D646B">
            <w:pPr>
              <w:pStyle w:val="TableText"/>
              <w:rPr>
                <w:lang w:eastAsia="en-AU"/>
              </w:rPr>
            </w:pPr>
            <w:r w:rsidRPr="00053FD1">
              <w:t>–</w:t>
            </w:r>
          </w:p>
        </w:tc>
        <w:tc>
          <w:tcPr>
            <w:tcW w:w="1264" w:type="dxa"/>
            <w:shd w:val="clear" w:color="auto" w:fill="auto"/>
            <w:noWrap/>
            <w:vAlign w:val="center"/>
          </w:tcPr>
          <w:p w14:paraId="02532DB9" w14:textId="77777777" w:rsidR="00860F8E" w:rsidRPr="00053FD1" w:rsidRDefault="00860F8E" w:rsidP="005D646B">
            <w:pPr>
              <w:pStyle w:val="TableText"/>
            </w:pPr>
            <w:r w:rsidRPr="00053FD1">
              <w:rPr>
                <w:color w:val="000000"/>
              </w:rPr>
              <w:t>1</w:t>
            </w:r>
          </w:p>
        </w:tc>
        <w:tc>
          <w:tcPr>
            <w:tcW w:w="845" w:type="dxa"/>
            <w:shd w:val="clear" w:color="auto" w:fill="auto"/>
            <w:noWrap/>
            <w:vAlign w:val="center"/>
          </w:tcPr>
          <w:p w14:paraId="4C0DCFB9" w14:textId="77777777" w:rsidR="00860F8E" w:rsidRPr="00053FD1" w:rsidRDefault="00860F8E" w:rsidP="005D646B">
            <w:pPr>
              <w:pStyle w:val="TableText"/>
            </w:pPr>
            <w:r w:rsidRPr="00053FD1">
              <w:rPr>
                <w:color w:val="000000"/>
              </w:rPr>
              <w:t>2</w:t>
            </w:r>
          </w:p>
        </w:tc>
        <w:tc>
          <w:tcPr>
            <w:tcW w:w="915" w:type="dxa"/>
            <w:shd w:val="clear" w:color="auto" w:fill="auto"/>
            <w:noWrap/>
            <w:vAlign w:val="center"/>
          </w:tcPr>
          <w:p w14:paraId="48E6CAEB" w14:textId="77777777" w:rsidR="00860F8E" w:rsidRPr="00053FD1" w:rsidRDefault="00860F8E" w:rsidP="005D646B">
            <w:pPr>
              <w:pStyle w:val="TableText"/>
            </w:pPr>
            <w:r w:rsidRPr="00053FD1">
              <w:rPr>
                <w:color w:val="000000"/>
              </w:rPr>
              <w:t>2</w:t>
            </w:r>
          </w:p>
        </w:tc>
        <w:tc>
          <w:tcPr>
            <w:tcW w:w="1154" w:type="dxa"/>
            <w:shd w:val="clear" w:color="auto" w:fill="auto"/>
            <w:noWrap/>
            <w:vAlign w:val="center"/>
          </w:tcPr>
          <w:p w14:paraId="59037AA0" w14:textId="77777777" w:rsidR="00860F8E" w:rsidRPr="00053FD1" w:rsidRDefault="00860F8E" w:rsidP="005D646B">
            <w:pPr>
              <w:pStyle w:val="TableText"/>
            </w:pPr>
            <w:r w:rsidRPr="00053FD1">
              <w:t>–</w:t>
            </w:r>
          </w:p>
        </w:tc>
        <w:tc>
          <w:tcPr>
            <w:tcW w:w="685" w:type="dxa"/>
            <w:vAlign w:val="center"/>
          </w:tcPr>
          <w:p w14:paraId="7584437C" w14:textId="77777777" w:rsidR="00860F8E" w:rsidRPr="00053FD1" w:rsidRDefault="00860F8E" w:rsidP="005D646B">
            <w:pPr>
              <w:pStyle w:val="TableText"/>
            </w:pPr>
            <w:r w:rsidRPr="00053FD1">
              <w:rPr>
                <w:color w:val="000000"/>
              </w:rPr>
              <w:t>10</w:t>
            </w:r>
          </w:p>
        </w:tc>
      </w:tr>
      <w:tr w:rsidR="00860F8E" w:rsidRPr="00053FD1" w14:paraId="76D8ECE7" w14:textId="77777777" w:rsidTr="00A858B3">
        <w:trPr>
          <w:trHeight w:val="153"/>
        </w:trPr>
        <w:tc>
          <w:tcPr>
            <w:tcW w:w="2547" w:type="dxa"/>
            <w:shd w:val="clear" w:color="auto" w:fill="auto"/>
            <w:noWrap/>
            <w:vAlign w:val="center"/>
          </w:tcPr>
          <w:p w14:paraId="0945AFBB" w14:textId="77777777" w:rsidR="00860F8E" w:rsidRPr="00053FD1" w:rsidRDefault="00860F8E" w:rsidP="005D646B">
            <w:pPr>
              <w:pStyle w:val="TableText"/>
            </w:pPr>
            <w:r w:rsidRPr="00053FD1">
              <w:t>Aviation Safety Regulator – Other</w:t>
            </w:r>
          </w:p>
        </w:tc>
        <w:tc>
          <w:tcPr>
            <w:tcW w:w="1140" w:type="dxa"/>
            <w:shd w:val="clear" w:color="auto" w:fill="auto"/>
            <w:noWrap/>
            <w:vAlign w:val="center"/>
          </w:tcPr>
          <w:p w14:paraId="51736163" w14:textId="77777777" w:rsidR="00860F8E" w:rsidRPr="00053FD1" w:rsidRDefault="00860F8E" w:rsidP="005D646B">
            <w:pPr>
              <w:pStyle w:val="TableText"/>
            </w:pPr>
            <w:r w:rsidRPr="00053FD1">
              <w:rPr>
                <w:color w:val="000000"/>
              </w:rPr>
              <w:t>2</w:t>
            </w:r>
          </w:p>
        </w:tc>
        <w:tc>
          <w:tcPr>
            <w:tcW w:w="1128" w:type="dxa"/>
            <w:shd w:val="clear" w:color="auto" w:fill="auto"/>
            <w:noWrap/>
            <w:vAlign w:val="center"/>
          </w:tcPr>
          <w:p w14:paraId="526C059B" w14:textId="77777777" w:rsidR="00860F8E" w:rsidRPr="00053FD1" w:rsidRDefault="00860F8E" w:rsidP="005D646B">
            <w:pPr>
              <w:pStyle w:val="TableText"/>
            </w:pPr>
            <w:r w:rsidRPr="00053FD1">
              <w:rPr>
                <w:color w:val="000000"/>
              </w:rPr>
              <w:t>40</w:t>
            </w:r>
          </w:p>
        </w:tc>
        <w:tc>
          <w:tcPr>
            <w:tcW w:w="1254" w:type="dxa"/>
            <w:vAlign w:val="center"/>
          </w:tcPr>
          <w:p w14:paraId="151FE1B4" w14:textId="77777777" w:rsidR="00860F8E" w:rsidRPr="00053FD1" w:rsidRDefault="00860F8E" w:rsidP="005D646B">
            <w:pPr>
              <w:pStyle w:val="TableText"/>
            </w:pPr>
            <w:r w:rsidRPr="00053FD1">
              <w:rPr>
                <w:color w:val="000000"/>
              </w:rPr>
              <w:t>1</w:t>
            </w:r>
          </w:p>
        </w:tc>
        <w:tc>
          <w:tcPr>
            <w:tcW w:w="1327" w:type="dxa"/>
            <w:shd w:val="clear" w:color="auto" w:fill="auto"/>
            <w:noWrap/>
            <w:vAlign w:val="center"/>
          </w:tcPr>
          <w:p w14:paraId="03227A6E" w14:textId="77777777" w:rsidR="00860F8E" w:rsidRPr="00053FD1" w:rsidRDefault="00860F8E" w:rsidP="005D646B">
            <w:pPr>
              <w:pStyle w:val="TableText"/>
            </w:pPr>
            <w:r w:rsidRPr="00053FD1">
              <w:rPr>
                <w:color w:val="000000"/>
              </w:rPr>
              <w:t>50</w:t>
            </w:r>
          </w:p>
        </w:tc>
        <w:tc>
          <w:tcPr>
            <w:tcW w:w="871" w:type="dxa"/>
            <w:shd w:val="clear" w:color="auto" w:fill="auto"/>
            <w:noWrap/>
            <w:vAlign w:val="center"/>
          </w:tcPr>
          <w:p w14:paraId="5CBF7EBD" w14:textId="77777777" w:rsidR="00860F8E" w:rsidRPr="00053FD1" w:rsidRDefault="00860F8E" w:rsidP="005D646B">
            <w:pPr>
              <w:pStyle w:val="TableText"/>
              <w:rPr>
                <w:lang w:eastAsia="en-AU"/>
              </w:rPr>
            </w:pPr>
            <w:r w:rsidRPr="00053FD1">
              <w:rPr>
                <w:color w:val="000000"/>
                <w:lang w:eastAsia="en-AU"/>
              </w:rPr>
              <w:t>1</w:t>
            </w:r>
          </w:p>
        </w:tc>
        <w:tc>
          <w:tcPr>
            <w:tcW w:w="1264" w:type="dxa"/>
            <w:shd w:val="clear" w:color="auto" w:fill="auto"/>
            <w:noWrap/>
            <w:vAlign w:val="center"/>
          </w:tcPr>
          <w:p w14:paraId="396DFC05" w14:textId="77777777" w:rsidR="00860F8E" w:rsidRPr="00053FD1" w:rsidRDefault="00860F8E" w:rsidP="005D646B">
            <w:pPr>
              <w:pStyle w:val="TableText"/>
            </w:pPr>
            <w:r w:rsidRPr="00053FD1">
              <w:rPr>
                <w:color w:val="000000"/>
              </w:rPr>
              <w:t>12</w:t>
            </w:r>
          </w:p>
        </w:tc>
        <w:tc>
          <w:tcPr>
            <w:tcW w:w="845" w:type="dxa"/>
            <w:shd w:val="clear" w:color="auto" w:fill="auto"/>
            <w:noWrap/>
            <w:vAlign w:val="center"/>
          </w:tcPr>
          <w:p w14:paraId="4B6A10C0" w14:textId="77777777" w:rsidR="00860F8E" w:rsidRPr="00053FD1" w:rsidRDefault="00860F8E" w:rsidP="005D646B">
            <w:pPr>
              <w:pStyle w:val="TableText"/>
            </w:pPr>
            <w:r w:rsidRPr="00053FD1">
              <w:rPr>
                <w:color w:val="000000"/>
              </w:rPr>
              <w:t>3</w:t>
            </w:r>
          </w:p>
        </w:tc>
        <w:tc>
          <w:tcPr>
            <w:tcW w:w="915" w:type="dxa"/>
            <w:shd w:val="clear" w:color="auto" w:fill="auto"/>
            <w:noWrap/>
            <w:vAlign w:val="center"/>
          </w:tcPr>
          <w:p w14:paraId="3F1173C9" w14:textId="77777777" w:rsidR="00860F8E" w:rsidRPr="00053FD1" w:rsidRDefault="00860F8E" w:rsidP="005D646B">
            <w:pPr>
              <w:pStyle w:val="TableText"/>
            </w:pPr>
            <w:r w:rsidRPr="00053FD1">
              <w:rPr>
                <w:color w:val="000000"/>
              </w:rPr>
              <w:t>9</w:t>
            </w:r>
          </w:p>
        </w:tc>
        <w:tc>
          <w:tcPr>
            <w:tcW w:w="1154" w:type="dxa"/>
            <w:shd w:val="clear" w:color="auto" w:fill="auto"/>
            <w:noWrap/>
            <w:vAlign w:val="center"/>
          </w:tcPr>
          <w:p w14:paraId="1B93BE4A" w14:textId="77777777" w:rsidR="00860F8E" w:rsidRPr="00053FD1" w:rsidRDefault="00860F8E" w:rsidP="005D646B">
            <w:pPr>
              <w:pStyle w:val="TableText"/>
            </w:pPr>
            <w:r w:rsidRPr="00053FD1">
              <w:t>–</w:t>
            </w:r>
          </w:p>
        </w:tc>
        <w:tc>
          <w:tcPr>
            <w:tcW w:w="685" w:type="dxa"/>
            <w:vAlign w:val="center"/>
          </w:tcPr>
          <w:p w14:paraId="0DF7CF50" w14:textId="77777777" w:rsidR="00860F8E" w:rsidRPr="00053FD1" w:rsidRDefault="00860F8E" w:rsidP="005D646B">
            <w:pPr>
              <w:pStyle w:val="TableText"/>
            </w:pPr>
            <w:r w:rsidRPr="00053FD1">
              <w:rPr>
                <w:color w:val="000000"/>
              </w:rPr>
              <w:t>118</w:t>
            </w:r>
          </w:p>
        </w:tc>
      </w:tr>
      <w:tr w:rsidR="00860F8E" w:rsidRPr="00053FD1" w14:paraId="54E4C5D2" w14:textId="77777777" w:rsidTr="00A858B3">
        <w:trPr>
          <w:trHeight w:val="153"/>
        </w:trPr>
        <w:tc>
          <w:tcPr>
            <w:tcW w:w="2547" w:type="dxa"/>
            <w:shd w:val="clear" w:color="auto" w:fill="auto"/>
            <w:noWrap/>
            <w:vAlign w:val="center"/>
          </w:tcPr>
          <w:p w14:paraId="7B0546A3" w14:textId="77777777" w:rsidR="00860F8E" w:rsidRPr="00053FD1" w:rsidRDefault="00860F8E" w:rsidP="005D646B">
            <w:pPr>
              <w:pStyle w:val="TableText"/>
            </w:pPr>
            <w:r w:rsidRPr="00053FD1">
              <w:t>Certificate Management Team Leader</w:t>
            </w:r>
          </w:p>
        </w:tc>
        <w:tc>
          <w:tcPr>
            <w:tcW w:w="1140" w:type="dxa"/>
            <w:shd w:val="clear" w:color="auto" w:fill="auto"/>
            <w:noWrap/>
            <w:vAlign w:val="center"/>
          </w:tcPr>
          <w:p w14:paraId="1473CAA3" w14:textId="77777777" w:rsidR="00860F8E" w:rsidRPr="00053FD1" w:rsidRDefault="00860F8E" w:rsidP="005D646B">
            <w:pPr>
              <w:pStyle w:val="TableText"/>
            </w:pPr>
            <w:r w:rsidRPr="00053FD1">
              <w:rPr>
                <w:color w:val="000000"/>
              </w:rPr>
              <w:t>2</w:t>
            </w:r>
          </w:p>
        </w:tc>
        <w:tc>
          <w:tcPr>
            <w:tcW w:w="1128" w:type="dxa"/>
            <w:shd w:val="clear" w:color="auto" w:fill="auto"/>
            <w:noWrap/>
            <w:vAlign w:val="center"/>
          </w:tcPr>
          <w:p w14:paraId="39318696" w14:textId="77777777" w:rsidR="00860F8E" w:rsidRPr="00053FD1" w:rsidRDefault="00860F8E" w:rsidP="005D646B">
            <w:pPr>
              <w:pStyle w:val="TableText"/>
            </w:pPr>
            <w:r w:rsidRPr="00053FD1">
              <w:rPr>
                <w:color w:val="000000"/>
              </w:rPr>
              <w:t>8</w:t>
            </w:r>
          </w:p>
        </w:tc>
        <w:tc>
          <w:tcPr>
            <w:tcW w:w="1254" w:type="dxa"/>
            <w:vAlign w:val="center"/>
          </w:tcPr>
          <w:p w14:paraId="3C050B40" w14:textId="77777777" w:rsidR="00860F8E" w:rsidRPr="00053FD1" w:rsidRDefault="00860F8E" w:rsidP="005D646B">
            <w:pPr>
              <w:pStyle w:val="TableText"/>
            </w:pPr>
            <w:r w:rsidRPr="00053FD1">
              <w:rPr>
                <w:color w:val="000000"/>
              </w:rPr>
              <w:t>2</w:t>
            </w:r>
          </w:p>
        </w:tc>
        <w:tc>
          <w:tcPr>
            <w:tcW w:w="1327" w:type="dxa"/>
            <w:shd w:val="clear" w:color="auto" w:fill="auto"/>
            <w:noWrap/>
            <w:vAlign w:val="center"/>
          </w:tcPr>
          <w:p w14:paraId="288D592A" w14:textId="77777777" w:rsidR="00860F8E" w:rsidRPr="00053FD1" w:rsidRDefault="00860F8E" w:rsidP="005D646B">
            <w:pPr>
              <w:pStyle w:val="TableText"/>
            </w:pPr>
            <w:r w:rsidRPr="00053FD1">
              <w:rPr>
                <w:color w:val="000000"/>
              </w:rPr>
              <w:t>9</w:t>
            </w:r>
          </w:p>
        </w:tc>
        <w:tc>
          <w:tcPr>
            <w:tcW w:w="871" w:type="dxa"/>
            <w:shd w:val="clear" w:color="auto" w:fill="auto"/>
            <w:noWrap/>
            <w:vAlign w:val="center"/>
          </w:tcPr>
          <w:p w14:paraId="51A25B9A" w14:textId="77777777" w:rsidR="00860F8E" w:rsidRPr="00053FD1" w:rsidRDefault="00860F8E" w:rsidP="005D646B">
            <w:pPr>
              <w:pStyle w:val="TableText"/>
              <w:rPr>
                <w:lang w:eastAsia="en-AU"/>
              </w:rPr>
            </w:pPr>
            <w:r w:rsidRPr="00053FD1">
              <w:rPr>
                <w:color w:val="000000"/>
                <w:lang w:eastAsia="en-AU"/>
              </w:rPr>
              <w:t>1</w:t>
            </w:r>
          </w:p>
        </w:tc>
        <w:tc>
          <w:tcPr>
            <w:tcW w:w="1264" w:type="dxa"/>
            <w:shd w:val="clear" w:color="auto" w:fill="auto"/>
            <w:noWrap/>
            <w:vAlign w:val="center"/>
          </w:tcPr>
          <w:p w14:paraId="5CA0F763" w14:textId="77777777" w:rsidR="00860F8E" w:rsidRPr="00053FD1" w:rsidRDefault="00860F8E" w:rsidP="005D646B">
            <w:pPr>
              <w:pStyle w:val="TableText"/>
            </w:pPr>
            <w:r w:rsidRPr="00053FD1">
              <w:rPr>
                <w:color w:val="000000"/>
              </w:rPr>
              <w:t>7</w:t>
            </w:r>
          </w:p>
        </w:tc>
        <w:tc>
          <w:tcPr>
            <w:tcW w:w="845" w:type="dxa"/>
            <w:shd w:val="clear" w:color="auto" w:fill="auto"/>
            <w:noWrap/>
            <w:vAlign w:val="center"/>
          </w:tcPr>
          <w:p w14:paraId="263F8601" w14:textId="77777777" w:rsidR="00860F8E" w:rsidRPr="00053FD1" w:rsidRDefault="00860F8E" w:rsidP="005D646B">
            <w:pPr>
              <w:pStyle w:val="TableText"/>
            </w:pPr>
            <w:r w:rsidRPr="00053FD1">
              <w:rPr>
                <w:color w:val="000000"/>
              </w:rPr>
              <w:t>4</w:t>
            </w:r>
          </w:p>
        </w:tc>
        <w:tc>
          <w:tcPr>
            <w:tcW w:w="915" w:type="dxa"/>
            <w:shd w:val="clear" w:color="auto" w:fill="auto"/>
            <w:noWrap/>
            <w:vAlign w:val="center"/>
          </w:tcPr>
          <w:p w14:paraId="6E04A38F" w14:textId="77777777" w:rsidR="00860F8E" w:rsidRPr="00053FD1" w:rsidRDefault="00860F8E" w:rsidP="005D646B">
            <w:pPr>
              <w:pStyle w:val="TableText"/>
            </w:pPr>
            <w:r w:rsidRPr="00053FD1">
              <w:rPr>
                <w:color w:val="000000"/>
              </w:rPr>
              <w:t>4</w:t>
            </w:r>
          </w:p>
        </w:tc>
        <w:tc>
          <w:tcPr>
            <w:tcW w:w="1154" w:type="dxa"/>
            <w:shd w:val="clear" w:color="auto" w:fill="auto"/>
            <w:noWrap/>
            <w:vAlign w:val="center"/>
          </w:tcPr>
          <w:p w14:paraId="4303A4ED" w14:textId="77777777" w:rsidR="00860F8E" w:rsidRPr="00053FD1" w:rsidRDefault="00860F8E" w:rsidP="005D646B">
            <w:pPr>
              <w:pStyle w:val="TableText"/>
            </w:pPr>
            <w:r w:rsidRPr="00053FD1">
              <w:rPr>
                <w:color w:val="000000"/>
              </w:rPr>
              <w:t>_</w:t>
            </w:r>
          </w:p>
        </w:tc>
        <w:tc>
          <w:tcPr>
            <w:tcW w:w="685" w:type="dxa"/>
            <w:vAlign w:val="center"/>
          </w:tcPr>
          <w:p w14:paraId="7DDAFB39" w14:textId="77777777" w:rsidR="00860F8E" w:rsidRPr="00053FD1" w:rsidRDefault="00860F8E" w:rsidP="005D646B">
            <w:pPr>
              <w:pStyle w:val="TableText"/>
            </w:pPr>
            <w:r w:rsidRPr="00053FD1">
              <w:rPr>
                <w:color w:val="000000"/>
              </w:rPr>
              <w:t>37</w:t>
            </w:r>
          </w:p>
        </w:tc>
      </w:tr>
      <w:tr w:rsidR="00860F8E" w:rsidRPr="00053FD1" w14:paraId="74F7D512" w14:textId="77777777" w:rsidTr="00A858B3">
        <w:trPr>
          <w:trHeight w:val="153"/>
        </w:trPr>
        <w:tc>
          <w:tcPr>
            <w:tcW w:w="2547" w:type="dxa"/>
            <w:shd w:val="clear" w:color="auto" w:fill="auto"/>
            <w:noWrap/>
            <w:vAlign w:val="center"/>
          </w:tcPr>
          <w:p w14:paraId="6785FCE7" w14:textId="77777777" w:rsidR="00860F8E" w:rsidRPr="00053FD1" w:rsidRDefault="00860F8E" w:rsidP="005D646B">
            <w:pPr>
              <w:pStyle w:val="TableText"/>
            </w:pPr>
            <w:r w:rsidRPr="00053FD1">
              <w:t>Flight Training Examiner</w:t>
            </w:r>
          </w:p>
        </w:tc>
        <w:tc>
          <w:tcPr>
            <w:tcW w:w="1140" w:type="dxa"/>
            <w:shd w:val="clear" w:color="auto" w:fill="auto"/>
            <w:noWrap/>
            <w:vAlign w:val="center"/>
          </w:tcPr>
          <w:p w14:paraId="1A440E2D" w14:textId="77777777" w:rsidR="00860F8E" w:rsidRPr="00053FD1" w:rsidRDefault="00860F8E" w:rsidP="005D646B">
            <w:pPr>
              <w:pStyle w:val="TableText"/>
            </w:pPr>
            <w:r w:rsidRPr="00053FD1">
              <w:rPr>
                <w:color w:val="000000"/>
              </w:rPr>
              <w:t>1</w:t>
            </w:r>
          </w:p>
        </w:tc>
        <w:tc>
          <w:tcPr>
            <w:tcW w:w="1128" w:type="dxa"/>
            <w:shd w:val="clear" w:color="auto" w:fill="auto"/>
            <w:noWrap/>
            <w:vAlign w:val="center"/>
          </w:tcPr>
          <w:p w14:paraId="3FE0892C" w14:textId="77777777" w:rsidR="00860F8E" w:rsidRPr="00053FD1" w:rsidRDefault="00860F8E" w:rsidP="005D646B">
            <w:pPr>
              <w:pStyle w:val="TableText"/>
              <w:rPr>
                <w:lang w:eastAsia="en-AU"/>
              </w:rPr>
            </w:pPr>
            <w:r w:rsidRPr="00053FD1">
              <w:rPr>
                <w:color w:val="000000"/>
                <w:lang w:eastAsia="en-AU"/>
              </w:rPr>
              <w:t>4</w:t>
            </w:r>
          </w:p>
        </w:tc>
        <w:tc>
          <w:tcPr>
            <w:tcW w:w="1254" w:type="dxa"/>
            <w:vAlign w:val="center"/>
          </w:tcPr>
          <w:p w14:paraId="23FB3900" w14:textId="77777777" w:rsidR="00860F8E" w:rsidRPr="00053FD1" w:rsidRDefault="00860F8E" w:rsidP="005D646B">
            <w:pPr>
              <w:pStyle w:val="TableText"/>
            </w:pPr>
            <w:r w:rsidRPr="00053FD1">
              <w:t>–</w:t>
            </w:r>
          </w:p>
        </w:tc>
        <w:tc>
          <w:tcPr>
            <w:tcW w:w="1327" w:type="dxa"/>
            <w:shd w:val="clear" w:color="auto" w:fill="auto"/>
            <w:noWrap/>
            <w:vAlign w:val="center"/>
          </w:tcPr>
          <w:p w14:paraId="77C66A92" w14:textId="77777777" w:rsidR="00860F8E" w:rsidRPr="00053FD1" w:rsidRDefault="00860F8E" w:rsidP="005D646B">
            <w:pPr>
              <w:pStyle w:val="TableText"/>
            </w:pPr>
            <w:r w:rsidRPr="00053FD1">
              <w:t>–</w:t>
            </w:r>
          </w:p>
        </w:tc>
        <w:tc>
          <w:tcPr>
            <w:tcW w:w="871" w:type="dxa"/>
            <w:shd w:val="clear" w:color="auto" w:fill="auto"/>
            <w:noWrap/>
            <w:vAlign w:val="center"/>
          </w:tcPr>
          <w:p w14:paraId="11F35E60" w14:textId="77777777" w:rsidR="00860F8E" w:rsidRPr="00053FD1" w:rsidRDefault="00860F8E" w:rsidP="005D646B">
            <w:pPr>
              <w:pStyle w:val="TableText"/>
              <w:rPr>
                <w:lang w:eastAsia="en-AU"/>
              </w:rPr>
            </w:pPr>
            <w:r w:rsidRPr="00053FD1">
              <w:t>–</w:t>
            </w:r>
          </w:p>
        </w:tc>
        <w:tc>
          <w:tcPr>
            <w:tcW w:w="1264" w:type="dxa"/>
            <w:shd w:val="clear" w:color="auto" w:fill="auto"/>
            <w:noWrap/>
            <w:vAlign w:val="center"/>
          </w:tcPr>
          <w:p w14:paraId="40783BC0" w14:textId="77777777" w:rsidR="00860F8E" w:rsidRPr="00053FD1" w:rsidRDefault="00860F8E" w:rsidP="005D646B">
            <w:pPr>
              <w:pStyle w:val="TableText"/>
              <w:rPr>
                <w:lang w:eastAsia="en-AU"/>
              </w:rPr>
            </w:pPr>
            <w:r w:rsidRPr="00053FD1">
              <w:rPr>
                <w:color w:val="000000"/>
                <w:lang w:eastAsia="en-AU"/>
              </w:rPr>
              <w:t>3</w:t>
            </w:r>
          </w:p>
        </w:tc>
        <w:tc>
          <w:tcPr>
            <w:tcW w:w="845" w:type="dxa"/>
            <w:shd w:val="clear" w:color="auto" w:fill="auto"/>
            <w:noWrap/>
            <w:vAlign w:val="center"/>
          </w:tcPr>
          <w:p w14:paraId="5F991B66" w14:textId="77777777" w:rsidR="00860F8E" w:rsidRPr="00053FD1" w:rsidRDefault="00860F8E" w:rsidP="005D646B">
            <w:pPr>
              <w:pStyle w:val="TableText"/>
            </w:pPr>
            <w:r w:rsidRPr="00053FD1">
              <w:t>–</w:t>
            </w:r>
          </w:p>
        </w:tc>
        <w:tc>
          <w:tcPr>
            <w:tcW w:w="915" w:type="dxa"/>
            <w:shd w:val="clear" w:color="auto" w:fill="auto"/>
            <w:noWrap/>
            <w:vAlign w:val="center"/>
          </w:tcPr>
          <w:p w14:paraId="0FBD126A" w14:textId="77777777" w:rsidR="00860F8E" w:rsidRPr="00053FD1" w:rsidRDefault="00860F8E" w:rsidP="005D646B">
            <w:pPr>
              <w:pStyle w:val="TableText"/>
            </w:pPr>
            <w:r w:rsidRPr="00053FD1">
              <w:rPr>
                <w:color w:val="000000"/>
              </w:rPr>
              <w:t>3</w:t>
            </w:r>
          </w:p>
        </w:tc>
        <w:tc>
          <w:tcPr>
            <w:tcW w:w="1154" w:type="dxa"/>
            <w:shd w:val="clear" w:color="auto" w:fill="auto"/>
            <w:noWrap/>
            <w:vAlign w:val="center"/>
          </w:tcPr>
          <w:p w14:paraId="637837BC" w14:textId="77777777" w:rsidR="00860F8E" w:rsidRPr="00053FD1" w:rsidRDefault="00860F8E" w:rsidP="005D646B">
            <w:pPr>
              <w:pStyle w:val="TableText"/>
            </w:pPr>
            <w:r w:rsidRPr="00053FD1">
              <w:rPr>
                <w:color w:val="000000"/>
              </w:rPr>
              <w:t>1</w:t>
            </w:r>
          </w:p>
        </w:tc>
        <w:tc>
          <w:tcPr>
            <w:tcW w:w="685" w:type="dxa"/>
            <w:vAlign w:val="center"/>
          </w:tcPr>
          <w:p w14:paraId="15FF0F3A" w14:textId="77777777" w:rsidR="00860F8E" w:rsidRPr="00053FD1" w:rsidRDefault="00860F8E" w:rsidP="005D646B">
            <w:pPr>
              <w:pStyle w:val="TableText"/>
            </w:pPr>
            <w:r w:rsidRPr="00053FD1">
              <w:rPr>
                <w:color w:val="000000"/>
              </w:rPr>
              <w:t>12</w:t>
            </w:r>
          </w:p>
        </w:tc>
      </w:tr>
      <w:tr w:rsidR="00860F8E" w:rsidRPr="00053FD1" w14:paraId="07981531" w14:textId="77777777" w:rsidTr="00A858B3">
        <w:trPr>
          <w:trHeight w:val="153"/>
        </w:trPr>
        <w:tc>
          <w:tcPr>
            <w:tcW w:w="2547" w:type="dxa"/>
            <w:shd w:val="clear" w:color="auto" w:fill="auto"/>
            <w:noWrap/>
            <w:vAlign w:val="center"/>
          </w:tcPr>
          <w:p w14:paraId="62B60BCC" w14:textId="77777777" w:rsidR="00860F8E" w:rsidRPr="00053FD1" w:rsidRDefault="00860F8E" w:rsidP="005D646B">
            <w:pPr>
              <w:pStyle w:val="TableText"/>
            </w:pPr>
            <w:r w:rsidRPr="00053FD1">
              <w:t>Flying Operations Inspector</w:t>
            </w:r>
          </w:p>
        </w:tc>
        <w:tc>
          <w:tcPr>
            <w:tcW w:w="1140" w:type="dxa"/>
            <w:shd w:val="clear" w:color="auto" w:fill="auto"/>
            <w:noWrap/>
            <w:vAlign w:val="center"/>
          </w:tcPr>
          <w:p w14:paraId="7CEF7F7A" w14:textId="77777777" w:rsidR="00860F8E" w:rsidRPr="00053FD1" w:rsidRDefault="00860F8E" w:rsidP="005D646B">
            <w:pPr>
              <w:pStyle w:val="TableText"/>
            </w:pPr>
            <w:r w:rsidRPr="00053FD1">
              <w:rPr>
                <w:color w:val="000000"/>
              </w:rPr>
              <w:t>5</w:t>
            </w:r>
          </w:p>
        </w:tc>
        <w:tc>
          <w:tcPr>
            <w:tcW w:w="1128" w:type="dxa"/>
            <w:shd w:val="clear" w:color="auto" w:fill="auto"/>
            <w:noWrap/>
            <w:vAlign w:val="center"/>
          </w:tcPr>
          <w:p w14:paraId="0AFA5A84" w14:textId="77777777" w:rsidR="00860F8E" w:rsidRPr="00053FD1" w:rsidRDefault="00860F8E" w:rsidP="005D646B">
            <w:pPr>
              <w:pStyle w:val="TableText"/>
              <w:rPr>
                <w:lang w:eastAsia="en-AU"/>
              </w:rPr>
            </w:pPr>
            <w:r w:rsidRPr="00053FD1">
              <w:rPr>
                <w:color w:val="000000"/>
                <w:lang w:eastAsia="en-AU"/>
              </w:rPr>
              <w:t>18</w:t>
            </w:r>
          </w:p>
        </w:tc>
        <w:tc>
          <w:tcPr>
            <w:tcW w:w="1254" w:type="dxa"/>
            <w:vAlign w:val="center"/>
          </w:tcPr>
          <w:p w14:paraId="416F42B5" w14:textId="77777777" w:rsidR="00860F8E" w:rsidRPr="00053FD1" w:rsidRDefault="00860F8E" w:rsidP="005D646B">
            <w:pPr>
              <w:pStyle w:val="TableText"/>
            </w:pPr>
            <w:r w:rsidRPr="00053FD1">
              <w:rPr>
                <w:color w:val="000000"/>
              </w:rPr>
              <w:t>7</w:t>
            </w:r>
          </w:p>
        </w:tc>
        <w:tc>
          <w:tcPr>
            <w:tcW w:w="1327" w:type="dxa"/>
            <w:shd w:val="clear" w:color="auto" w:fill="auto"/>
            <w:noWrap/>
            <w:vAlign w:val="center"/>
          </w:tcPr>
          <w:p w14:paraId="645F01E7" w14:textId="77777777" w:rsidR="00860F8E" w:rsidRPr="00053FD1" w:rsidRDefault="00860F8E" w:rsidP="005D646B">
            <w:pPr>
              <w:pStyle w:val="TableText"/>
            </w:pPr>
            <w:r w:rsidRPr="00053FD1">
              <w:rPr>
                <w:color w:val="000000"/>
              </w:rPr>
              <w:t>7</w:t>
            </w:r>
          </w:p>
        </w:tc>
        <w:tc>
          <w:tcPr>
            <w:tcW w:w="871" w:type="dxa"/>
            <w:shd w:val="clear" w:color="auto" w:fill="auto"/>
            <w:noWrap/>
            <w:vAlign w:val="center"/>
          </w:tcPr>
          <w:p w14:paraId="2BD8E731" w14:textId="77777777" w:rsidR="00860F8E" w:rsidRPr="00053FD1" w:rsidRDefault="00860F8E" w:rsidP="005D646B">
            <w:pPr>
              <w:pStyle w:val="TableText"/>
              <w:rPr>
                <w:lang w:eastAsia="en-AU"/>
              </w:rPr>
            </w:pPr>
            <w:r w:rsidRPr="00053FD1">
              <w:rPr>
                <w:color w:val="000000"/>
                <w:lang w:eastAsia="en-AU"/>
              </w:rPr>
              <w:t>1</w:t>
            </w:r>
          </w:p>
        </w:tc>
        <w:tc>
          <w:tcPr>
            <w:tcW w:w="1264" w:type="dxa"/>
            <w:shd w:val="clear" w:color="auto" w:fill="auto"/>
            <w:noWrap/>
            <w:vAlign w:val="center"/>
          </w:tcPr>
          <w:p w14:paraId="3B2A0856" w14:textId="77777777" w:rsidR="00860F8E" w:rsidRPr="00053FD1" w:rsidRDefault="00860F8E" w:rsidP="005D646B">
            <w:pPr>
              <w:pStyle w:val="TableText"/>
              <w:rPr>
                <w:lang w:eastAsia="en-AU"/>
              </w:rPr>
            </w:pPr>
            <w:r w:rsidRPr="00053FD1">
              <w:rPr>
                <w:color w:val="000000"/>
                <w:lang w:eastAsia="en-AU"/>
              </w:rPr>
              <w:t>16</w:t>
            </w:r>
          </w:p>
        </w:tc>
        <w:tc>
          <w:tcPr>
            <w:tcW w:w="845" w:type="dxa"/>
            <w:shd w:val="clear" w:color="auto" w:fill="auto"/>
            <w:noWrap/>
            <w:vAlign w:val="center"/>
          </w:tcPr>
          <w:p w14:paraId="568E944C" w14:textId="77777777" w:rsidR="00860F8E" w:rsidRPr="00053FD1" w:rsidRDefault="00860F8E" w:rsidP="005D646B">
            <w:pPr>
              <w:pStyle w:val="TableText"/>
            </w:pPr>
            <w:r w:rsidRPr="00053FD1">
              <w:rPr>
                <w:color w:val="000000"/>
              </w:rPr>
              <w:t>8</w:t>
            </w:r>
          </w:p>
        </w:tc>
        <w:tc>
          <w:tcPr>
            <w:tcW w:w="915" w:type="dxa"/>
            <w:shd w:val="clear" w:color="auto" w:fill="auto"/>
            <w:noWrap/>
            <w:vAlign w:val="center"/>
          </w:tcPr>
          <w:p w14:paraId="36DC0545" w14:textId="77777777" w:rsidR="00860F8E" w:rsidRPr="00053FD1" w:rsidRDefault="00860F8E" w:rsidP="005D646B">
            <w:pPr>
              <w:pStyle w:val="TableText"/>
            </w:pPr>
            <w:r w:rsidRPr="00053FD1">
              <w:rPr>
                <w:color w:val="000000"/>
              </w:rPr>
              <w:t>14</w:t>
            </w:r>
          </w:p>
        </w:tc>
        <w:tc>
          <w:tcPr>
            <w:tcW w:w="1154" w:type="dxa"/>
            <w:shd w:val="clear" w:color="auto" w:fill="auto"/>
            <w:noWrap/>
            <w:vAlign w:val="center"/>
          </w:tcPr>
          <w:p w14:paraId="31C303DB" w14:textId="77777777" w:rsidR="00860F8E" w:rsidRPr="00053FD1" w:rsidRDefault="00860F8E" w:rsidP="005D646B">
            <w:pPr>
              <w:pStyle w:val="TableText"/>
            </w:pPr>
            <w:r w:rsidRPr="00053FD1">
              <w:rPr>
                <w:color w:val="000000"/>
              </w:rPr>
              <w:t>3</w:t>
            </w:r>
          </w:p>
        </w:tc>
        <w:tc>
          <w:tcPr>
            <w:tcW w:w="685" w:type="dxa"/>
            <w:vAlign w:val="center"/>
          </w:tcPr>
          <w:p w14:paraId="2177AF98" w14:textId="77777777" w:rsidR="00860F8E" w:rsidRPr="00053FD1" w:rsidRDefault="00860F8E" w:rsidP="005D646B">
            <w:pPr>
              <w:pStyle w:val="TableText"/>
            </w:pPr>
            <w:r w:rsidRPr="00053FD1">
              <w:rPr>
                <w:color w:val="000000"/>
              </w:rPr>
              <w:t>79</w:t>
            </w:r>
          </w:p>
        </w:tc>
      </w:tr>
      <w:tr w:rsidR="00860F8E" w:rsidRPr="00053FD1" w14:paraId="2F085868" w14:textId="77777777" w:rsidTr="00A858B3">
        <w:trPr>
          <w:trHeight w:val="153"/>
        </w:trPr>
        <w:tc>
          <w:tcPr>
            <w:tcW w:w="2547" w:type="dxa"/>
            <w:shd w:val="clear" w:color="auto" w:fill="auto"/>
            <w:noWrap/>
            <w:vAlign w:val="center"/>
          </w:tcPr>
          <w:p w14:paraId="7071AA67" w14:textId="77777777" w:rsidR="00860F8E" w:rsidRPr="00053FD1" w:rsidRDefault="00860F8E" w:rsidP="005D646B">
            <w:pPr>
              <w:pStyle w:val="TableText"/>
            </w:pPr>
            <w:r w:rsidRPr="00053FD1">
              <w:t>Professional Services</w:t>
            </w:r>
          </w:p>
        </w:tc>
        <w:tc>
          <w:tcPr>
            <w:tcW w:w="1140" w:type="dxa"/>
            <w:shd w:val="clear" w:color="auto" w:fill="auto"/>
            <w:noWrap/>
            <w:vAlign w:val="center"/>
          </w:tcPr>
          <w:p w14:paraId="53A314B2" w14:textId="77777777" w:rsidR="00860F8E" w:rsidRPr="00053FD1" w:rsidRDefault="00860F8E" w:rsidP="005D646B">
            <w:pPr>
              <w:pStyle w:val="TableText"/>
            </w:pPr>
            <w:r w:rsidRPr="00053FD1">
              <w:rPr>
                <w:color w:val="000000"/>
              </w:rPr>
              <w:t>1</w:t>
            </w:r>
          </w:p>
        </w:tc>
        <w:tc>
          <w:tcPr>
            <w:tcW w:w="1128" w:type="dxa"/>
            <w:shd w:val="clear" w:color="auto" w:fill="auto"/>
            <w:noWrap/>
            <w:vAlign w:val="center"/>
          </w:tcPr>
          <w:p w14:paraId="325DE46E" w14:textId="77777777" w:rsidR="00860F8E" w:rsidRPr="00053FD1" w:rsidRDefault="00860F8E" w:rsidP="005D646B">
            <w:pPr>
              <w:pStyle w:val="TableText"/>
              <w:rPr>
                <w:lang w:eastAsia="en-AU"/>
              </w:rPr>
            </w:pPr>
            <w:r w:rsidRPr="00053FD1">
              <w:rPr>
                <w:color w:val="000000"/>
                <w:lang w:eastAsia="en-AU"/>
              </w:rPr>
              <w:t>2</w:t>
            </w:r>
          </w:p>
        </w:tc>
        <w:tc>
          <w:tcPr>
            <w:tcW w:w="1254" w:type="dxa"/>
            <w:vAlign w:val="center"/>
          </w:tcPr>
          <w:p w14:paraId="57111BCA" w14:textId="77777777" w:rsidR="00860F8E" w:rsidRPr="00053FD1" w:rsidRDefault="00860F8E" w:rsidP="005D646B">
            <w:pPr>
              <w:pStyle w:val="TableText"/>
            </w:pPr>
            <w:r w:rsidRPr="00053FD1">
              <w:t>–</w:t>
            </w:r>
          </w:p>
        </w:tc>
        <w:tc>
          <w:tcPr>
            <w:tcW w:w="1327" w:type="dxa"/>
            <w:shd w:val="clear" w:color="auto" w:fill="auto"/>
            <w:noWrap/>
            <w:vAlign w:val="center"/>
          </w:tcPr>
          <w:p w14:paraId="4663E754" w14:textId="77777777" w:rsidR="00860F8E" w:rsidRPr="00053FD1" w:rsidRDefault="00860F8E" w:rsidP="005D646B">
            <w:pPr>
              <w:pStyle w:val="TableText"/>
            </w:pPr>
            <w:r w:rsidRPr="00053FD1">
              <w:rPr>
                <w:color w:val="000000"/>
              </w:rPr>
              <w:t>8</w:t>
            </w:r>
          </w:p>
        </w:tc>
        <w:tc>
          <w:tcPr>
            <w:tcW w:w="871" w:type="dxa"/>
            <w:shd w:val="clear" w:color="auto" w:fill="auto"/>
            <w:noWrap/>
            <w:vAlign w:val="center"/>
          </w:tcPr>
          <w:p w14:paraId="01AE5E48" w14:textId="77777777" w:rsidR="00860F8E" w:rsidRPr="00053FD1" w:rsidRDefault="00860F8E" w:rsidP="005D646B">
            <w:pPr>
              <w:pStyle w:val="TableText"/>
              <w:rPr>
                <w:lang w:eastAsia="en-AU"/>
              </w:rPr>
            </w:pPr>
            <w:r w:rsidRPr="00053FD1">
              <w:t>–</w:t>
            </w:r>
          </w:p>
        </w:tc>
        <w:tc>
          <w:tcPr>
            <w:tcW w:w="1264" w:type="dxa"/>
            <w:shd w:val="clear" w:color="auto" w:fill="auto"/>
            <w:noWrap/>
            <w:vAlign w:val="center"/>
          </w:tcPr>
          <w:p w14:paraId="19639EB0" w14:textId="77777777" w:rsidR="00860F8E" w:rsidRPr="00053FD1" w:rsidRDefault="00860F8E" w:rsidP="005D646B">
            <w:pPr>
              <w:pStyle w:val="TableText"/>
              <w:rPr>
                <w:lang w:eastAsia="en-AU"/>
              </w:rPr>
            </w:pPr>
            <w:r w:rsidRPr="00053FD1">
              <w:t>–</w:t>
            </w:r>
          </w:p>
        </w:tc>
        <w:tc>
          <w:tcPr>
            <w:tcW w:w="845" w:type="dxa"/>
            <w:shd w:val="clear" w:color="auto" w:fill="auto"/>
            <w:noWrap/>
            <w:vAlign w:val="center"/>
          </w:tcPr>
          <w:p w14:paraId="1DCB9810" w14:textId="77777777" w:rsidR="00860F8E" w:rsidRPr="00053FD1" w:rsidRDefault="00860F8E" w:rsidP="005D646B">
            <w:pPr>
              <w:pStyle w:val="TableText"/>
            </w:pPr>
            <w:r w:rsidRPr="00053FD1">
              <w:rPr>
                <w:color w:val="000000"/>
              </w:rPr>
              <w:t>1</w:t>
            </w:r>
          </w:p>
        </w:tc>
        <w:tc>
          <w:tcPr>
            <w:tcW w:w="915" w:type="dxa"/>
            <w:shd w:val="clear" w:color="auto" w:fill="auto"/>
            <w:noWrap/>
            <w:vAlign w:val="center"/>
          </w:tcPr>
          <w:p w14:paraId="26956B4A" w14:textId="77777777" w:rsidR="00860F8E" w:rsidRPr="00053FD1" w:rsidRDefault="00860F8E" w:rsidP="005D646B">
            <w:pPr>
              <w:pStyle w:val="TableText"/>
            </w:pPr>
            <w:r w:rsidRPr="00053FD1">
              <w:t>–</w:t>
            </w:r>
          </w:p>
        </w:tc>
        <w:tc>
          <w:tcPr>
            <w:tcW w:w="1154" w:type="dxa"/>
            <w:shd w:val="clear" w:color="auto" w:fill="auto"/>
            <w:noWrap/>
            <w:vAlign w:val="center"/>
          </w:tcPr>
          <w:p w14:paraId="4D41C8AE" w14:textId="77777777" w:rsidR="00860F8E" w:rsidRPr="00053FD1" w:rsidRDefault="00860F8E" w:rsidP="005D646B">
            <w:pPr>
              <w:pStyle w:val="TableText"/>
            </w:pPr>
            <w:r w:rsidRPr="00053FD1">
              <w:t>–</w:t>
            </w:r>
          </w:p>
        </w:tc>
        <w:tc>
          <w:tcPr>
            <w:tcW w:w="685" w:type="dxa"/>
            <w:vAlign w:val="center"/>
          </w:tcPr>
          <w:p w14:paraId="6FBC8A08" w14:textId="77777777" w:rsidR="00860F8E" w:rsidRPr="00053FD1" w:rsidRDefault="00860F8E" w:rsidP="005D646B">
            <w:pPr>
              <w:pStyle w:val="TableText"/>
            </w:pPr>
            <w:r w:rsidRPr="00053FD1">
              <w:rPr>
                <w:color w:val="000000"/>
              </w:rPr>
              <w:t>12</w:t>
            </w:r>
          </w:p>
        </w:tc>
      </w:tr>
      <w:tr w:rsidR="00860F8E" w:rsidRPr="00053FD1" w14:paraId="179AAFC0" w14:textId="77777777" w:rsidTr="00A858B3">
        <w:trPr>
          <w:trHeight w:val="153"/>
        </w:trPr>
        <w:tc>
          <w:tcPr>
            <w:tcW w:w="2547" w:type="dxa"/>
            <w:shd w:val="clear" w:color="auto" w:fill="auto"/>
            <w:noWrap/>
            <w:vAlign w:val="center"/>
          </w:tcPr>
          <w:p w14:paraId="6E345F3A" w14:textId="77777777" w:rsidR="00860F8E" w:rsidRPr="00053FD1" w:rsidRDefault="00860F8E" w:rsidP="005D646B">
            <w:pPr>
              <w:pStyle w:val="TableText"/>
            </w:pPr>
            <w:r w:rsidRPr="00053FD1">
              <w:t>National Office Manager</w:t>
            </w:r>
          </w:p>
        </w:tc>
        <w:tc>
          <w:tcPr>
            <w:tcW w:w="1140" w:type="dxa"/>
            <w:shd w:val="clear" w:color="auto" w:fill="auto"/>
            <w:noWrap/>
            <w:vAlign w:val="center"/>
          </w:tcPr>
          <w:p w14:paraId="6A361EEA" w14:textId="77777777" w:rsidR="00860F8E" w:rsidRPr="00053FD1" w:rsidRDefault="00860F8E" w:rsidP="005D646B">
            <w:pPr>
              <w:pStyle w:val="TableText"/>
            </w:pPr>
            <w:r w:rsidRPr="00053FD1">
              <w:t>–</w:t>
            </w:r>
          </w:p>
        </w:tc>
        <w:tc>
          <w:tcPr>
            <w:tcW w:w="1128" w:type="dxa"/>
            <w:shd w:val="clear" w:color="auto" w:fill="auto"/>
            <w:noWrap/>
            <w:vAlign w:val="center"/>
          </w:tcPr>
          <w:p w14:paraId="394CF81C" w14:textId="77777777" w:rsidR="00860F8E" w:rsidRPr="00053FD1" w:rsidRDefault="00860F8E" w:rsidP="005D646B">
            <w:pPr>
              <w:pStyle w:val="TableText"/>
              <w:rPr>
                <w:lang w:eastAsia="en-AU"/>
              </w:rPr>
            </w:pPr>
            <w:r w:rsidRPr="00053FD1">
              <w:rPr>
                <w:color w:val="000000"/>
                <w:lang w:eastAsia="en-AU"/>
              </w:rPr>
              <w:t>2</w:t>
            </w:r>
          </w:p>
        </w:tc>
        <w:tc>
          <w:tcPr>
            <w:tcW w:w="1254" w:type="dxa"/>
            <w:vAlign w:val="center"/>
          </w:tcPr>
          <w:p w14:paraId="58D722BC" w14:textId="77777777" w:rsidR="00860F8E" w:rsidRPr="00053FD1" w:rsidRDefault="00860F8E" w:rsidP="005D646B">
            <w:pPr>
              <w:pStyle w:val="TableText"/>
            </w:pPr>
            <w:r w:rsidRPr="00053FD1">
              <w:t>–</w:t>
            </w:r>
          </w:p>
        </w:tc>
        <w:tc>
          <w:tcPr>
            <w:tcW w:w="1327" w:type="dxa"/>
            <w:shd w:val="clear" w:color="auto" w:fill="auto"/>
            <w:noWrap/>
            <w:vAlign w:val="center"/>
          </w:tcPr>
          <w:p w14:paraId="505C7AF6" w14:textId="77777777" w:rsidR="00860F8E" w:rsidRPr="00053FD1" w:rsidRDefault="00860F8E" w:rsidP="005D646B">
            <w:pPr>
              <w:pStyle w:val="TableText"/>
            </w:pPr>
            <w:r w:rsidRPr="00053FD1">
              <w:rPr>
                <w:color w:val="000000"/>
              </w:rPr>
              <w:t>17</w:t>
            </w:r>
          </w:p>
        </w:tc>
        <w:tc>
          <w:tcPr>
            <w:tcW w:w="871" w:type="dxa"/>
            <w:shd w:val="clear" w:color="auto" w:fill="auto"/>
            <w:noWrap/>
            <w:vAlign w:val="center"/>
          </w:tcPr>
          <w:p w14:paraId="06E60218" w14:textId="77777777" w:rsidR="00860F8E" w:rsidRPr="00053FD1" w:rsidRDefault="00860F8E" w:rsidP="005D646B">
            <w:pPr>
              <w:pStyle w:val="TableText"/>
              <w:rPr>
                <w:lang w:eastAsia="en-AU"/>
              </w:rPr>
            </w:pPr>
            <w:r w:rsidRPr="00053FD1">
              <w:t>–</w:t>
            </w:r>
          </w:p>
        </w:tc>
        <w:tc>
          <w:tcPr>
            <w:tcW w:w="1264" w:type="dxa"/>
            <w:shd w:val="clear" w:color="auto" w:fill="auto"/>
            <w:noWrap/>
            <w:vAlign w:val="center"/>
          </w:tcPr>
          <w:p w14:paraId="40EAF436" w14:textId="77777777" w:rsidR="00860F8E" w:rsidRPr="00053FD1" w:rsidRDefault="00860F8E" w:rsidP="005D646B">
            <w:pPr>
              <w:pStyle w:val="TableText"/>
              <w:rPr>
                <w:lang w:eastAsia="en-AU"/>
              </w:rPr>
            </w:pPr>
            <w:r w:rsidRPr="00053FD1">
              <w:rPr>
                <w:color w:val="000000"/>
                <w:lang w:eastAsia="en-AU"/>
              </w:rPr>
              <w:t>1</w:t>
            </w:r>
          </w:p>
        </w:tc>
        <w:tc>
          <w:tcPr>
            <w:tcW w:w="845" w:type="dxa"/>
            <w:shd w:val="clear" w:color="auto" w:fill="auto"/>
            <w:noWrap/>
            <w:vAlign w:val="center"/>
          </w:tcPr>
          <w:p w14:paraId="10A79CE1" w14:textId="77777777" w:rsidR="00860F8E" w:rsidRPr="00053FD1" w:rsidRDefault="00860F8E" w:rsidP="005D646B">
            <w:pPr>
              <w:pStyle w:val="TableText"/>
            </w:pPr>
            <w:r w:rsidRPr="00053FD1">
              <w:t>–</w:t>
            </w:r>
          </w:p>
        </w:tc>
        <w:tc>
          <w:tcPr>
            <w:tcW w:w="915" w:type="dxa"/>
            <w:shd w:val="clear" w:color="auto" w:fill="auto"/>
            <w:noWrap/>
            <w:vAlign w:val="center"/>
          </w:tcPr>
          <w:p w14:paraId="093A0E60" w14:textId="77777777" w:rsidR="00860F8E" w:rsidRPr="00053FD1" w:rsidRDefault="00860F8E" w:rsidP="005D646B">
            <w:pPr>
              <w:pStyle w:val="TableText"/>
            </w:pPr>
            <w:r w:rsidRPr="00053FD1">
              <w:t>–</w:t>
            </w:r>
          </w:p>
        </w:tc>
        <w:tc>
          <w:tcPr>
            <w:tcW w:w="1154" w:type="dxa"/>
            <w:shd w:val="clear" w:color="auto" w:fill="auto"/>
            <w:noWrap/>
            <w:vAlign w:val="center"/>
          </w:tcPr>
          <w:p w14:paraId="134639EA" w14:textId="77777777" w:rsidR="00860F8E" w:rsidRPr="00053FD1" w:rsidRDefault="00860F8E" w:rsidP="005D646B">
            <w:pPr>
              <w:pStyle w:val="TableText"/>
            </w:pPr>
            <w:r w:rsidRPr="00053FD1">
              <w:t>–</w:t>
            </w:r>
          </w:p>
        </w:tc>
        <w:tc>
          <w:tcPr>
            <w:tcW w:w="685" w:type="dxa"/>
            <w:vAlign w:val="center"/>
          </w:tcPr>
          <w:p w14:paraId="082892F7" w14:textId="77777777" w:rsidR="00860F8E" w:rsidRPr="00053FD1" w:rsidRDefault="00860F8E" w:rsidP="005D646B">
            <w:pPr>
              <w:pStyle w:val="TableText"/>
            </w:pPr>
            <w:r w:rsidRPr="00053FD1">
              <w:rPr>
                <w:color w:val="000000"/>
              </w:rPr>
              <w:t>20</w:t>
            </w:r>
          </w:p>
        </w:tc>
      </w:tr>
      <w:tr w:rsidR="00860F8E" w:rsidRPr="00053FD1" w14:paraId="14A7F1F8" w14:textId="77777777" w:rsidTr="00A858B3">
        <w:trPr>
          <w:trHeight w:val="153"/>
        </w:trPr>
        <w:tc>
          <w:tcPr>
            <w:tcW w:w="2547" w:type="dxa"/>
            <w:shd w:val="clear" w:color="auto" w:fill="auto"/>
            <w:noWrap/>
            <w:vAlign w:val="center"/>
          </w:tcPr>
          <w:p w14:paraId="24551E10" w14:textId="77777777" w:rsidR="00860F8E" w:rsidRPr="00053FD1" w:rsidRDefault="00860F8E" w:rsidP="005D646B">
            <w:pPr>
              <w:pStyle w:val="TableText"/>
            </w:pPr>
            <w:r w:rsidRPr="00053FD1">
              <w:t>Senior Management</w:t>
            </w:r>
          </w:p>
        </w:tc>
        <w:tc>
          <w:tcPr>
            <w:tcW w:w="1140" w:type="dxa"/>
            <w:shd w:val="clear" w:color="auto" w:fill="auto"/>
            <w:noWrap/>
            <w:vAlign w:val="center"/>
          </w:tcPr>
          <w:p w14:paraId="706EFFF6" w14:textId="77777777" w:rsidR="00860F8E" w:rsidRPr="00053FD1" w:rsidRDefault="00860F8E" w:rsidP="005D646B">
            <w:pPr>
              <w:pStyle w:val="TableText"/>
            </w:pPr>
            <w:r w:rsidRPr="00053FD1">
              <w:rPr>
                <w:color w:val="000000"/>
              </w:rPr>
              <w:t>_</w:t>
            </w:r>
          </w:p>
        </w:tc>
        <w:tc>
          <w:tcPr>
            <w:tcW w:w="1128" w:type="dxa"/>
            <w:shd w:val="clear" w:color="auto" w:fill="auto"/>
            <w:noWrap/>
            <w:vAlign w:val="center"/>
          </w:tcPr>
          <w:p w14:paraId="6D5E6A63" w14:textId="77777777" w:rsidR="00860F8E" w:rsidRPr="00053FD1" w:rsidRDefault="00860F8E" w:rsidP="005D646B">
            <w:pPr>
              <w:pStyle w:val="TableText"/>
            </w:pPr>
            <w:r w:rsidRPr="00053FD1">
              <w:rPr>
                <w:color w:val="000000"/>
              </w:rPr>
              <w:t>4</w:t>
            </w:r>
          </w:p>
        </w:tc>
        <w:tc>
          <w:tcPr>
            <w:tcW w:w="1254" w:type="dxa"/>
            <w:vAlign w:val="center"/>
          </w:tcPr>
          <w:p w14:paraId="5A245911" w14:textId="77777777" w:rsidR="00860F8E" w:rsidRPr="00053FD1" w:rsidRDefault="00860F8E" w:rsidP="005D646B">
            <w:pPr>
              <w:pStyle w:val="TableText"/>
              <w:rPr>
                <w:lang w:eastAsia="en-AU"/>
              </w:rPr>
            </w:pPr>
            <w:r w:rsidRPr="00053FD1">
              <w:rPr>
                <w:color w:val="000000"/>
                <w:lang w:eastAsia="en-AU"/>
              </w:rPr>
              <w:t>2</w:t>
            </w:r>
          </w:p>
        </w:tc>
        <w:tc>
          <w:tcPr>
            <w:tcW w:w="1327" w:type="dxa"/>
            <w:shd w:val="clear" w:color="auto" w:fill="auto"/>
            <w:noWrap/>
            <w:vAlign w:val="center"/>
          </w:tcPr>
          <w:p w14:paraId="3F79B9D1" w14:textId="77777777" w:rsidR="00860F8E" w:rsidRPr="00053FD1" w:rsidRDefault="00860F8E" w:rsidP="005D646B">
            <w:pPr>
              <w:pStyle w:val="TableText"/>
            </w:pPr>
            <w:r w:rsidRPr="00053FD1">
              <w:rPr>
                <w:color w:val="000000"/>
              </w:rPr>
              <w:t>26</w:t>
            </w:r>
          </w:p>
        </w:tc>
        <w:tc>
          <w:tcPr>
            <w:tcW w:w="871" w:type="dxa"/>
            <w:shd w:val="clear" w:color="auto" w:fill="auto"/>
            <w:noWrap/>
            <w:vAlign w:val="center"/>
          </w:tcPr>
          <w:p w14:paraId="3BDA5C32" w14:textId="77777777" w:rsidR="00860F8E" w:rsidRPr="00053FD1" w:rsidRDefault="00860F8E" w:rsidP="005D646B">
            <w:pPr>
              <w:pStyle w:val="TableText"/>
            </w:pPr>
            <w:r w:rsidRPr="00053FD1">
              <w:t>–</w:t>
            </w:r>
          </w:p>
        </w:tc>
        <w:tc>
          <w:tcPr>
            <w:tcW w:w="1264" w:type="dxa"/>
            <w:shd w:val="clear" w:color="auto" w:fill="auto"/>
            <w:noWrap/>
            <w:vAlign w:val="center"/>
          </w:tcPr>
          <w:p w14:paraId="430FB8C4" w14:textId="77777777" w:rsidR="00860F8E" w:rsidRPr="00053FD1" w:rsidRDefault="00860F8E" w:rsidP="005D646B">
            <w:pPr>
              <w:pStyle w:val="TableText"/>
            </w:pPr>
            <w:r w:rsidRPr="00053FD1">
              <w:rPr>
                <w:color w:val="000000"/>
              </w:rPr>
              <w:t>2</w:t>
            </w:r>
          </w:p>
        </w:tc>
        <w:tc>
          <w:tcPr>
            <w:tcW w:w="845" w:type="dxa"/>
            <w:shd w:val="clear" w:color="auto" w:fill="auto"/>
            <w:noWrap/>
            <w:vAlign w:val="center"/>
          </w:tcPr>
          <w:p w14:paraId="4D2FFF6F" w14:textId="77777777" w:rsidR="00860F8E" w:rsidRPr="00053FD1" w:rsidRDefault="00860F8E" w:rsidP="005D646B">
            <w:pPr>
              <w:pStyle w:val="TableText"/>
            </w:pPr>
            <w:r w:rsidRPr="00053FD1">
              <w:rPr>
                <w:color w:val="000000"/>
              </w:rPr>
              <w:t>_</w:t>
            </w:r>
          </w:p>
        </w:tc>
        <w:tc>
          <w:tcPr>
            <w:tcW w:w="915" w:type="dxa"/>
            <w:shd w:val="clear" w:color="auto" w:fill="auto"/>
            <w:noWrap/>
            <w:vAlign w:val="center"/>
          </w:tcPr>
          <w:p w14:paraId="4567230F" w14:textId="77777777" w:rsidR="00860F8E" w:rsidRPr="00053FD1" w:rsidRDefault="00860F8E" w:rsidP="005D646B">
            <w:pPr>
              <w:pStyle w:val="TableText"/>
            </w:pPr>
            <w:r w:rsidRPr="00053FD1">
              <w:rPr>
                <w:color w:val="000000"/>
              </w:rPr>
              <w:t>1</w:t>
            </w:r>
          </w:p>
        </w:tc>
        <w:tc>
          <w:tcPr>
            <w:tcW w:w="1154" w:type="dxa"/>
            <w:shd w:val="clear" w:color="auto" w:fill="auto"/>
            <w:noWrap/>
            <w:vAlign w:val="center"/>
          </w:tcPr>
          <w:p w14:paraId="20B8D935" w14:textId="77777777" w:rsidR="00860F8E" w:rsidRPr="00053FD1" w:rsidRDefault="00860F8E" w:rsidP="005D646B">
            <w:pPr>
              <w:pStyle w:val="TableText"/>
              <w:rPr>
                <w:lang w:eastAsia="en-AU"/>
              </w:rPr>
            </w:pPr>
            <w:r w:rsidRPr="00053FD1">
              <w:t>–</w:t>
            </w:r>
          </w:p>
        </w:tc>
        <w:tc>
          <w:tcPr>
            <w:tcW w:w="685" w:type="dxa"/>
            <w:vAlign w:val="center"/>
          </w:tcPr>
          <w:p w14:paraId="6E71892A" w14:textId="77777777" w:rsidR="00860F8E" w:rsidRPr="00053FD1" w:rsidRDefault="00860F8E" w:rsidP="005D646B">
            <w:pPr>
              <w:pStyle w:val="TableText"/>
            </w:pPr>
            <w:r w:rsidRPr="00053FD1">
              <w:rPr>
                <w:color w:val="000000"/>
              </w:rPr>
              <w:t>35</w:t>
            </w:r>
          </w:p>
        </w:tc>
      </w:tr>
      <w:tr w:rsidR="00860F8E" w:rsidRPr="00053FD1" w14:paraId="38E07E90" w14:textId="77777777" w:rsidTr="00A858B3">
        <w:trPr>
          <w:trHeight w:val="153"/>
        </w:trPr>
        <w:tc>
          <w:tcPr>
            <w:tcW w:w="2547" w:type="dxa"/>
            <w:shd w:val="clear" w:color="auto" w:fill="auto"/>
            <w:noWrap/>
            <w:vAlign w:val="center"/>
          </w:tcPr>
          <w:p w14:paraId="09FA652E" w14:textId="77777777" w:rsidR="00860F8E" w:rsidRPr="00053FD1" w:rsidRDefault="00860F8E" w:rsidP="005D646B">
            <w:pPr>
              <w:pStyle w:val="TableText"/>
            </w:pPr>
            <w:r w:rsidRPr="00053FD1">
              <w:t>Other classifications</w:t>
            </w:r>
          </w:p>
        </w:tc>
        <w:tc>
          <w:tcPr>
            <w:tcW w:w="1140" w:type="dxa"/>
            <w:shd w:val="clear" w:color="auto" w:fill="auto"/>
            <w:noWrap/>
            <w:vAlign w:val="center"/>
          </w:tcPr>
          <w:p w14:paraId="66083E05" w14:textId="77777777" w:rsidR="00860F8E" w:rsidRPr="00053FD1" w:rsidRDefault="00860F8E" w:rsidP="005D646B">
            <w:pPr>
              <w:pStyle w:val="TableText"/>
              <w:rPr>
                <w:color w:val="000000"/>
              </w:rPr>
            </w:pPr>
            <w:r w:rsidRPr="00053FD1">
              <w:rPr>
                <w:color w:val="000000"/>
              </w:rPr>
              <w:t>4</w:t>
            </w:r>
          </w:p>
        </w:tc>
        <w:tc>
          <w:tcPr>
            <w:tcW w:w="1128" w:type="dxa"/>
            <w:shd w:val="clear" w:color="auto" w:fill="auto"/>
            <w:noWrap/>
            <w:vAlign w:val="center"/>
          </w:tcPr>
          <w:p w14:paraId="65403B60" w14:textId="77777777" w:rsidR="00860F8E" w:rsidRPr="00053FD1" w:rsidRDefault="00860F8E" w:rsidP="005D646B">
            <w:pPr>
              <w:pStyle w:val="TableText"/>
              <w:rPr>
                <w:color w:val="000000"/>
              </w:rPr>
            </w:pPr>
            <w:r w:rsidRPr="00053FD1">
              <w:rPr>
                <w:color w:val="000000"/>
              </w:rPr>
              <w:t>72</w:t>
            </w:r>
          </w:p>
        </w:tc>
        <w:tc>
          <w:tcPr>
            <w:tcW w:w="1254" w:type="dxa"/>
            <w:vAlign w:val="center"/>
          </w:tcPr>
          <w:p w14:paraId="6C32D1DA" w14:textId="77777777" w:rsidR="00860F8E" w:rsidRPr="00053FD1" w:rsidRDefault="00860F8E" w:rsidP="005D646B">
            <w:pPr>
              <w:pStyle w:val="TableText"/>
              <w:rPr>
                <w:color w:val="000000"/>
                <w:lang w:eastAsia="en-AU"/>
              </w:rPr>
            </w:pPr>
            <w:r w:rsidRPr="00053FD1">
              <w:rPr>
                <w:color w:val="000000"/>
              </w:rPr>
              <w:t>4</w:t>
            </w:r>
          </w:p>
        </w:tc>
        <w:tc>
          <w:tcPr>
            <w:tcW w:w="1327" w:type="dxa"/>
            <w:shd w:val="clear" w:color="auto" w:fill="auto"/>
            <w:noWrap/>
            <w:vAlign w:val="center"/>
          </w:tcPr>
          <w:p w14:paraId="74A97B53" w14:textId="77777777" w:rsidR="00860F8E" w:rsidRPr="00053FD1" w:rsidRDefault="00860F8E" w:rsidP="005D646B">
            <w:pPr>
              <w:pStyle w:val="TableText"/>
              <w:rPr>
                <w:color w:val="000000"/>
              </w:rPr>
            </w:pPr>
            <w:r w:rsidRPr="00053FD1">
              <w:rPr>
                <w:color w:val="000000"/>
              </w:rPr>
              <w:t>304</w:t>
            </w:r>
          </w:p>
        </w:tc>
        <w:tc>
          <w:tcPr>
            <w:tcW w:w="871" w:type="dxa"/>
            <w:shd w:val="clear" w:color="auto" w:fill="auto"/>
            <w:noWrap/>
            <w:vAlign w:val="center"/>
          </w:tcPr>
          <w:p w14:paraId="24ED04FB" w14:textId="77777777" w:rsidR="00860F8E" w:rsidRPr="00053FD1" w:rsidRDefault="00860F8E" w:rsidP="005D646B">
            <w:pPr>
              <w:pStyle w:val="TableText"/>
            </w:pPr>
            <w:r w:rsidRPr="00053FD1">
              <w:rPr>
                <w:color w:val="000000"/>
                <w:lang w:eastAsia="en-AU"/>
              </w:rPr>
              <w:t>2</w:t>
            </w:r>
          </w:p>
        </w:tc>
        <w:tc>
          <w:tcPr>
            <w:tcW w:w="1264" w:type="dxa"/>
            <w:shd w:val="clear" w:color="auto" w:fill="auto"/>
            <w:noWrap/>
            <w:vAlign w:val="center"/>
          </w:tcPr>
          <w:p w14:paraId="33E4E554" w14:textId="77777777" w:rsidR="00860F8E" w:rsidRPr="00053FD1" w:rsidRDefault="00860F8E" w:rsidP="005D646B">
            <w:pPr>
              <w:pStyle w:val="TableText"/>
              <w:rPr>
                <w:color w:val="000000"/>
              </w:rPr>
            </w:pPr>
            <w:r w:rsidRPr="00053FD1">
              <w:rPr>
                <w:color w:val="000000"/>
              </w:rPr>
              <w:t>17</w:t>
            </w:r>
          </w:p>
        </w:tc>
        <w:tc>
          <w:tcPr>
            <w:tcW w:w="845" w:type="dxa"/>
            <w:shd w:val="clear" w:color="auto" w:fill="auto"/>
            <w:noWrap/>
            <w:vAlign w:val="center"/>
          </w:tcPr>
          <w:p w14:paraId="6F3EA0AE" w14:textId="77777777" w:rsidR="00860F8E" w:rsidRPr="00053FD1" w:rsidRDefault="00860F8E" w:rsidP="005D646B">
            <w:pPr>
              <w:pStyle w:val="TableText"/>
              <w:rPr>
                <w:color w:val="000000"/>
              </w:rPr>
            </w:pPr>
            <w:r w:rsidRPr="00053FD1">
              <w:rPr>
                <w:color w:val="000000"/>
              </w:rPr>
              <w:t>5</w:t>
            </w:r>
          </w:p>
        </w:tc>
        <w:tc>
          <w:tcPr>
            <w:tcW w:w="915" w:type="dxa"/>
            <w:shd w:val="clear" w:color="auto" w:fill="auto"/>
            <w:noWrap/>
            <w:vAlign w:val="center"/>
          </w:tcPr>
          <w:p w14:paraId="50A712E5" w14:textId="77777777" w:rsidR="00860F8E" w:rsidRPr="00053FD1" w:rsidRDefault="00860F8E" w:rsidP="005D646B">
            <w:pPr>
              <w:pStyle w:val="TableText"/>
              <w:rPr>
                <w:color w:val="000000"/>
              </w:rPr>
            </w:pPr>
            <w:r w:rsidRPr="00053FD1">
              <w:rPr>
                <w:color w:val="000000"/>
              </w:rPr>
              <w:t>14</w:t>
            </w:r>
          </w:p>
        </w:tc>
        <w:tc>
          <w:tcPr>
            <w:tcW w:w="1154" w:type="dxa"/>
            <w:shd w:val="clear" w:color="auto" w:fill="auto"/>
            <w:noWrap/>
            <w:vAlign w:val="center"/>
          </w:tcPr>
          <w:p w14:paraId="348CB362" w14:textId="77777777" w:rsidR="00860F8E" w:rsidRPr="00053FD1" w:rsidRDefault="00860F8E" w:rsidP="005D646B">
            <w:pPr>
              <w:pStyle w:val="TableText"/>
              <w:rPr>
                <w:lang w:eastAsia="en-AU"/>
              </w:rPr>
            </w:pPr>
            <w:r w:rsidRPr="00053FD1">
              <w:rPr>
                <w:color w:val="000000"/>
              </w:rPr>
              <w:t>1</w:t>
            </w:r>
          </w:p>
        </w:tc>
        <w:tc>
          <w:tcPr>
            <w:tcW w:w="685" w:type="dxa"/>
            <w:vAlign w:val="center"/>
          </w:tcPr>
          <w:p w14:paraId="14CA886D" w14:textId="77777777" w:rsidR="00860F8E" w:rsidRPr="00053FD1" w:rsidRDefault="00860F8E" w:rsidP="005D646B">
            <w:pPr>
              <w:pStyle w:val="TableText"/>
              <w:rPr>
                <w:color w:val="000000"/>
              </w:rPr>
            </w:pPr>
            <w:r w:rsidRPr="00053FD1">
              <w:rPr>
                <w:color w:val="000000"/>
              </w:rPr>
              <w:t>423</w:t>
            </w:r>
          </w:p>
        </w:tc>
      </w:tr>
      <w:tr w:rsidR="00860F8E" w:rsidRPr="00053FD1" w14:paraId="6C695660" w14:textId="77777777" w:rsidTr="00A858B3">
        <w:trPr>
          <w:trHeight w:val="153"/>
        </w:trPr>
        <w:tc>
          <w:tcPr>
            <w:tcW w:w="2547" w:type="dxa"/>
            <w:shd w:val="clear" w:color="auto" w:fill="auto"/>
            <w:noWrap/>
            <w:vAlign w:val="center"/>
            <w:hideMark/>
          </w:tcPr>
          <w:p w14:paraId="1764204C" w14:textId="77777777" w:rsidR="00860F8E" w:rsidRPr="00A858B3" w:rsidRDefault="00860F8E" w:rsidP="005D646B">
            <w:pPr>
              <w:pStyle w:val="TableText"/>
            </w:pPr>
            <w:r w:rsidRPr="00A858B3">
              <w:t>Total</w:t>
            </w:r>
          </w:p>
        </w:tc>
        <w:tc>
          <w:tcPr>
            <w:tcW w:w="1140" w:type="dxa"/>
            <w:shd w:val="clear" w:color="auto" w:fill="auto"/>
            <w:noWrap/>
            <w:vAlign w:val="center"/>
          </w:tcPr>
          <w:p w14:paraId="7737D01C" w14:textId="77777777" w:rsidR="00860F8E" w:rsidRPr="00053FD1" w:rsidRDefault="00860F8E" w:rsidP="005D646B">
            <w:pPr>
              <w:pStyle w:val="TableText"/>
              <w:rPr>
                <w:rFonts w:eastAsia="Times New Roman"/>
              </w:rPr>
            </w:pPr>
            <w:r w:rsidRPr="00053FD1">
              <w:rPr>
                <w:rFonts w:eastAsia="Times New Roman"/>
                <w:bCs/>
                <w:color w:val="000000"/>
              </w:rPr>
              <w:t>22</w:t>
            </w:r>
          </w:p>
        </w:tc>
        <w:tc>
          <w:tcPr>
            <w:tcW w:w="1128" w:type="dxa"/>
            <w:shd w:val="clear" w:color="auto" w:fill="auto"/>
            <w:noWrap/>
            <w:vAlign w:val="center"/>
          </w:tcPr>
          <w:p w14:paraId="3337AD78" w14:textId="77777777" w:rsidR="00860F8E" w:rsidRPr="00053FD1" w:rsidRDefault="00860F8E" w:rsidP="005D646B">
            <w:pPr>
              <w:pStyle w:val="TableText"/>
              <w:rPr>
                <w:rFonts w:eastAsia="Times New Roman"/>
                <w:lang w:eastAsia="en-AU"/>
              </w:rPr>
            </w:pPr>
            <w:r w:rsidRPr="00053FD1">
              <w:rPr>
                <w:rFonts w:eastAsia="Times New Roman"/>
                <w:bCs/>
                <w:color w:val="000000"/>
                <w:lang w:eastAsia="en-AU"/>
              </w:rPr>
              <w:t>171</w:t>
            </w:r>
          </w:p>
        </w:tc>
        <w:tc>
          <w:tcPr>
            <w:tcW w:w="1254" w:type="dxa"/>
            <w:vAlign w:val="center"/>
          </w:tcPr>
          <w:p w14:paraId="7A06B2A0" w14:textId="77777777" w:rsidR="00860F8E" w:rsidRPr="00053FD1" w:rsidRDefault="00860F8E" w:rsidP="005D646B">
            <w:pPr>
              <w:pStyle w:val="TableText"/>
              <w:rPr>
                <w:rFonts w:eastAsia="Times New Roman"/>
              </w:rPr>
            </w:pPr>
            <w:r w:rsidRPr="00053FD1">
              <w:rPr>
                <w:rFonts w:eastAsia="Times New Roman"/>
                <w:bCs/>
                <w:color w:val="000000"/>
              </w:rPr>
              <w:t>23</w:t>
            </w:r>
          </w:p>
        </w:tc>
        <w:tc>
          <w:tcPr>
            <w:tcW w:w="1327" w:type="dxa"/>
            <w:shd w:val="clear" w:color="auto" w:fill="auto"/>
            <w:noWrap/>
            <w:vAlign w:val="center"/>
          </w:tcPr>
          <w:p w14:paraId="6DFFA2C0" w14:textId="77777777" w:rsidR="00860F8E" w:rsidRPr="00053FD1" w:rsidRDefault="00860F8E" w:rsidP="005D646B">
            <w:pPr>
              <w:pStyle w:val="TableText"/>
              <w:rPr>
                <w:rFonts w:eastAsia="Times New Roman"/>
              </w:rPr>
            </w:pPr>
            <w:r w:rsidRPr="00053FD1">
              <w:rPr>
                <w:rFonts w:eastAsia="Times New Roman"/>
                <w:bCs/>
                <w:color w:val="000000"/>
              </w:rPr>
              <w:t>422</w:t>
            </w:r>
          </w:p>
        </w:tc>
        <w:tc>
          <w:tcPr>
            <w:tcW w:w="871" w:type="dxa"/>
            <w:shd w:val="clear" w:color="auto" w:fill="auto"/>
            <w:noWrap/>
            <w:vAlign w:val="center"/>
          </w:tcPr>
          <w:p w14:paraId="03139F0F" w14:textId="77777777" w:rsidR="00860F8E" w:rsidRPr="00053FD1" w:rsidRDefault="00860F8E" w:rsidP="005D646B">
            <w:pPr>
              <w:pStyle w:val="TableText"/>
              <w:rPr>
                <w:rFonts w:eastAsia="Times New Roman"/>
              </w:rPr>
            </w:pPr>
            <w:r w:rsidRPr="00053FD1">
              <w:rPr>
                <w:rFonts w:eastAsia="Times New Roman"/>
                <w:bCs/>
                <w:color w:val="000000"/>
              </w:rPr>
              <w:t>10</w:t>
            </w:r>
          </w:p>
        </w:tc>
        <w:tc>
          <w:tcPr>
            <w:tcW w:w="1264" w:type="dxa"/>
            <w:shd w:val="clear" w:color="auto" w:fill="auto"/>
            <w:noWrap/>
            <w:vAlign w:val="center"/>
          </w:tcPr>
          <w:p w14:paraId="22C9A6F1" w14:textId="77777777" w:rsidR="00860F8E" w:rsidRPr="00053FD1" w:rsidRDefault="00860F8E" w:rsidP="005D646B">
            <w:pPr>
              <w:pStyle w:val="TableText"/>
              <w:rPr>
                <w:rFonts w:eastAsia="Times New Roman"/>
              </w:rPr>
            </w:pPr>
            <w:r w:rsidRPr="00053FD1">
              <w:rPr>
                <w:rFonts w:eastAsia="Times New Roman"/>
                <w:bCs/>
                <w:color w:val="000000"/>
              </w:rPr>
              <w:t>78</w:t>
            </w:r>
          </w:p>
        </w:tc>
        <w:tc>
          <w:tcPr>
            <w:tcW w:w="845" w:type="dxa"/>
            <w:shd w:val="clear" w:color="auto" w:fill="auto"/>
            <w:noWrap/>
            <w:vAlign w:val="center"/>
          </w:tcPr>
          <w:p w14:paraId="2D1630A3" w14:textId="77777777" w:rsidR="00860F8E" w:rsidRPr="00053FD1" w:rsidRDefault="00860F8E" w:rsidP="005D646B">
            <w:pPr>
              <w:pStyle w:val="TableText"/>
              <w:rPr>
                <w:rFonts w:eastAsia="Times New Roman"/>
              </w:rPr>
            </w:pPr>
            <w:r w:rsidRPr="00053FD1">
              <w:rPr>
                <w:rFonts w:eastAsia="Times New Roman"/>
                <w:bCs/>
                <w:color w:val="000000"/>
              </w:rPr>
              <w:t>34</w:t>
            </w:r>
          </w:p>
        </w:tc>
        <w:tc>
          <w:tcPr>
            <w:tcW w:w="915" w:type="dxa"/>
            <w:shd w:val="clear" w:color="auto" w:fill="auto"/>
            <w:noWrap/>
            <w:vAlign w:val="center"/>
          </w:tcPr>
          <w:p w14:paraId="4754B9D3" w14:textId="77777777" w:rsidR="00860F8E" w:rsidRPr="00053FD1" w:rsidRDefault="00860F8E" w:rsidP="005D646B">
            <w:pPr>
              <w:pStyle w:val="TableText"/>
              <w:rPr>
                <w:rFonts w:eastAsia="Times New Roman"/>
              </w:rPr>
            </w:pPr>
            <w:r w:rsidRPr="00053FD1">
              <w:rPr>
                <w:rFonts w:eastAsia="Times New Roman"/>
                <w:bCs/>
                <w:color w:val="000000"/>
              </w:rPr>
              <w:t>65</w:t>
            </w:r>
          </w:p>
        </w:tc>
        <w:tc>
          <w:tcPr>
            <w:tcW w:w="1154" w:type="dxa"/>
            <w:shd w:val="clear" w:color="auto" w:fill="auto"/>
            <w:noWrap/>
            <w:vAlign w:val="center"/>
          </w:tcPr>
          <w:p w14:paraId="1869C0FA" w14:textId="77777777" w:rsidR="00860F8E" w:rsidRPr="00053FD1" w:rsidRDefault="00860F8E" w:rsidP="005D646B">
            <w:pPr>
              <w:pStyle w:val="TableText"/>
              <w:rPr>
                <w:rFonts w:eastAsia="Times New Roman"/>
                <w:lang w:eastAsia="en-AU"/>
              </w:rPr>
            </w:pPr>
            <w:r w:rsidRPr="00053FD1">
              <w:rPr>
                <w:rFonts w:eastAsia="Times New Roman"/>
                <w:bCs/>
                <w:color w:val="000000"/>
                <w:lang w:eastAsia="en-AU"/>
              </w:rPr>
              <w:t>7</w:t>
            </w:r>
          </w:p>
        </w:tc>
        <w:tc>
          <w:tcPr>
            <w:tcW w:w="685" w:type="dxa"/>
            <w:vAlign w:val="center"/>
          </w:tcPr>
          <w:p w14:paraId="2C1CEAD2" w14:textId="77777777" w:rsidR="00860F8E" w:rsidRPr="00053FD1" w:rsidRDefault="00860F8E" w:rsidP="005D646B">
            <w:pPr>
              <w:pStyle w:val="TableText"/>
            </w:pPr>
            <w:r w:rsidRPr="00053FD1">
              <w:rPr>
                <w:bCs/>
                <w:color w:val="000000"/>
              </w:rPr>
              <w:t>832</w:t>
            </w:r>
          </w:p>
        </w:tc>
      </w:tr>
    </w:tbl>
    <w:p w14:paraId="202383C8" w14:textId="77777777" w:rsidR="00860F8E" w:rsidRPr="000178FD" w:rsidRDefault="00860F8E" w:rsidP="00860F8E">
      <w:pPr>
        <w:keepLines/>
        <w:tabs>
          <w:tab w:val="left" w:pos="284"/>
          <w:tab w:val="left" w:pos="567"/>
        </w:tabs>
        <w:spacing w:before="60" w:after="360"/>
        <w:rPr>
          <w:rFonts w:ascii="Arial Narrow" w:eastAsia="Times New Roman" w:hAnsi="Arial Narrow"/>
          <w:sz w:val="16"/>
          <w:highlight w:val="yellow"/>
        </w:rPr>
      </w:pPr>
    </w:p>
    <w:p w14:paraId="0D836082" w14:textId="77777777" w:rsidR="00860F8E" w:rsidRPr="00053FD1" w:rsidRDefault="00860F8E" w:rsidP="00860F8E">
      <w:pPr>
        <w:pStyle w:val="TableName"/>
      </w:pPr>
      <w:r w:rsidRPr="00053FD1">
        <w:lastRenderedPageBreak/>
        <w:t>Table B.2</w:t>
      </w:r>
      <w:r w:rsidRPr="00053FD1">
        <w:tab/>
        <w:t xml:space="preserve">Permanent and temporary employees by classification and gender at 30 June </w:t>
      </w:r>
      <w:r>
        <w:t>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1442"/>
        <w:gridCol w:w="1443"/>
        <w:gridCol w:w="1443"/>
        <w:gridCol w:w="1377"/>
        <w:gridCol w:w="1377"/>
        <w:gridCol w:w="1377"/>
        <w:gridCol w:w="1372"/>
      </w:tblGrid>
      <w:tr w:rsidR="00860F8E" w:rsidRPr="00053FD1" w14:paraId="64E086CE" w14:textId="77777777" w:rsidTr="00A858B3">
        <w:trPr>
          <w:trHeight w:val="234"/>
          <w:tblHeader/>
        </w:trPr>
        <w:tc>
          <w:tcPr>
            <w:tcW w:w="4786" w:type="dxa"/>
            <w:shd w:val="clear" w:color="auto" w:fill="auto"/>
            <w:noWrap/>
            <w:vAlign w:val="bottom"/>
            <w:hideMark/>
          </w:tcPr>
          <w:p w14:paraId="041A0E55" w14:textId="77777777" w:rsidR="00860F8E" w:rsidRPr="005D646B" w:rsidRDefault="00860F8E" w:rsidP="005D646B">
            <w:pPr>
              <w:pStyle w:val="TableText"/>
              <w:rPr>
                <w:b/>
              </w:rPr>
            </w:pPr>
          </w:p>
        </w:tc>
        <w:tc>
          <w:tcPr>
            <w:tcW w:w="4394" w:type="dxa"/>
            <w:gridSpan w:val="3"/>
          </w:tcPr>
          <w:p w14:paraId="76A481B5" w14:textId="77777777" w:rsidR="00860F8E" w:rsidRPr="005D646B" w:rsidRDefault="00860F8E" w:rsidP="005D646B">
            <w:pPr>
              <w:pStyle w:val="TableText"/>
              <w:rPr>
                <w:b/>
              </w:rPr>
            </w:pPr>
            <w:r w:rsidRPr="005D646B">
              <w:rPr>
                <w:b/>
              </w:rPr>
              <w:t>Female</w:t>
            </w:r>
          </w:p>
        </w:tc>
        <w:tc>
          <w:tcPr>
            <w:tcW w:w="4191" w:type="dxa"/>
            <w:gridSpan w:val="3"/>
          </w:tcPr>
          <w:p w14:paraId="2010EAC0" w14:textId="77777777" w:rsidR="00860F8E" w:rsidRPr="005D646B" w:rsidRDefault="00860F8E" w:rsidP="005D646B">
            <w:pPr>
              <w:pStyle w:val="TableText"/>
              <w:rPr>
                <w:b/>
              </w:rPr>
            </w:pPr>
            <w:r w:rsidRPr="005D646B">
              <w:rPr>
                <w:b/>
              </w:rPr>
              <w:t>Male</w:t>
            </w:r>
          </w:p>
        </w:tc>
        <w:tc>
          <w:tcPr>
            <w:tcW w:w="1392" w:type="dxa"/>
            <w:vMerge w:val="restart"/>
            <w:shd w:val="clear" w:color="auto" w:fill="auto"/>
            <w:noWrap/>
            <w:vAlign w:val="center"/>
          </w:tcPr>
          <w:p w14:paraId="440A941A" w14:textId="77777777" w:rsidR="00860F8E" w:rsidRPr="005D646B" w:rsidRDefault="00860F8E" w:rsidP="005D646B">
            <w:pPr>
              <w:pStyle w:val="TableText"/>
              <w:rPr>
                <w:b/>
              </w:rPr>
            </w:pPr>
            <w:r w:rsidRPr="005D646B">
              <w:rPr>
                <w:b/>
              </w:rPr>
              <w:t>Total</w:t>
            </w:r>
          </w:p>
        </w:tc>
      </w:tr>
      <w:tr w:rsidR="00860F8E" w:rsidRPr="00053FD1" w14:paraId="3F7D509B" w14:textId="77777777" w:rsidTr="00A858B3">
        <w:trPr>
          <w:trHeight w:val="234"/>
          <w:tblHeader/>
        </w:trPr>
        <w:tc>
          <w:tcPr>
            <w:tcW w:w="4786" w:type="dxa"/>
            <w:shd w:val="clear" w:color="auto" w:fill="auto"/>
            <w:noWrap/>
            <w:vAlign w:val="bottom"/>
            <w:hideMark/>
          </w:tcPr>
          <w:p w14:paraId="14A0731E" w14:textId="77777777" w:rsidR="00860F8E" w:rsidRPr="005D646B" w:rsidRDefault="00860F8E" w:rsidP="005D646B">
            <w:pPr>
              <w:pStyle w:val="TableText"/>
              <w:rPr>
                <w:b/>
              </w:rPr>
            </w:pPr>
            <w:r w:rsidRPr="005D646B">
              <w:rPr>
                <w:b/>
              </w:rPr>
              <w:t>Classification</w:t>
            </w:r>
          </w:p>
        </w:tc>
        <w:tc>
          <w:tcPr>
            <w:tcW w:w="1464" w:type="dxa"/>
          </w:tcPr>
          <w:p w14:paraId="6A6CF70D" w14:textId="77777777" w:rsidR="00860F8E" w:rsidRPr="005D646B" w:rsidRDefault="00860F8E" w:rsidP="005D646B">
            <w:pPr>
              <w:pStyle w:val="TableText"/>
              <w:rPr>
                <w:b/>
              </w:rPr>
            </w:pPr>
            <w:r w:rsidRPr="005D646B">
              <w:rPr>
                <w:b/>
              </w:rPr>
              <w:t>Casual</w:t>
            </w:r>
          </w:p>
        </w:tc>
        <w:tc>
          <w:tcPr>
            <w:tcW w:w="1465" w:type="dxa"/>
            <w:shd w:val="clear" w:color="auto" w:fill="auto"/>
            <w:noWrap/>
            <w:vAlign w:val="bottom"/>
            <w:hideMark/>
          </w:tcPr>
          <w:p w14:paraId="714E8D8E" w14:textId="77777777" w:rsidR="00860F8E" w:rsidRPr="005D646B" w:rsidRDefault="00860F8E" w:rsidP="005D646B">
            <w:pPr>
              <w:pStyle w:val="TableText"/>
              <w:rPr>
                <w:b/>
              </w:rPr>
            </w:pPr>
            <w:r w:rsidRPr="005D646B">
              <w:rPr>
                <w:b/>
              </w:rPr>
              <w:t>Permanent</w:t>
            </w:r>
          </w:p>
        </w:tc>
        <w:tc>
          <w:tcPr>
            <w:tcW w:w="1465" w:type="dxa"/>
            <w:shd w:val="clear" w:color="auto" w:fill="auto"/>
            <w:noWrap/>
            <w:vAlign w:val="bottom"/>
            <w:hideMark/>
          </w:tcPr>
          <w:p w14:paraId="6D9966A3" w14:textId="77777777" w:rsidR="00860F8E" w:rsidRPr="005D646B" w:rsidRDefault="00860F8E" w:rsidP="005D646B">
            <w:pPr>
              <w:pStyle w:val="TableText"/>
              <w:rPr>
                <w:b/>
              </w:rPr>
            </w:pPr>
            <w:r w:rsidRPr="005D646B">
              <w:rPr>
                <w:b/>
              </w:rPr>
              <w:t>Temporary</w:t>
            </w:r>
          </w:p>
        </w:tc>
        <w:tc>
          <w:tcPr>
            <w:tcW w:w="1397" w:type="dxa"/>
          </w:tcPr>
          <w:p w14:paraId="31036457" w14:textId="77777777" w:rsidR="00860F8E" w:rsidRPr="005D646B" w:rsidRDefault="00860F8E" w:rsidP="005D646B">
            <w:pPr>
              <w:pStyle w:val="TableText"/>
              <w:rPr>
                <w:b/>
              </w:rPr>
            </w:pPr>
            <w:r w:rsidRPr="005D646B">
              <w:rPr>
                <w:b/>
              </w:rPr>
              <w:t>Casual</w:t>
            </w:r>
          </w:p>
        </w:tc>
        <w:tc>
          <w:tcPr>
            <w:tcW w:w="1397" w:type="dxa"/>
            <w:shd w:val="clear" w:color="auto" w:fill="auto"/>
            <w:noWrap/>
            <w:vAlign w:val="bottom"/>
            <w:hideMark/>
          </w:tcPr>
          <w:p w14:paraId="6A2D3173" w14:textId="77777777" w:rsidR="00860F8E" w:rsidRPr="005D646B" w:rsidRDefault="00860F8E" w:rsidP="005D646B">
            <w:pPr>
              <w:pStyle w:val="TableText"/>
              <w:rPr>
                <w:b/>
              </w:rPr>
            </w:pPr>
            <w:r w:rsidRPr="005D646B">
              <w:rPr>
                <w:b/>
              </w:rPr>
              <w:t>Permanent</w:t>
            </w:r>
          </w:p>
        </w:tc>
        <w:tc>
          <w:tcPr>
            <w:tcW w:w="1397" w:type="dxa"/>
            <w:shd w:val="clear" w:color="auto" w:fill="auto"/>
            <w:noWrap/>
            <w:vAlign w:val="bottom"/>
            <w:hideMark/>
          </w:tcPr>
          <w:p w14:paraId="62CEEC6E" w14:textId="77777777" w:rsidR="00860F8E" w:rsidRPr="005D646B" w:rsidRDefault="00860F8E" w:rsidP="005D646B">
            <w:pPr>
              <w:pStyle w:val="TableText"/>
              <w:rPr>
                <w:b/>
              </w:rPr>
            </w:pPr>
            <w:r w:rsidRPr="005D646B">
              <w:rPr>
                <w:b/>
              </w:rPr>
              <w:t>Temporary</w:t>
            </w:r>
          </w:p>
        </w:tc>
        <w:tc>
          <w:tcPr>
            <w:tcW w:w="1392" w:type="dxa"/>
            <w:vMerge/>
            <w:shd w:val="clear" w:color="auto" w:fill="auto"/>
            <w:noWrap/>
            <w:vAlign w:val="bottom"/>
          </w:tcPr>
          <w:p w14:paraId="37512821" w14:textId="77777777" w:rsidR="00860F8E" w:rsidRPr="005D646B" w:rsidRDefault="00860F8E" w:rsidP="005D646B">
            <w:pPr>
              <w:pStyle w:val="TableText"/>
              <w:rPr>
                <w:rFonts w:ascii="Arial" w:hAnsi="Arial" w:cs="Arial"/>
                <w:b/>
              </w:rPr>
            </w:pPr>
          </w:p>
        </w:tc>
      </w:tr>
      <w:tr w:rsidR="00860F8E" w:rsidRPr="00053FD1" w14:paraId="3F46CAC0" w14:textId="77777777" w:rsidTr="00A858B3">
        <w:trPr>
          <w:trHeight w:val="234"/>
        </w:trPr>
        <w:tc>
          <w:tcPr>
            <w:tcW w:w="4786" w:type="dxa"/>
            <w:shd w:val="clear" w:color="auto" w:fill="auto"/>
            <w:noWrap/>
            <w:vAlign w:val="center"/>
          </w:tcPr>
          <w:p w14:paraId="458A2340" w14:textId="77777777" w:rsidR="00860F8E" w:rsidRPr="00053FD1" w:rsidRDefault="00860F8E" w:rsidP="005D646B">
            <w:pPr>
              <w:pStyle w:val="TableText"/>
            </w:pPr>
            <w:r w:rsidRPr="00053FD1">
              <w:t>Aviation Safety Regulator – Safety Systems Inspector</w:t>
            </w:r>
          </w:p>
        </w:tc>
        <w:tc>
          <w:tcPr>
            <w:tcW w:w="1464" w:type="dxa"/>
            <w:vAlign w:val="center"/>
          </w:tcPr>
          <w:p w14:paraId="5F771907" w14:textId="77777777" w:rsidR="00860F8E" w:rsidRPr="00053FD1" w:rsidRDefault="00860F8E" w:rsidP="005D646B">
            <w:pPr>
              <w:pStyle w:val="TableText"/>
            </w:pPr>
            <w:r w:rsidRPr="00053FD1">
              <w:t>–</w:t>
            </w:r>
          </w:p>
        </w:tc>
        <w:tc>
          <w:tcPr>
            <w:tcW w:w="1465" w:type="dxa"/>
            <w:shd w:val="clear" w:color="auto" w:fill="auto"/>
            <w:noWrap/>
            <w:vAlign w:val="center"/>
          </w:tcPr>
          <w:p w14:paraId="77080605" w14:textId="77777777" w:rsidR="00860F8E" w:rsidRPr="00053FD1" w:rsidRDefault="00860F8E" w:rsidP="005D646B">
            <w:pPr>
              <w:pStyle w:val="TableText"/>
            </w:pPr>
            <w:r w:rsidRPr="00053FD1">
              <w:rPr>
                <w:color w:val="000000"/>
              </w:rPr>
              <w:t>4</w:t>
            </w:r>
          </w:p>
        </w:tc>
        <w:tc>
          <w:tcPr>
            <w:tcW w:w="1465" w:type="dxa"/>
            <w:shd w:val="clear" w:color="auto" w:fill="auto"/>
            <w:noWrap/>
            <w:vAlign w:val="center"/>
          </w:tcPr>
          <w:p w14:paraId="09DBDDEA" w14:textId="77777777" w:rsidR="00860F8E" w:rsidRPr="00053FD1" w:rsidRDefault="00860F8E" w:rsidP="005D646B">
            <w:pPr>
              <w:pStyle w:val="TableText"/>
            </w:pPr>
            <w:r w:rsidRPr="00053FD1">
              <w:t>–</w:t>
            </w:r>
          </w:p>
        </w:tc>
        <w:tc>
          <w:tcPr>
            <w:tcW w:w="1397" w:type="dxa"/>
            <w:vAlign w:val="center"/>
          </w:tcPr>
          <w:p w14:paraId="52DD034B" w14:textId="77777777" w:rsidR="00860F8E" w:rsidRPr="00053FD1" w:rsidRDefault="00860F8E" w:rsidP="005D646B">
            <w:pPr>
              <w:pStyle w:val="TableText"/>
            </w:pPr>
            <w:r w:rsidRPr="00053FD1">
              <w:t>–</w:t>
            </w:r>
          </w:p>
        </w:tc>
        <w:tc>
          <w:tcPr>
            <w:tcW w:w="1397" w:type="dxa"/>
            <w:shd w:val="clear" w:color="auto" w:fill="auto"/>
            <w:noWrap/>
            <w:vAlign w:val="center"/>
          </w:tcPr>
          <w:p w14:paraId="03D43150" w14:textId="77777777" w:rsidR="00860F8E" w:rsidRPr="00053FD1" w:rsidRDefault="00860F8E" w:rsidP="005D646B">
            <w:pPr>
              <w:pStyle w:val="TableText"/>
            </w:pPr>
            <w:r w:rsidRPr="00053FD1">
              <w:rPr>
                <w:color w:val="000000"/>
              </w:rPr>
              <w:t>12</w:t>
            </w:r>
          </w:p>
        </w:tc>
        <w:tc>
          <w:tcPr>
            <w:tcW w:w="1397" w:type="dxa"/>
            <w:shd w:val="clear" w:color="auto" w:fill="auto"/>
            <w:noWrap/>
            <w:vAlign w:val="center"/>
          </w:tcPr>
          <w:p w14:paraId="7E746E19" w14:textId="77777777" w:rsidR="00860F8E" w:rsidRPr="00053FD1" w:rsidRDefault="00860F8E" w:rsidP="005D646B">
            <w:pPr>
              <w:pStyle w:val="TableText"/>
            </w:pPr>
            <w:r w:rsidRPr="00053FD1">
              <w:t>–</w:t>
            </w:r>
          </w:p>
        </w:tc>
        <w:tc>
          <w:tcPr>
            <w:tcW w:w="1392" w:type="dxa"/>
            <w:shd w:val="clear" w:color="auto" w:fill="auto"/>
            <w:noWrap/>
            <w:vAlign w:val="center"/>
          </w:tcPr>
          <w:p w14:paraId="53B0C372" w14:textId="77777777" w:rsidR="00860F8E" w:rsidRPr="00053FD1" w:rsidRDefault="00860F8E" w:rsidP="005D646B">
            <w:pPr>
              <w:pStyle w:val="TableText"/>
            </w:pPr>
            <w:r w:rsidRPr="00053FD1">
              <w:t>16</w:t>
            </w:r>
          </w:p>
        </w:tc>
      </w:tr>
      <w:tr w:rsidR="00860F8E" w:rsidRPr="00053FD1" w14:paraId="2F72A6F1" w14:textId="77777777" w:rsidTr="00A858B3">
        <w:trPr>
          <w:trHeight w:val="234"/>
        </w:trPr>
        <w:tc>
          <w:tcPr>
            <w:tcW w:w="4786" w:type="dxa"/>
            <w:shd w:val="clear" w:color="auto" w:fill="auto"/>
            <w:noWrap/>
            <w:vAlign w:val="center"/>
          </w:tcPr>
          <w:p w14:paraId="19DCF587" w14:textId="77777777" w:rsidR="00860F8E" w:rsidRPr="00053FD1" w:rsidRDefault="00860F8E" w:rsidP="005D646B">
            <w:pPr>
              <w:pStyle w:val="TableText"/>
            </w:pPr>
            <w:r w:rsidRPr="00053FD1">
              <w:t>Aviation Safety Regulator – Aviation Safety Adviser</w:t>
            </w:r>
          </w:p>
        </w:tc>
        <w:tc>
          <w:tcPr>
            <w:tcW w:w="1464" w:type="dxa"/>
            <w:vAlign w:val="center"/>
          </w:tcPr>
          <w:p w14:paraId="4CC40459" w14:textId="77777777" w:rsidR="00860F8E" w:rsidRPr="00053FD1" w:rsidRDefault="00860F8E" w:rsidP="005D646B">
            <w:pPr>
              <w:pStyle w:val="TableText"/>
              <w:rPr>
                <w:lang w:eastAsia="en-AU"/>
              </w:rPr>
            </w:pPr>
            <w:r w:rsidRPr="00053FD1">
              <w:t>–</w:t>
            </w:r>
          </w:p>
        </w:tc>
        <w:tc>
          <w:tcPr>
            <w:tcW w:w="1465" w:type="dxa"/>
            <w:shd w:val="clear" w:color="auto" w:fill="auto"/>
            <w:noWrap/>
            <w:vAlign w:val="center"/>
          </w:tcPr>
          <w:p w14:paraId="16E7AF0A" w14:textId="77777777" w:rsidR="00860F8E" w:rsidRPr="00053FD1" w:rsidRDefault="00860F8E" w:rsidP="005D646B">
            <w:pPr>
              <w:pStyle w:val="TableText"/>
            </w:pPr>
            <w:r w:rsidRPr="00053FD1">
              <w:rPr>
                <w:color w:val="000000"/>
              </w:rPr>
              <w:t>1</w:t>
            </w:r>
          </w:p>
        </w:tc>
        <w:tc>
          <w:tcPr>
            <w:tcW w:w="1465" w:type="dxa"/>
            <w:shd w:val="clear" w:color="auto" w:fill="auto"/>
            <w:noWrap/>
            <w:vAlign w:val="center"/>
          </w:tcPr>
          <w:p w14:paraId="5132CAE7" w14:textId="77777777" w:rsidR="00860F8E" w:rsidRPr="00053FD1" w:rsidRDefault="00860F8E" w:rsidP="005D646B">
            <w:pPr>
              <w:pStyle w:val="TableText"/>
            </w:pPr>
            <w:r w:rsidRPr="00053FD1">
              <w:t>–</w:t>
            </w:r>
          </w:p>
        </w:tc>
        <w:tc>
          <w:tcPr>
            <w:tcW w:w="1397" w:type="dxa"/>
            <w:vAlign w:val="center"/>
          </w:tcPr>
          <w:p w14:paraId="249EE992" w14:textId="77777777" w:rsidR="00860F8E" w:rsidRPr="00053FD1" w:rsidRDefault="00860F8E" w:rsidP="005D646B">
            <w:pPr>
              <w:pStyle w:val="TableText"/>
            </w:pPr>
            <w:r w:rsidRPr="00053FD1">
              <w:t>–</w:t>
            </w:r>
          </w:p>
        </w:tc>
        <w:tc>
          <w:tcPr>
            <w:tcW w:w="1397" w:type="dxa"/>
            <w:shd w:val="clear" w:color="auto" w:fill="auto"/>
            <w:noWrap/>
            <w:vAlign w:val="center"/>
          </w:tcPr>
          <w:p w14:paraId="7F733DDB" w14:textId="77777777" w:rsidR="00860F8E" w:rsidRPr="00053FD1" w:rsidRDefault="00860F8E" w:rsidP="005D646B">
            <w:pPr>
              <w:pStyle w:val="TableText"/>
            </w:pPr>
            <w:r w:rsidRPr="00053FD1">
              <w:rPr>
                <w:color w:val="000000"/>
              </w:rPr>
              <w:t>6</w:t>
            </w:r>
          </w:p>
        </w:tc>
        <w:tc>
          <w:tcPr>
            <w:tcW w:w="1397" w:type="dxa"/>
            <w:shd w:val="clear" w:color="auto" w:fill="auto"/>
            <w:noWrap/>
            <w:vAlign w:val="center"/>
          </w:tcPr>
          <w:p w14:paraId="03190721" w14:textId="77777777" w:rsidR="00860F8E" w:rsidRPr="00053FD1" w:rsidRDefault="00860F8E" w:rsidP="005D646B">
            <w:pPr>
              <w:pStyle w:val="TableText"/>
            </w:pPr>
            <w:r w:rsidRPr="00053FD1">
              <w:t>–</w:t>
            </w:r>
          </w:p>
        </w:tc>
        <w:tc>
          <w:tcPr>
            <w:tcW w:w="1392" w:type="dxa"/>
            <w:shd w:val="clear" w:color="auto" w:fill="auto"/>
            <w:noWrap/>
            <w:vAlign w:val="center"/>
          </w:tcPr>
          <w:p w14:paraId="7233272C" w14:textId="77777777" w:rsidR="00860F8E" w:rsidRPr="00053FD1" w:rsidRDefault="00860F8E" w:rsidP="005D646B">
            <w:pPr>
              <w:pStyle w:val="TableText"/>
            </w:pPr>
            <w:r w:rsidRPr="00053FD1">
              <w:t>7</w:t>
            </w:r>
          </w:p>
        </w:tc>
      </w:tr>
      <w:tr w:rsidR="00860F8E" w:rsidRPr="00053FD1" w14:paraId="3D96C099" w14:textId="77777777" w:rsidTr="00A858B3">
        <w:trPr>
          <w:trHeight w:val="234"/>
        </w:trPr>
        <w:tc>
          <w:tcPr>
            <w:tcW w:w="4786" w:type="dxa"/>
            <w:shd w:val="clear" w:color="auto" w:fill="auto"/>
            <w:noWrap/>
            <w:vAlign w:val="center"/>
          </w:tcPr>
          <w:p w14:paraId="5C7B41F1" w14:textId="77777777" w:rsidR="00860F8E" w:rsidRPr="00053FD1" w:rsidRDefault="00860F8E" w:rsidP="005D646B">
            <w:pPr>
              <w:pStyle w:val="TableText"/>
            </w:pPr>
            <w:r w:rsidRPr="00053FD1">
              <w:t>Aviation Safety Regulator – Airworthiness Inspector</w:t>
            </w:r>
          </w:p>
        </w:tc>
        <w:tc>
          <w:tcPr>
            <w:tcW w:w="1464" w:type="dxa"/>
            <w:vAlign w:val="center"/>
          </w:tcPr>
          <w:p w14:paraId="7F9DA4F2" w14:textId="77777777" w:rsidR="00860F8E" w:rsidRPr="00053FD1" w:rsidRDefault="00860F8E" w:rsidP="005D646B">
            <w:pPr>
              <w:pStyle w:val="TableText"/>
              <w:rPr>
                <w:lang w:eastAsia="en-AU"/>
              </w:rPr>
            </w:pPr>
            <w:r w:rsidRPr="00053FD1">
              <w:t>–</w:t>
            </w:r>
          </w:p>
        </w:tc>
        <w:tc>
          <w:tcPr>
            <w:tcW w:w="1465" w:type="dxa"/>
            <w:shd w:val="clear" w:color="auto" w:fill="auto"/>
            <w:noWrap/>
            <w:vAlign w:val="center"/>
          </w:tcPr>
          <w:p w14:paraId="5DCDD56B" w14:textId="77777777" w:rsidR="00860F8E" w:rsidRPr="00053FD1" w:rsidRDefault="00860F8E" w:rsidP="005D646B">
            <w:pPr>
              <w:pStyle w:val="TableText"/>
            </w:pPr>
            <w:r w:rsidRPr="00053FD1">
              <w:t>–</w:t>
            </w:r>
          </w:p>
        </w:tc>
        <w:tc>
          <w:tcPr>
            <w:tcW w:w="1465" w:type="dxa"/>
            <w:shd w:val="clear" w:color="auto" w:fill="auto"/>
            <w:noWrap/>
            <w:vAlign w:val="center"/>
          </w:tcPr>
          <w:p w14:paraId="3C814D4D" w14:textId="77777777" w:rsidR="00860F8E" w:rsidRPr="00053FD1" w:rsidRDefault="00860F8E" w:rsidP="005D646B">
            <w:pPr>
              <w:pStyle w:val="TableText"/>
            </w:pPr>
            <w:r w:rsidRPr="00053FD1">
              <w:t>–</w:t>
            </w:r>
          </w:p>
        </w:tc>
        <w:tc>
          <w:tcPr>
            <w:tcW w:w="1397" w:type="dxa"/>
            <w:vAlign w:val="center"/>
          </w:tcPr>
          <w:p w14:paraId="477F5E3C" w14:textId="77777777" w:rsidR="00860F8E" w:rsidRPr="00053FD1" w:rsidRDefault="00860F8E" w:rsidP="005D646B">
            <w:pPr>
              <w:pStyle w:val="TableText"/>
            </w:pPr>
            <w:r w:rsidRPr="00053FD1">
              <w:t>–</w:t>
            </w:r>
          </w:p>
        </w:tc>
        <w:tc>
          <w:tcPr>
            <w:tcW w:w="1397" w:type="dxa"/>
            <w:shd w:val="clear" w:color="auto" w:fill="auto"/>
            <w:noWrap/>
            <w:vAlign w:val="center"/>
          </w:tcPr>
          <w:p w14:paraId="7C4F06C6" w14:textId="77777777" w:rsidR="00860F8E" w:rsidRPr="00053FD1" w:rsidRDefault="00860F8E" w:rsidP="005D646B">
            <w:pPr>
              <w:pStyle w:val="TableText"/>
            </w:pPr>
            <w:r w:rsidRPr="00053FD1">
              <w:rPr>
                <w:color w:val="000000"/>
              </w:rPr>
              <w:t>63</w:t>
            </w:r>
          </w:p>
        </w:tc>
        <w:tc>
          <w:tcPr>
            <w:tcW w:w="1397" w:type="dxa"/>
            <w:shd w:val="clear" w:color="auto" w:fill="auto"/>
            <w:noWrap/>
            <w:vAlign w:val="center"/>
          </w:tcPr>
          <w:p w14:paraId="7EC3D81B" w14:textId="77777777" w:rsidR="00860F8E" w:rsidRPr="00053FD1" w:rsidRDefault="00860F8E" w:rsidP="005D646B">
            <w:pPr>
              <w:pStyle w:val="TableText"/>
            </w:pPr>
            <w:r w:rsidRPr="00053FD1">
              <w:t>–</w:t>
            </w:r>
          </w:p>
        </w:tc>
        <w:tc>
          <w:tcPr>
            <w:tcW w:w="1392" w:type="dxa"/>
            <w:shd w:val="clear" w:color="auto" w:fill="auto"/>
            <w:noWrap/>
            <w:vAlign w:val="center"/>
          </w:tcPr>
          <w:p w14:paraId="3A467F84" w14:textId="77777777" w:rsidR="00860F8E" w:rsidRPr="00053FD1" w:rsidRDefault="00860F8E" w:rsidP="005D646B">
            <w:pPr>
              <w:pStyle w:val="TableText"/>
            </w:pPr>
            <w:r w:rsidRPr="00053FD1">
              <w:t>63</w:t>
            </w:r>
          </w:p>
        </w:tc>
      </w:tr>
      <w:tr w:rsidR="00860F8E" w:rsidRPr="00053FD1" w14:paraId="2D793940" w14:textId="77777777" w:rsidTr="00A858B3">
        <w:trPr>
          <w:trHeight w:val="234"/>
        </w:trPr>
        <w:tc>
          <w:tcPr>
            <w:tcW w:w="4786" w:type="dxa"/>
            <w:shd w:val="clear" w:color="auto" w:fill="auto"/>
            <w:noWrap/>
            <w:vAlign w:val="center"/>
          </w:tcPr>
          <w:p w14:paraId="5B6778A9" w14:textId="77777777" w:rsidR="00860F8E" w:rsidRPr="00053FD1" w:rsidRDefault="00860F8E" w:rsidP="005D646B">
            <w:pPr>
              <w:pStyle w:val="TableText"/>
            </w:pPr>
            <w:r w:rsidRPr="00053FD1">
              <w:t>Aviation Safety Regulator – Aerodrome Inspector</w:t>
            </w:r>
          </w:p>
        </w:tc>
        <w:tc>
          <w:tcPr>
            <w:tcW w:w="1464" w:type="dxa"/>
            <w:vAlign w:val="center"/>
          </w:tcPr>
          <w:p w14:paraId="2B8CC563" w14:textId="77777777" w:rsidR="00860F8E" w:rsidRPr="00053FD1" w:rsidRDefault="00860F8E" w:rsidP="005D646B">
            <w:pPr>
              <w:pStyle w:val="TableText"/>
              <w:rPr>
                <w:lang w:eastAsia="en-AU"/>
              </w:rPr>
            </w:pPr>
            <w:r w:rsidRPr="00053FD1">
              <w:t>–</w:t>
            </w:r>
          </w:p>
        </w:tc>
        <w:tc>
          <w:tcPr>
            <w:tcW w:w="1465" w:type="dxa"/>
            <w:shd w:val="clear" w:color="auto" w:fill="auto"/>
            <w:noWrap/>
            <w:vAlign w:val="center"/>
          </w:tcPr>
          <w:p w14:paraId="527D2036" w14:textId="77777777" w:rsidR="00860F8E" w:rsidRPr="00053FD1" w:rsidRDefault="00860F8E" w:rsidP="005D646B">
            <w:pPr>
              <w:pStyle w:val="TableText"/>
              <w:rPr>
                <w:lang w:eastAsia="en-AU"/>
              </w:rPr>
            </w:pPr>
            <w:r w:rsidRPr="00053FD1">
              <w:rPr>
                <w:color w:val="000000"/>
                <w:lang w:eastAsia="en-AU"/>
              </w:rPr>
              <w:t>2</w:t>
            </w:r>
          </w:p>
        </w:tc>
        <w:tc>
          <w:tcPr>
            <w:tcW w:w="1465" w:type="dxa"/>
            <w:shd w:val="clear" w:color="auto" w:fill="auto"/>
            <w:noWrap/>
            <w:vAlign w:val="center"/>
          </w:tcPr>
          <w:p w14:paraId="254988C4" w14:textId="77777777" w:rsidR="00860F8E" w:rsidRPr="00053FD1" w:rsidRDefault="00860F8E" w:rsidP="005D646B">
            <w:pPr>
              <w:pStyle w:val="TableText"/>
            </w:pPr>
            <w:r w:rsidRPr="00053FD1">
              <w:t>–</w:t>
            </w:r>
          </w:p>
        </w:tc>
        <w:tc>
          <w:tcPr>
            <w:tcW w:w="1397" w:type="dxa"/>
            <w:vAlign w:val="center"/>
          </w:tcPr>
          <w:p w14:paraId="1110962E" w14:textId="77777777" w:rsidR="00860F8E" w:rsidRPr="00053FD1" w:rsidRDefault="00860F8E" w:rsidP="005D646B">
            <w:pPr>
              <w:pStyle w:val="TableText"/>
            </w:pPr>
            <w:r w:rsidRPr="00053FD1">
              <w:t>–</w:t>
            </w:r>
          </w:p>
        </w:tc>
        <w:tc>
          <w:tcPr>
            <w:tcW w:w="1397" w:type="dxa"/>
            <w:shd w:val="clear" w:color="auto" w:fill="auto"/>
            <w:noWrap/>
            <w:vAlign w:val="center"/>
          </w:tcPr>
          <w:p w14:paraId="445E276C" w14:textId="77777777" w:rsidR="00860F8E" w:rsidRPr="00053FD1" w:rsidRDefault="00860F8E" w:rsidP="005D646B">
            <w:pPr>
              <w:pStyle w:val="TableText"/>
            </w:pPr>
            <w:r w:rsidRPr="00053FD1">
              <w:rPr>
                <w:color w:val="000000"/>
              </w:rPr>
              <w:t>8</w:t>
            </w:r>
          </w:p>
        </w:tc>
        <w:tc>
          <w:tcPr>
            <w:tcW w:w="1397" w:type="dxa"/>
            <w:shd w:val="clear" w:color="auto" w:fill="auto"/>
            <w:noWrap/>
            <w:vAlign w:val="center"/>
          </w:tcPr>
          <w:p w14:paraId="6B1B235D" w14:textId="77777777" w:rsidR="00860F8E" w:rsidRPr="00053FD1" w:rsidRDefault="00860F8E" w:rsidP="005D646B">
            <w:pPr>
              <w:pStyle w:val="TableText"/>
            </w:pPr>
            <w:r w:rsidRPr="00053FD1">
              <w:t>–</w:t>
            </w:r>
          </w:p>
        </w:tc>
        <w:tc>
          <w:tcPr>
            <w:tcW w:w="1392" w:type="dxa"/>
            <w:shd w:val="clear" w:color="auto" w:fill="auto"/>
            <w:noWrap/>
            <w:vAlign w:val="center"/>
          </w:tcPr>
          <w:p w14:paraId="0B288B6B" w14:textId="77777777" w:rsidR="00860F8E" w:rsidRPr="00053FD1" w:rsidRDefault="00860F8E" w:rsidP="005D646B">
            <w:pPr>
              <w:pStyle w:val="TableText"/>
            </w:pPr>
            <w:r w:rsidRPr="00053FD1">
              <w:t>10</w:t>
            </w:r>
          </w:p>
        </w:tc>
      </w:tr>
      <w:tr w:rsidR="00860F8E" w:rsidRPr="00053FD1" w14:paraId="5588421E" w14:textId="77777777" w:rsidTr="00A858B3">
        <w:trPr>
          <w:trHeight w:val="234"/>
        </w:trPr>
        <w:tc>
          <w:tcPr>
            <w:tcW w:w="4786" w:type="dxa"/>
            <w:shd w:val="clear" w:color="auto" w:fill="auto"/>
            <w:noWrap/>
            <w:vAlign w:val="center"/>
          </w:tcPr>
          <w:p w14:paraId="1E961AA1" w14:textId="77777777" w:rsidR="00860F8E" w:rsidRPr="00053FD1" w:rsidRDefault="00860F8E" w:rsidP="005D646B">
            <w:pPr>
              <w:pStyle w:val="TableText"/>
            </w:pPr>
            <w:r w:rsidRPr="00053FD1">
              <w:t>Aviation Safety Regulator – Other</w:t>
            </w:r>
          </w:p>
        </w:tc>
        <w:tc>
          <w:tcPr>
            <w:tcW w:w="1464" w:type="dxa"/>
            <w:vAlign w:val="center"/>
          </w:tcPr>
          <w:p w14:paraId="7F8845D0" w14:textId="77777777" w:rsidR="00860F8E" w:rsidRPr="00053FD1" w:rsidRDefault="00860F8E" w:rsidP="005D646B">
            <w:pPr>
              <w:pStyle w:val="TableText"/>
              <w:rPr>
                <w:lang w:eastAsia="en-AU"/>
              </w:rPr>
            </w:pPr>
            <w:r w:rsidRPr="00053FD1">
              <w:t>–</w:t>
            </w:r>
          </w:p>
        </w:tc>
        <w:tc>
          <w:tcPr>
            <w:tcW w:w="1465" w:type="dxa"/>
            <w:shd w:val="clear" w:color="auto" w:fill="auto"/>
            <w:noWrap/>
            <w:vAlign w:val="center"/>
          </w:tcPr>
          <w:p w14:paraId="29EB26AA" w14:textId="77777777" w:rsidR="00860F8E" w:rsidRPr="00053FD1" w:rsidRDefault="00860F8E" w:rsidP="005D646B">
            <w:pPr>
              <w:pStyle w:val="TableText"/>
              <w:rPr>
                <w:lang w:eastAsia="en-AU"/>
              </w:rPr>
            </w:pPr>
            <w:r w:rsidRPr="00053FD1">
              <w:rPr>
                <w:color w:val="000000"/>
                <w:lang w:eastAsia="en-AU"/>
              </w:rPr>
              <w:t>13</w:t>
            </w:r>
          </w:p>
        </w:tc>
        <w:tc>
          <w:tcPr>
            <w:tcW w:w="1465" w:type="dxa"/>
            <w:shd w:val="clear" w:color="auto" w:fill="auto"/>
            <w:noWrap/>
            <w:vAlign w:val="center"/>
          </w:tcPr>
          <w:p w14:paraId="3D370307" w14:textId="77777777" w:rsidR="00860F8E" w:rsidRPr="00053FD1" w:rsidRDefault="00860F8E" w:rsidP="005D646B">
            <w:pPr>
              <w:pStyle w:val="TableText"/>
              <w:rPr>
                <w:lang w:eastAsia="en-AU"/>
              </w:rPr>
            </w:pPr>
            <w:r w:rsidRPr="00053FD1">
              <w:rPr>
                <w:color w:val="000000"/>
                <w:lang w:eastAsia="en-AU"/>
              </w:rPr>
              <w:t>1</w:t>
            </w:r>
          </w:p>
        </w:tc>
        <w:tc>
          <w:tcPr>
            <w:tcW w:w="1397" w:type="dxa"/>
            <w:vAlign w:val="center"/>
          </w:tcPr>
          <w:p w14:paraId="027BF106" w14:textId="77777777" w:rsidR="00860F8E" w:rsidRPr="00053FD1" w:rsidRDefault="00860F8E" w:rsidP="005D646B">
            <w:pPr>
              <w:pStyle w:val="TableText"/>
            </w:pPr>
            <w:r w:rsidRPr="00053FD1">
              <w:rPr>
                <w:color w:val="000000"/>
              </w:rPr>
              <w:t>1</w:t>
            </w:r>
          </w:p>
        </w:tc>
        <w:tc>
          <w:tcPr>
            <w:tcW w:w="1397" w:type="dxa"/>
            <w:shd w:val="clear" w:color="auto" w:fill="auto"/>
            <w:noWrap/>
            <w:vAlign w:val="center"/>
          </w:tcPr>
          <w:p w14:paraId="67DA1F9C" w14:textId="77777777" w:rsidR="00860F8E" w:rsidRPr="00053FD1" w:rsidRDefault="00860F8E" w:rsidP="005D646B">
            <w:pPr>
              <w:pStyle w:val="TableText"/>
            </w:pPr>
            <w:r w:rsidRPr="00053FD1">
              <w:rPr>
                <w:color w:val="000000"/>
              </w:rPr>
              <w:t>98</w:t>
            </w:r>
          </w:p>
        </w:tc>
        <w:tc>
          <w:tcPr>
            <w:tcW w:w="1397" w:type="dxa"/>
            <w:shd w:val="clear" w:color="auto" w:fill="auto"/>
            <w:noWrap/>
            <w:vAlign w:val="center"/>
          </w:tcPr>
          <w:p w14:paraId="35FB98DD" w14:textId="77777777" w:rsidR="00860F8E" w:rsidRPr="00053FD1" w:rsidRDefault="00860F8E" w:rsidP="005D646B">
            <w:pPr>
              <w:pStyle w:val="TableText"/>
            </w:pPr>
            <w:r w:rsidRPr="00053FD1">
              <w:rPr>
                <w:color w:val="000000"/>
              </w:rPr>
              <w:t>5</w:t>
            </w:r>
          </w:p>
        </w:tc>
        <w:tc>
          <w:tcPr>
            <w:tcW w:w="1392" w:type="dxa"/>
            <w:shd w:val="clear" w:color="auto" w:fill="auto"/>
            <w:noWrap/>
            <w:vAlign w:val="center"/>
          </w:tcPr>
          <w:p w14:paraId="10242410" w14:textId="77777777" w:rsidR="00860F8E" w:rsidRPr="00053FD1" w:rsidRDefault="00860F8E" w:rsidP="005D646B">
            <w:pPr>
              <w:pStyle w:val="TableText"/>
            </w:pPr>
            <w:r w:rsidRPr="00053FD1">
              <w:t>118</w:t>
            </w:r>
          </w:p>
        </w:tc>
      </w:tr>
      <w:tr w:rsidR="00860F8E" w:rsidRPr="00053FD1" w14:paraId="20DE6DFA" w14:textId="77777777" w:rsidTr="00A858B3">
        <w:trPr>
          <w:trHeight w:val="234"/>
        </w:trPr>
        <w:tc>
          <w:tcPr>
            <w:tcW w:w="4786" w:type="dxa"/>
            <w:shd w:val="clear" w:color="auto" w:fill="auto"/>
            <w:noWrap/>
            <w:vAlign w:val="center"/>
          </w:tcPr>
          <w:p w14:paraId="675D5D9A" w14:textId="77777777" w:rsidR="00860F8E" w:rsidRPr="00053FD1" w:rsidRDefault="00860F8E" w:rsidP="005D646B">
            <w:pPr>
              <w:pStyle w:val="TableText"/>
            </w:pPr>
            <w:r w:rsidRPr="00053FD1">
              <w:t>Certificate Management Team Leader</w:t>
            </w:r>
          </w:p>
        </w:tc>
        <w:tc>
          <w:tcPr>
            <w:tcW w:w="1464" w:type="dxa"/>
            <w:vAlign w:val="center"/>
          </w:tcPr>
          <w:p w14:paraId="03DCBB95" w14:textId="77777777" w:rsidR="00860F8E" w:rsidRPr="00053FD1" w:rsidRDefault="00860F8E" w:rsidP="005D646B">
            <w:pPr>
              <w:pStyle w:val="TableText"/>
              <w:rPr>
                <w:lang w:eastAsia="en-AU"/>
              </w:rPr>
            </w:pPr>
            <w:r w:rsidRPr="00053FD1">
              <w:t>–</w:t>
            </w:r>
          </w:p>
        </w:tc>
        <w:tc>
          <w:tcPr>
            <w:tcW w:w="1465" w:type="dxa"/>
            <w:shd w:val="clear" w:color="auto" w:fill="auto"/>
            <w:noWrap/>
            <w:vAlign w:val="center"/>
          </w:tcPr>
          <w:p w14:paraId="4615066A" w14:textId="77777777" w:rsidR="00860F8E" w:rsidRPr="00053FD1" w:rsidRDefault="00860F8E" w:rsidP="005D646B">
            <w:pPr>
              <w:pStyle w:val="TableText"/>
              <w:rPr>
                <w:lang w:eastAsia="en-AU"/>
              </w:rPr>
            </w:pPr>
            <w:r w:rsidRPr="00053FD1">
              <w:rPr>
                <w:color w:val="000000"/>
                <w:lang w:eastAsia="en-AU"/>
              </w:rPr>
              <w:t>4</w:t>
            </w:r>
          </w:p>
        </w:tc>
        <w:tc>
          <w:tcPr>
            <w:tcW w:w="1465" w:type="dxa"/>
            <w:shd w:val="clear" w:color="auto" w:fill="auto"/>
            <w:noWrap/>
            <w:vAlign w:val="center"/>
          </w:tcPr>
          <w:p w14:paraId="2FA3EEB2" w14:textId="77777777" w:rsidR="00860F8E" w:rsidRPr="00053FD1" w:rsidRDefault="00860F8E" w:rsidP="005D646B">
            <w:pPr>
              <w:pStyle w:val="TableText"/>
              <w:rPr>
                <w:lang w:eastAsia="en-AU"/>
              </w:rPr>
            </w:pPr>
            <w:r w:rsidRPr="00053FD1">
              <w:t>–</w:t>
            </w:r>
          </w:p>
        </w:tc>
        <w:tc>
          <w:tcPr>
            <w:tcW w:w="1397" w:type="dxa"/>
            <w:vAlign w:val="center"/>
          </w:tcPr>
          <w:p w14:paraId="3F08E281" w14:textId="77777777" w:rsidR="00860F8E" w:rsidRPr="00053FD1" w:rsidRDefault="00860F8E" w:rsidP="005D646B">
            <w:pPr>
              <w:pStyle w:val="TableText"/>
              <w:rPr>
                <w:lang w:eastAsia="en-AU"/>
              </w:rPr>
            </w:pPr>
            <w:r w:rsidRPr="00053FD1">
              <w:t>–</w:t>
            </w:r>
          </w:p>
        </w:tc>
        <w:tc>
          <w:tcPr>
            <w:tcW w:w="1397" w:type="dxa"/>
            <w:shd w:val="clear" w:color="auto" w:fill="auto"/>
            <w:noWrap/>
            <w:vAlign w:val="center"/>
          </w:tcPr>
          <w:p w14:paraId="52E63F69" w14:textId="77777777" w:rsidR="00860F8E" w:rsidRPr="00053FD1" w:rsidRDefault="00860F8E" w:rsidP="005D646B">
            <w:pPr>
              <w:pStyle w:val="TableText"/>
            </w:pPr>
            <w:r w:rsidRPr="00053FD1">
              <w:rPr>
                <w:color w:val="000000"/>
              </w:rPr>
              <w:t>33</w:t>
            </w:r>
          </w:p>
        </w:tc>
        <w:tc>
          <w:tcPr>
            <w:tcW w:w="1397" w:type="dxa"/>
            <w:shd w:val="clear" w:color="auto" w:fill="auto"/>
            <w:noWrap/>
            <w:vAlign w:val="center"/>
          </w:tcPr>
          <w:p w14:paraId="661B8319" w14:textId="77777777" w:rsidR="00860F8E" w:rsidRPr="00053FD1" w:rsidRDefault="00860F8E" w:rsidP="005D646B">
            <w:pPr>
              <w:pStyle w:val="TableText"/>
            </w:pPr>
            <w:r w:rsidRPr="00053FD1">
              <w:t>–</w:t>
            </w:r>
          </w:p>
        </w:tc>
        <w:tc>
          <w:tcPr>
            <w:tcW w:w="1392" w:type="dxa"/>
            <w:shd w:val="clear" w:color="auto" w:fill="auto"/>
            <w:noWrap/>
            <w:vAlign w:val="center"/>
          </w:tcPr>
          <w:p w14:paraId="48813BC2" w14:textId="77777777" w:rsidR="00860F8E" w:rsidRPr="00053FD1" w:rsidRDefault="00860F8E" w:rsidP="005D646B">
            <w:pPr>
              <w:pStyle w:val="TableText"/>
            </w:pPr>
            <w:r w:rsidRPr="00053FD1">
              <w:t>37</w:t>
            </w:r>
          </w:p>
        </w:tc>
      </w:tr>
      <w:tr w:rsidR="00860F8E" w:rsidRPr="00053FD1" w14:paraId="13EDE59B" w14:textId="77777777" w:rsidTr="00A858B3">
        <w:trPr>
          <w:trHeight w:val="234"/>
        </w:trPr>
        <w:tc>
          <w:tcPr>
            <w:tcW w:w="4786" w:type="dxa"/>
            <w:shd w:val="clear" w:color="auto" w:fill="auto"/>
            <w:noWrap/>
            <w:vAlign w:val="center"/>
          </w:tcPr>
          <w:p w14:paraId="102DC3E6" w14:textId="77777777" w:rsidR="00860F8E" w:rsidRPr="00053FD1" w:rsidRDefault="00860F8E" w:rsidP="005D646B">
            <w:pPr>
              <w:pStyle w:val="TableText"/>
            </w:pPr>
            <w:r w:rsidRPr="00053FD1">
              <w:t>Flight Training Examiner</w:t>
            </w:r>
          </w:p>
        </w:tc>
        <w:tc>
          <w:tcPr>
            <w:tcW w:w="1464" w:type="dxa"/>
            <w:vAlign w:val="center"/>
          </w:tcPr>
          <w:p w14:paraId="46C10B3F" w14:textId="77777777" w:rsidR="00860F8E" w:rsidRPr="00053FD1" w:rsidRDefault="00860F8E" w:rsidP="005D646B">
            <w:pPr>
              <w:pStyle w:val="TableText"/>
              <w:rPr>
                <w:lang w:eastAsia="en-AU"/>
              </w:rPr>
            </w:pPr>
            <w:r w:rsidRPr="00053FD1">
              <w:t>–</w:t>
            </w:r>
          </w:p>
        </w:tc>
        <w:tc>
          <w:tcPr>
            <w:tcW w:w="1465" w:type="dxa"/>
            <w:shd w:val="clear" w:color="auto" w:fill="auto"/>
            <w:noWrap/>
            <w:vAlign w:val="center"/>
          </w:tcPr>
          <w:p w14:paraId="76D94EAB" w14:textId="77777777" w:rsidR="00860F8E" w:rsidRPr="00053FD1" w:rsidRDefault="00860F8E" w:rsidP="005D646B">
            <w:pPr>
              <w:pStyle w:val="TableText"/>
              <w:rPr>
                <w:lang w:eastAsia="en-AU"/>
              </w:rPr>
            </w:pPr>
            <w:r w:rsidRPr="00053FD1">
              <w:rPr>
                <w:color w:val="000000"/>
                <w:lang w:eastAsia="en-AU"/>
              </w:rPr>
              <w:t>1</w:t>
            </w:r>
          </w:p>
        </w:tc>
        <w:tc>
          <w:tcPr>
            <w:tcW w:w="1465" w:type="dxa"/>
            <w:shd w:val="clear" w:color="auto" w:fill="auto"/>
            <w:noWrap/>
            <w:vAlign w:val="center"/>
          </w:tcPr>
          <w:p w14:paraId="09ABEDB6" w14:textId="77777777" w:rsidR="00860F8E" w:rsidRPr="00053FD1" w:rsidRDefault="00860F8E" w:rsidP="005D646B">
            <w:pPr>
              <w:pStyle w:val="TableText"/>
              <w:rPr>
                <w:lang w:eastAsia="en-AU"/>
              </w:rPr>
            </w:pPr>
            <w:r w:rsidRPr="00053FD1">
              <w:t>–</w:t>
            </w:r>
          </w:p>
        </w:tc>
        <w:tc>
          <w:tcPr>
            <w:tcW w:w="1397" w:type="dxa"/>
            <w:vAlign w:val="center"/>
          </w:tcPr>
          <w:p w14:paraId="23CB0EB3" w14:textId="77777777" w:rsidR="00860F8E" w:rsidRPr="00053FD1" w:rsidRDefault="00860F8E" w:rsidP="005D646B">
            <w:pPr>
              <w:pStyle w:val="TableText"/>
              <w:rPr>
                <w:lang w:eastAsia="en-AU"/>
              </w:rPr>
            </w:pPr>
            <w:r w:rsidRPr="00053FD1">
              <w:t>–</w:t>
            </w:r>
          </w:p>
        </w:tc>
        <w:tc>
          <w:tcPr>
            <w:tcW w:w="1397" w:type="dxa"/>
            <w:shd w:val="clear" w:color="auto" w:fill="auto"/>
            <w:noWrap/>
            <w:vAlign w:val="center"/>
          </w:tcPr>
          <w:p w14:paraId="3FFFA99E" w14:textId="77777777" w:rsidR="00860F8E" w:rsidRPr="00053FD1" w:rsidRDefault="00860F8E" w:rsidP="005D646B">
            <w:pPr>
              <w:pStyle w:val="TableText"/>
              <w:rPr>
                <w:lang w:eastAsia="en-AU"/>
              </w:rPr>
            </w:pPr>
            <w:r w:rsidRPr="00053FD1">
              <w:rPr>
                <w:color w:val="000000"/>
                <w:lang w:eastAsia="en-AU"/>
              </w:rPr>
              <w:t>11</w:t>
            </w:r>
          </w:p>
        </w:tc>
        <w:tc>
          <w:tcPr>
            <w:tcW w:w="1397" w:type="dxa"/>
            <w:shd w:val="clear" w:color="auto" w:fill="auto"/>
            <w:noWrap/>
            <w:vAlign w:val="center"/>
          </w:tcPr>
          <w:p w14:paraId="4E1ADBE7" w14:textId="77777777" w:rsidR="00860F8E" w:rsidRPr="00053FD1" w:rsidRDefault="00860F8E" w:rsidP="005D646B">
            <w:pPr>
              <w:pStyle w:val="TableText"/>
              <w:rPr>
                <w:lang w:eastAsia="en-AU"/>
              </w:rPr>
            </w:pPr>
            <w:r w:rsidRPr="00053FD1">
              <w:t>–</w:t>
            </w:r>
          </w:p>
        </w:tc>
        <w:tc>
          <w:tcPr>
            <w:tcW w:w="1392" w:type="dxa"/>
            <w:shd w:val="clear" w:color="auto" w:fill="auto"/>
            <w:noWrap/>
            <w:vAlign w:val="center"/>
          </w:tcPr>
          <w:p w14:paraId="77730E06" w14:textId="77777777" w:rsidR="00860F8E" w:rsidRPr="00053FD1" w:rsidRDefault="00860F8E" w:rsidP="005D646B">
            <w:pPr>
              <w:pStyle w:val="TableText"/>
            </w:pPr>
            <w:r w:rsidRPr="00053FD1">
              <w:t>12</w:t>
            </w:r>
          </w:p>
        </w:tc>
      </w:tr>
      <w:tr w:rsidR="00860F8E" w:rsidRPr="00053FD1" w14:paraId="76A318B4" w14:textId="77777777" w:rsidTr="00A858B3">
        <w:trPr>
          <w:trHeight w:val="234"/>
        </w:trPr>
        <w:tc>
          <w:tcPr>
            <w:tcW w:w="4786" w:type="dxa"/>
            <w:shd w:val="clear" w:color="auto" w:fill="auto"/>
            <w:noWrap/>
            <w:vAlign w:val="center"/>
          </w:tcPr>
          <w:p w14:paraId="288E34AA" w14:textId="77777777" w:rsidR="00860F8E" w:rsidRPr="00053FD1" w:rsidRDefault="00860F8E" w:rsidP="005D646B">
            <w:pPr>
              <w:pStyle w:val="TableText"/>
            </w:pPr>
            <w:r w:rsidRPr="00053FD1">
              <w:t>Flying Operations Inspector</w:t>
            </w:r>
          </w:p>
        </w:tc>
        <w:tc>
          <w:tcPr>
            <w:tcW w:w="1464" w:type="dxa"/>
            <w:vAlign w:val="center"/>
          </w:tcPr>
          <w:p w14:paraId="728730ED" w14:textId="77777777" w:rsidR="00860F8E" w:rsidRPr="00053FD1" w:rsidRDefault="00860F8E" w:rsidP="005D646B">
            <w:pPr>
              <w:pStyle w:val="TableText"/>
              <w:rPr>
                <w:lang w:eastAsia="en-AU"/>
              </w:rPr>
            </w:pPr>
            <w:r w:rsidRPr="00053FD1">
              <w:t>–</w:t>
            </w:r>
          </w:p>
        </w:tc>
        <w:tc>
          <w:tcPr>
            <w:tcW w:w="1465" w:type="dxa"/>
            <w:shd w:val="clear" w:color="auto" w:fill="auto"/>
            <w:noWrap/>
            <w:vAlign w:val="center"/>
          </w:tcPr>
          <w:p w14:paraId="476CE5C4" w14:textId="77777777" w:rsidR="00860F8E" w:rsidRPr="00053FD1" w:rsidRDefault="00860F8E" w:rsidP="005D646B">
            <w:pPr>
              <w:pStyle w:val="TableText"/>
              <w:rPr>
                <w:lang w:eastAsia="en-AU"/>
              </w:rPr>
            </w:pPr>
            <w:r w:rsidRPr="00053FD1">
              <w:rPr>
                <w:color w:val="000000"/>
                <w:lang w:eastAsia="en-AU"/>
              </w:rPr>
              <w:t>2</w:t>
            </w:r>
          </w:p>
        </w:tc>
        <w:tc>
          <w:tcPr>
            <w:tcW w:w="1465" w:type="dxa"/>
            <w:shd w:val="clear" w:color="auto" w:fill="auto"/>
            <w:noWrap/>
            <w:vAlign w:val="center"/>
          </w:tcPr>
          <w:p w14:paraId="37B758CF" w14:textId="77777777" w:rsidR="00860F8E" w:rsidRPr="00053FD1" w:rsidRDefault="00860F8E" w:rsidP="005D646B">
            <w:pPr>
              <w:pStyle w:val="TableText"/>
              <w:rPr>
                <w:lang w:eastAsia="en-AU"/>
              </w:rPr>
            </w:pPr>
            <w:r w:rsidRPr="00053FD1">
              <w:t>–</w:t>
            </w:r>
          </w:p>
        </w:tc>
        <w:tc>
          <w:tcPr>
            <w:tcW w:w="1397" w:type="dxa"/>
            <w:vAlign w:val="center"/>
          </w:tcPr>
          <w:p w14:paraId="0FD6D76B" w14:textId="77777777" w:rsidR="00860F8E" w:rsidRPr="00053FD1" w:rsidRDefault="00860F8E" w:rsidP="005D646B">
            <w:pPr>
              <w:pStyle w:val="TableText"/>
              <w:rPr>
                <w:lang w:eastAsia="en-AU"/>
              </w:rPr>
            </w:pPr>
            <w:r w:rsidRPr="00053FD1">
              <w:t>–</w:t>
            </w:r>
          </w:p>
        </w:tc>
        <w:tc>
          <w:tcPr>
            <w:tcW w:w="1397" w:type="dxa"/>
            <w:shd w:val="clear" w:color="auto" w:fill="auto"/>
            <w:noWrap/>
            <w:vAlign w:val="center"/>
          </w:tcPr>
          <w:p w14:paraId="4012CBA9" w14:textId="77777777" w:rsidR="00860F8E" w:rsidRPr="00053FD1" w:rsidRDefault="00860F8E" w:rsidP="005D646B">
            <w:pPr>
              <w:pStyle w:val="TableText"/>
              <w:rPr>
                <w:lang w:eastAsia="en-AU"/>
              </w:rPr>
            </w:pPr>
            <w:r w:rsidRPr="00053FD1">
              <w:rPr>
                <w:color w:val="000000"/>
                <w:lang w:eastAsia="en-AU"/>
              </w:rPr>
              <w:t>77</w:t>
            </w:r>
          </w:p>
        </w:tc>
        <w:tc>
          <w:tcPr>
            <w:tcW w:w="1397" w:type="dxa"/>
            <w:shd w:val="clear" w:color="auto" w:fill="auto"/>
            <w:noWrap/>
            <w:vAlign w:val="center"/>
          </w:tcPr>
          <w:p w14:paraId="2C1BD72E" w14:textId="77777777" w:rsidR="00860F8E" w:rsidRPr="00053FD1" w:rsidRDefault="00860F8E" w:rsidP="005D646B">
            <w:pPr>
              <w:pStyle w:val="TableText"/>
              <w:rPr>
                <w:lang w:eastAsia="en-AU"/>
              </w:rPr>
            </w:pPr>
            <w:r w:rsidRPr="00053FD1">
              <w:t>–</w:t>
            </w:r>
          </w:p>
        </w:tc>
        <w:tc>
          <w:tcPr>
            <w:tcW w:w="1392" w:type="dxa"/>
            <w:shd w:val="clear" w:color="auto" w:fill="auto"/>
            <w:noWrap/>
            <w:vAlign w:val="center"/>
          </w:tcPr>
          <w:p w14:paraId="431ACFCF" w14:textId="77777777" w:rsidR="00860F8E" w:rsidRPr="00053FD1" w:rsidRDefault="00860F8E" w:rsidP="005D646B">
            <w:pPr>
              <w:pStyle w:val="TableText"/>
            </w:pPr>
            <w:r w:rsidRPr="00053FD1">
              <w:t>79</w:t>
            </w:r>
          </w:p>
        </w:tc>
      </w:tr>
      <w:tr w:rsidR="00860F8E" w:rsidRPr="00053FD1" w14:paraId="272240B0" w14:textId="77777777" w:rsidTr="00A858B3">
        <w:trPr>
          <w:trHeight w:val="234"/>
        </w:trPr>
        <w:tc>
          <w:tcPr>
            <w:tcW w:w="4786" w:type="dxa"/>
            <w:shd w:val="clear" w:color="auto" w:fill="auto"/>
            <w:noWrap/>
            <w:vAlign w:val="center"/>
          </w:tcPr>
          <w:p w14:paraId="69F7AFCB" w14:textId="77777777" w:rsidR="00860F8E" w:rsidRPr="00053FD1" w:rsidRDefault="00860F8E" w:rsidP="005D646B">
            <w:pPr>
              <w:pStyle w:val="TableText"/>
            </w:pPr>
            <w:r w:rsidRPr="00053FD1">
              <w:t>Professional Services</w:t>
            </w:r>
          </w:p>
        </w:tc>
        <w:tc>
          <w:tcPr>
            <w:tcW w:w="1464" w:type="dxa"/>
            <w:vAlign w:val="center"/>
          </w:tcPr>
          <w:p w14:paraId="5E1FE911" w14:textId="77777777" w:rsidR="00860F8E" w:rsidRPr="00053FD1" w:rsidRDefault="00860F8E" w:rsidP="005D646B">
            <w:pPr>
              <w:pStyle w:val="TableText"/>
              <w:rPr>
                <w:lang w:eastAsia="en-AU"/>
              </w:rPr>
            </w:pPr>
            <w:r w:rsidRPr="00053FD1">
              <w:rPr>
                <w:color w:val="000000"/>
                <w:lang w:eastAsia="en-AU"/>
              </w:rPr>
              <w:t>2</w:t>
            </w:r>
          </w:p>
        </w:tc>
        <w:tc>
          <w:tcPr>
            <w:tcW w:w="1465" w:type="dxa"/>
            <w:shd w:val="clear" w:color="auto" w:fill="auto"/>
            <w:noWrap/>
            <w:vAlign w:val="center"/>
          </w:tcPr>
          <w:p w14:paraId="093D27B7" w14:textId="77777777" w:rsidR="00860F8E" w:rsidRPr="00053FD1" w:rsidRDefault="00860F8E" w:rsidP="005D646B">
            <w:pPr>
              <w:pStyle w:val="TableText"/>
              <w:rPr>
                <w:lang w:eastAsia="en-AU"/>
              </w:rPr>
            </w:pPr>
            <w:r w:rsidRPr="00053FD1">
              <w:t>–</w:t>
            </w:r>
          </w:p>
        </w:tc>
        <w:tc>
          <w:tcPr>
            <w:tcW w:w="1465" w:type="dxa"/>
            <w:shd w:val="clear" w:color="auto" w:fill="auto"/>
            <w:noWrap/>
            <w:vAlign w:val="center"/>
          </w:tcPr>
          <w:p w14:paraId="0A295899" w14:textId="77777777" w:rsidR="00860F8E" w:rsidRPr="00053FD1" w:rsidRDefault="00860F8E" w:rsidP="005D646B">
            <w:pPr>
              <w:pStyle w:val="TableText"/>
              <w:rPr>
                <w:lang w:eastAsia="en-AU"/>
              </w:rPr>
            </w:pPr>
            <w:r w:rsidRPr="00053FD1">
              <w:t>–</w:t>
            </w:r>
          </w:p>
        </w:tc>
        <w:tc>
          <w:tcPr>
            <w:tcW w:w="1397" w:type="dxa"/>
            <w:vAlign w:val="center"/>
          </w:tcPr>
          <w:p w14:paraId="6F389323" w14:textId="77777777" w:rsidR="00860F8E" w:rsidRPr="00053FD1" w:rsidRDefault="00860F8E" w:rsidP="005D646B">
            <w:pPr>
              <w:pStyle w:val="TableText"/>
              <w:rPr>
                <w:lang w:eastAsia="en-AU"/>
              </w:rPr>
            </w:pPr>
            <w:r w:rsidRPr="00053FD1">
              <w:t>–</w:t>
            </w:r>
          </w:p>
        </w:tc>
        <w:tc>
          <w:tcPr>
            <w:tcW w:w="1397" w:type="dxa"/>
            <w:shd w:val="clear" w:color="auto" w:fill="auto"/>
            <w:noWrap/>
            <w:vAlign w:val="center"/>
          </w:tcPr>
          <w:p w14:paraId="68719056" w14:textId="77777777" w:rsidR="00860F8E" w:rsidRPr="00053FD1" w:rsidRDefault="00860F8E" w:rsidP="005D646B">
            <w:pPr>
              <w:pStyle w:val="TableText"/>
              <w:rPr>
                <w:lang w:eastAsia="en-AU"/>
              </w:rPr>
            </w:pPr>
            <w:r w:rsidRPr="00053FD1">
              <w:rPr>
                <w:color w:val="000000"/>
                <w:lang w:eastAsia="en-AU"/>
              </w:rPr>
              <w:t>10</w:t>
            </w:r>
          </w:p>
        </w:tc>
        <w:tc>
          <w:tcPr>
            <w:tcW w:w="1397" w:type="dxa"/>
            <w:shd w:val="clear" w:color="auto" w:fill="auto"/>
            <w:noWrap/>
            <w:vAlign w:val="center"/>
          </w:tcPr>
          <w:p w14:paraId="67BB1F5D" w14:textId="77777777" w:rsidR="00860F8E" w:rsidRPr="00053FD1" w:rsidRDefault="00860F8E" w:rsidP="005D646B">
            <w:pPr>
              <w:pStyle w:val="TableText"/>
              <w:rPr>
                <w:lang w:eastAsia="en-AU"/>
              </w:rPr>
            </w:pPr>
            <w:r w:rsidRPr="00053FD1">
              <w:t>–</w:t>
            </w:r>
          </w:p>
        </w:tc>
        <w:tc>
          <w:tcPr>
            <w:tcW w:w="1392" w:type="dxa"/>
            <w:shd w:val="clear" w:color="auto" w:fill="auto"/>
            <w:noWrap/>
            <w:vAlign w:val="center"/>
          </w:tcPr>
          <w:p w14:paraId="10AF10C0" w14:textId="77777777" w:rsidR="00860F8E" w:rsidRPr="00053FD1" w:rsidRDefault="00860F8E" w:rsidP="005D646B">
            <w:pPr>
              <w:pStyle w:val="TableText"/>
            </w:pPr>
            <w:r w:rsidRPr="00053FD1">
              <w:t>12</w:t>
            </w:r>
          </w:p>
        </w:tc>
      </w:tr>
      <w:tr w:rsidR="00860F8E" w:rsidRPr="00053FD1" w14:paraId="2F144F2B" w14:textId="77777777" w:rsidTr="00A858B3">
        <w:trPr>
          <w:trHeight w:val="234"/>
        </w:trPr>
        <w:tc>
          <w:tcPr>
            <w:tcW w:w="4786" w:type="dxa"/>
            <w:shd w:val="clear" w:color="auto" w:fill="auto"/>
            <w:noWrap/>
            <w:vAlign w:val="center"/>
          </w:tcPr>
          <w:p w14:paraId="6818567C" w14:textId="77777777" w:rsidR="00860F8E" w:rsidRPr="00053FD1" w:rsidRDefault="00860F8E" w:rsidP="005D646B">
            <w:pPr>
              <w:pStyle w:val="TableText"/>
            </w:pPr>
            <w:r w:rsidRPr="00053FD1">
              <w:t>National Officer Manager</w:t>
            </w:r>
          </w:p>
        </w:tc>
        <w:tc>
          <w:tcPr>
            <w:tcW w:w="1464" w:type="dxa"/>
            <w:vAlign w:val="center"/>
          </w:tcPr>
          <w:p w14:paraId="08BAB5E2" w14:textId="77777777" w:rsidR="00860F8E" w:rsidRPr="00053FD1" w:rsidRDefault="00860F8E" w:rsidP="005D646B">
            <w:pPr>
              <w:pStyle w:val="TableText"/>
              <w:rPr>
                <w:lang w:eastAsia="en-AU"/>
              </w:rPr>
            </w:pPr>
            <w:r w:rsidRPr="00053FD1">
              <w:t>–</w:t>
            </w:r>
          </w:p>
        </w:tc>
        <w:tc>
          <w:tcPr>
            <w:tcW w:w="1465" w:type="dxa"/>
            <w:shd w:val="clear" w:color="auto" w:fill="auto"/>
            <w:noWrap/>
            <w:vAlign w:val="center"/>
          </w:tcPr>
          <w:p w14:paraId="7DE0429D" w14:textId="77777777" w:rsidR="00860F8E" w:rsidRPr="00053FD1" w:rsidRDefault="00860F8E" w:rsidP="005D646B">
            <w:pPr>
              <w:pStyle w:val="TableText"/>
              <w:rPr>
                <w:lang w:eastAsia="en-AU"/>
              </w:rPr>
            </w:pPr>
            <w:r w:rsidRPr="00053FD1">
              <w:rPr>
                <w:color w:val="000000"/>
                <w:lang w:eastAsia="en-AU"/>
              </w:rPr>
              <w:t>3</w:t>
            </w:r>
          </w:p>
        </w:tc>
        <w:tc>
          <w:tcPr>
            <w:tcW w:w="1465" w:type="dxa"/>
            <w:shd w:val="clear" w:color="auto" w:fill="auto"/>
            <w:noWrap/>
            <w:vAlign w:val="center"/>
          </w:tcPr>
          <w:p w14:paraId="1F6884FC" w14:textId="77777777" w:rsidR="00860F8E" w:rsidRPr="00053FD1" w:rsidRDefault="00860F8E" w:rsidP="005D646B">
            <w:pPr>
              <w:pStyle w:val="TableText"/>
              <w:rPr>
                <w:lang w:eastAsia="en-AU"/>
              </w:rPr>
            </w:pPr>
            <w:r w:rsidRPr="00053FD1">
              <w:t>–</w:t>
            </w:r>
          </w:p>
        </w:tc>
        <w:tc>
          <w:tcPr>
            <w:tcW w:w="1397" w:type="dxa"/>
            <w:vAlign w:val="center"/>
          </w:tcPr>
          <w:p w14:paraId="07C28C72" w14:textId="77777777" w:rsidR="00860F8E" w:rsidRPr="00053FD1" w:rsidRDefault="00860F8E" w:rsidP="005D646B">
            <w:pPr>
              <w:pStyle w:val="TableText"/>
              <w:rPr>
                <w:lang w:eastAsia="en-AU"/>
              </w:rPr>
            </w:pPr>
            <w:r w:rsidRPr="00053FD1">
              <w:t>–</w:t>
            </w:r>
          </w:p>
        </w:tc>
        <w:tc>
          <w:tcPr>
            <w:tcW w:w="1397" w:type="dxa"/>
            <w:shd w:val="clear" w:color="auto" w:fill="auto"/>
            <w:noWrap/>
            <w:vAlign w:val="center"/>
          </w:tcPr>
          <w:p w14:paraId="4D929D2C" w14:textId="77777777" w:rsidR="00860F8E" w:rsidRPr="00053FD1" w:rsidRDefault="00860F8E" w:rsidP="005D646B">
            <w:pPr>
              <w:pStyle w:val="TableText"/>
              <w:rPr>
                <w:lang w:eastAsia="en-AU"/>
              </w:rPr>
            </w:pPr>
            <w:r w:rsidRPr="00053FD1">
              <w:rPr>
                <w:color w:val="000000"/>
                <w:lang w:eastAsia="en-AU"/>
              </w:rPr>
              <w:t>17</w:t>
            </w:r>
          </w:p>
        </w:tc>
        <w:tc>
          <w:tcPr>
            <w:tcW w:w="1397" w:type="dxa"/>
            <w:shd w:val="clear" w:color="auto" w:fill="auto"/>
            <w:noWrap/>
            <w:vAlign w:val="center"/>
          </w:tcPr>
          <w:p w14:paraId="0CA47DD3" w14:textId="77777777" w:rsidR="00860F8E" w:rsidRPr="00053FD1" w:rsidRDefault="00860F8E" w:rsidP="005D646B">
            <w:pPr>
              <w:pStyle w:val="TableText"/>
              <w:rPr>
                <w:lang w:eastAsia="en-AU"/>
              </w:rPr>
            </w:pPr>
            <w:r w:rsidRPr="00053FD1">
              <w:t>–</w:t>
            </w:r>
          </w:p>
        </w:tc>
        <w:tc>
          <w:tcPr>
            <w:tcW w:w="1392" w:type="dxa"/>
            <w:shd w:val="clear" w:color="auto" w:fill="auto"/>
            <w:noWrap/>
            <w:vAlign w:val="center"/>
          </w:tcPr>
          <w:p w14:paraId="1D7BBD27" w14:textId="77777777" w:rsidR="00860F8E" w:rsidRPr="00053FD1" w:rsidRDefault="00860F8E" w:rsidP="005D646B">
            <w:pPr>
              <w:pStyle w:val="TableText"/>
            </w:pPr>
            <w:r w:rsidRPr="00053FD1">
              <w:t>20</w:t>
            </w:r>
          </w:p>
        </w:tc>
      </w:tr>
      <w:tr w:rsidR="00860F8E" w:rsidRPr="00053FD1" w14:paraId="3C05C19D" w14:textId="77777777" w:rsidTr="00A858B3">
        <w:trPr>
          <w:trHeight w:val="234"/>
        </w:trPr>
        <w:tc>
          <w:tcPr>
            <w:tcW w:w="4786" w:type="dxa"/>
            <w:shd w:val="clear" w:color="auto" w:fill="auto"/>
            <w:noWrap/>
            <w:vAlign w:val="center"/>
          </w:tcPr>
          <w:p w14:paraId="392E01D5" w14:textId="77777777" w:rsidR="00860F8E" w:rsidRPr="00053FD1" w:rsidRDefault="00860F8E" w:rsidP="005D646B">
            <w:pPr>
              <w:pStyle w:val="TableText"/>
            </w:pPr>
            <w:r w:rsidRPr="00053FD1">
              <w:t>Senior Management</w:t>
            </w:r>
          </w:p>
        </w:tc>
        <w:tc>
          <w:tcPr>
            <w:tcW w:w="1464" w:type="dxa"/>
            <w:vAlign w:val="center"/>
          </w:tcPr>
          <w:p w14:paraId="350920B8" w14:textId="77777777" w:rsidR="00860F8E" w:rsidRPr="00053FD1" w:rsidRDefault="00860F8E" w:rsidP="005D646B">
            <w:pPr>
              <w:pStyle w:val="TableText"/>
              <w:rPr>
                <w:lang w:eastAsia="en-AU"/>
              </w:rPr>
            </w:pPr>
            <w:r w:rsidRPr="00053FD1">
              <w:t>–</w:t>
            </w:r>
          </w:p>
        </w:tc>
        <w:tc>
          <w:tcPr>
            <w:tcW w:w="1465" w:type="dxa"/>
            <w:shd w:val="clear" w:color="auto" w:fill="auto"/>
            <w:noWrap/>
            <w:vAlign w:val="center"/>
          </w:tcPr>
          <w:p w14:paraId="3A39129A" w14:textId="77777777" w:rsidR="00860F8E" w:rsidRPr="00053FD1" w:rsidRDefault="00860F8E" w:rsidP="005D646B">
            <w:pPr>
              <w:pStyle w:val="TableText"/>
              <w:rPr>
                <w:lang w:eastAsia="en-AU"/>
              </w:rPr>
            </w:pPr>
            <w:r w:rsidRPr="00053FD1">
              <w:rPr>
                <w:color w:val="000000"/>
                <w:lang w:eastAsia="en-AU"/>
              </w:rPr>
              <w:t>4</w:t>
            </w:r>
          </w:p>
        </w:tc>
        <w:tc>
          <w:tcPr>
            <w:tcW w:w="1465" w:type="dxa"/>
            <w:shd w:val="clear" w:color="auto" w:fill="auto"/>
            <w:noWrap/>
            <w:vAlign w:val="center"/>
          </w:tcPr>
          <w:p w14:paraId="3A8B7D08" w14:textId="77777777" w:rsidR="00860F8E" w:rsidRPr="00053FD1" w:rsidRDefault="00860F8E" w:rsidP="005D646B">
            <w:pPr>
              <w:pStyle w:val="TableText"/>
              <w:rPr>
                <w:lang w:eastAsia="en-AU"/>
              </w:rPr>
            </w:pPr>
            <w:r w:rsidRPr="00053FD1">
              <w:rPr>
                <w:color w:val="000000"/>
                <w:lang w:eastAsia="en-AU"/>
              </w:rPr>
              <w:t>2</w:t>
            </w:r>
          </w:p>
        </w:tc>
        <w:tc>
          <w:tcPr>
            <w:tcW w:w="1397" w:type="dxa"/>
            <w:vAlign w:val="center"/>
          </w:tcPr>
          <w:p w14:paraId="144862A4" w14:textId="77777777" w:rsidR="00860F8E" w:rsidRPr="00053FD1" w:rsidRDefault="00860F8E" w:rsidP="005D646B">
            <w:pPr>
              <w:pStyle w:val="TableText"/>
              <w:rPr>
                <w:lang w:eastAsia="en-AU"/>
              </w:rPr>
            </w:pPr>
            <w:r w:rsidRPr="00053FD1">
              <w:t>–</w:t>
            </w:r>
          </w:p>
        </w:tc>
        <w:tc>
          <w:tcPr>
            <w:tcW w:w="1397" w:type="dxa"/>
            <w:shd w:val="clear" w:color="auto" w:fill="auto"/>
            <w:noWrap/>
            <w:vAlign w:val="center"/>
          </w:tcPr>
          <w:p w14:paraId="37FCF30A" w14:textId="77777777" w:rsidR="00860F8E" w:rsidRPr="00053FD1" w:rsidRDefault="00860F8E" w:rsidP="005D646B">
            <w:pPr>
              <w:pStyle w:val="TableText"/>
              <w:rPr>
                <w:lang w:eastAsia="en-AU"/>
              </w:rPr>
            </w:pPr>
            <w:r w:rsidRPr="00053FD1">
              <w:rPr>
                <w:color w:val="000000"/>
                <w:lang w:eastAsia="en-AU"/>
              </w:rPr>
              <w:t>27</w:t>
            </w:r>
          </w:p>
        </w:tc>
        <w:tc>
          <w:tcPr>
            <w:tcW w:w="1397" w:type="dxa"/>
            <w:shd w:val="clear" w:color="auto" w:fill="auto"/>
            <w:noWrap/>
            <w:vAlign w:val="center"/>
          </w:tcPr>
          <w:p w14:paraId="7E0488B7" w14:textId="77777777" w:rsidR="00860F8E" w:rsidRPr="00053FD1" w:rsidRDefault="00860F8E" w:rsidP="005D646B">
            <w:pPr>
              <w:pStyle w:val="TableText"/>
              <w:rPr>
                <w:lang w:eastAsia="en-AU"/>
              </w:rPr>
            </w:pPr>
            <w:r w:rsidRPr="00053FD1">
              <w:rPr>
                <w:color w:val="000000"/>
                <w:lang w:eastAsia="en-AU"/>
              </w:rPr>
              <w:t>2</w:t>
            </w:r>
          </w:p>
        </w:tc>
        <w:tc>
          <w:tcPr>
            <w:tcW w:w="1392" w:type="dxa"/>
            <w:shd w:val="clear" w:color="auto" w:fill="auto"/>
            <w:noWrap/>
            <w:vAlign w:val="center"/>
          </w:tcPr>
          <w:p w14:paraId="0EFDDCA1" w14:textId="77777777" w:rsidR="00860F8E" w:rsidRPr="00053FD1" w:rsidRDefault="00860F8E" w:rsidP="005D646B">
            <w:pPr>
              <w:pStyle w:val="TableText"/>
            </w:pPr>
            <w:r w:rsidRPr="00053FD1">
              <w:t>35</w:t>
            </w:r>
          </w:p>
        </w:tc>
      </w:tr>
      <w:tr w:rsidR="00860F8E" w:rsidRPr="00053FD1" w14:paraId="33A84ABE" w14:textId="77777777" w:rsidTr="00A858B3">
        <w:trPr>
          <w:trHeight w:val="234"/>
        </w:trPr>
        <w:tc>
          <w:tcPr>
            <w:tcW w:w="4786" w:type="dxa"/>
            <w:shd w:val="clear" w:color="auto" w:fill="auto"/>
            <w:noWrap/>
            <w:vAlign w:val="center"/>
          </w:tcPr>
          <w:p w14:paraId="43E1758F" w14:textId="77777777" w:rsidR="00860F8E" w:rsidRPr="00053FD1" w:rsidRDefault="00860F8E" w:rsidP="005D646B">
            <w:pPr>
              <w:pStyle w:val="TableText"/>
            </w:pPr>
            <w:r w:rsidRPr="00053FD1">
              <w:t>Other classifications</w:t>
            </w:r>
          </w:p>
        </w:tc>
        <w:tc>
          <w:tcPr>
            <w:tcW w:w="1464" w:type="dxa"/>
            <w:vAlign w:val="center"/>
          </w:tcPr>
          <w:p w14:paraId="3B67BA67" w14:textId="77777777" w:rsidR="00860F8E" w:rsidRPr="00053FD1" w:rsidRDefault="00860F8E" w:rsidP="005D646B">
            <w:pPr>
              <w:pStyle w:val="TableText"/>
            </w:pPr>
            <w:r w:rsidRPr="00053FD1">
              <w:rPr>
                <w:color w:val="000000"/>
                <w:lang w:eastAsia="en-AU"/>
              </w:rPr>
              <w:t>9</w:t>
            </w:r>
          </w:p>
        </w:tc>
        <w:tc>
          <w:tcPr>
            <w:tcW w:w="1465" w:type="dxa"/>
            <w:shd w:val="clear" w:color="auto" w:fill="auto"/>
            <w:noWrap/>
            <w:vAlign w:val="center"/>
          </w:tcPr>
          <w:p w14:paraId="1566D7E3" w14:textId="77777777" w:rsidR="00860F8E" w:rsidRPr="00053FD1" w:rsidRDefault="00860F8E" w:rsidP="005D646B">
            <w:pPr>
              <w:pStyle w:val="TableText"/>
              <w:rPr>
                <w:color w:val="000000"/>
                <w:lang w:eastAsia="en-AU"/>
              </w:rPr>
            </w:pPr>
            <w:r w:rsidRPr="00053FD1">
              <w:rPr>
                <w:color w:val="000000"/>
                <w:lang w:eastAsia="en-AU"/>
              </w:rPr>
              <w:t>217</w:t>
            </w:r>
          </w:p>
        </w:tc>
        <w:tc>
          <w:tcPr>
            <w:tcW w:w="1465" w:type="dxa"/>
            <w:shd w:val="clear" w:color="auto" w:fill="auto"/>
            <w:noWrap/>
            <w:vAlign w:val="center"/>
          </w:tcPr>
          <w:p w14:paraId="2574EA78" w14:textId="77777777" w:rsidR="00860F8E" w:rsidRPr="00053FD1" w:rsidRDefault="00860F8E" w:rsidP="005D646B">
            <w:pPr>
              <w:pStyle w:val="TableText"/>
              <w:rPr>
                <w:color w:val="000000"/>
                <w:lang w:eastAsia="en-AU"/>
              </w:rPr>
            </w:pPr>
            <w:r w:rsidRPr="00053FD1">
              <w:rPr>
                <w:color w:val="000000"/>
                <w:lang w:eastAsia="en-AU"/>
              </w:rPr>
              <w:t>22</w:t>
            </w:r>
          </w:p>
        </w:tc>
        <w:tc>
          <w:tcPr>
            <w:tcW w:w="1397" w:type="dxa"/>
            <w:vAlign w:val="center"/>
          </w:tcPr>
          <w:p w14:paraId="1153D09E" w14:textId="77777777" w:rsidR="00860F8E" w:rsidRPr="00053FD1" w:rsidRDefault="00860F8E" w:rsidP="005D646B">
            <w:pPr>
              <w:pStyle w:val="TableText"/>
            </w:pPr>
            <w:r w:rsidRPr="00053FD1">
              <w:rPr>
                <w:color w:val="000000"/>
                <w:lang w:eastAsia="en-AU"/>
              </w:rPr>
              <w:t>4</w:t>
            </w:r>
          </w:p>
        </w:tc>
        <w:tc>
          <w:tcPr>
            <w:tcW w:w="1397" w:type="dxa"/>
            <w:shd w:val="clear" w:color="auto" w:fill="auto"/>
            <w:noWrap/>
            <w:vAlign w:val="center"/>
          </w:tcPr>
          <w:p w14:paraId="5776FAC3" w14:textId="77777777" w:rsidR="00860F8E" w:rsidRPr="00053FD1" w:rsidRDefault="00860F8E" w:rsidP="005D646B">
            <w:pPr>
              <w:pStyle w:val="TableText"/>
              <w:rPr>
                <w:color w:val="000000"/>
                <w:lang w:eastAsia="en-AU"/>
              </w:rPr>
            </w:pPr>
            <w:r w:rsidRPr="00053FD1">
              <w:rPr>
                <w:color w:val="000000"/>
                <w:lang w:eastAsia="en-AU"/>
              </w:rPr>
              <w:t>156</w:t>
            </w:r>
          </w:p>
        </w:tc>
        <w:tc>
          <w:tcPr>
            <w:tcW w:w="1397" w:type="dxa"/>
            <w:shd w:val="clear" w:color="auto" w:fill="auto"/>
            <w:noWrap/>
            <w:vAlign w:val="center"/>
          </w:tcPr>
          <w:p w14:paraId="0A7F01FB" w14:textId="77777777" w:rsidR="00860F8E" w:rsidRPr="00053FD1" w:rsidRDefault="00860F8E" w:rsidP="005D646B">
            <w:pPr>
              <w:pStyle w:val="TableText"/>
              <w:rPr>
                <w:color w:val="000000"/>
                <w:lang w:eastAsia="en-AU"/>
              </w:rPr>
            </w:pPr>
            <w:r w:rsidRPr="00053FD1">
              <w:rPr>
                <w:color w:val="000000"/>
              </w:rPr>
              <w:t>15</w:t>
            </w:r>
          </w:p>
        </w:tc>
        <w:tc>
          <w:tcPr>
            <w:tcW w:w="1392" w:type="dxa"/>
            <w:shd w:val="clear" w:color="auto" w:fill="auto"/>
            <w:noWrap/>
            <w:vAlign w:val="center"/>
          </w:tcPr>
          <w:p w14:paraId="457BA651" w14:textId="77777777" w:rsidR="00860F8E" w:rsidRPr="00053FD1" w:rsidRDefault="00860F8E" w:rsidP="005D646B">
            <w:pPr>
              <w:pStyle w:val="TableText"/>
            </w:pPr>
            <w:r w:rsidRPr="00053FD1">
              <w:t>423</w:t>
            </w:r>
          </w:p>
        </w:tc>
      </w:tr>
      <w:tr w:rsidR="00860F8E" w:rsidRPr="00053FD1" w14:paraId="2BE4DD8D" w14:textId="77777777" w:rsidTr="00A858B3">
        <w:trPr>
          <w:trHeight w:val="245"/>
        </w:trPr>
        <w:tc>
          <w:tcPr>
            <w:tcW w:w="4786" w:type="dxa"/>
            <w:shd w:val="clear" w:color="auto" w:fill="auto"/>
            <w:noWrap/>
            <w:vAlign w:val="bottom"/>
            <w:hideMark/>
          </w:tcPr>
          <w:p w14:paraId="5A482247" w14:textId="77777777" w:rsidR="00860F8E" w:rsidRPr="005D646B" w:rsidRDefault="00860F8E" w:rsidP="005D646B">
            <w:pPr>
              <w:pStyle w:val="TableText"/>
              <w:rPr>
                <w:b/>
              </w:rPr>
            </w:pPr>
            <w:r w:rsidRPr="005D646B">
              <w:rPr>
                <w:b/>
              </w:rPr>
              <w:t>Total</w:t>
            </w:r>
          </w:p>
        </w:tc>
        <w:tc>
          <w:tcPr>
            <w:tcW w:w="1464" w:type="dxa"/>
            <w:vAlign w:val="center"/>
          </w:tcPr>
          <w:p w14:paraId="1C57F408" w14:textId="77777777" w:rsidR="00860F8E" w:rsidRPr="005D646B" w:rsidRDefault="00860F8E" w:rsidP="005D646B">
            <w:pPr>
              <w:pStyle w:val="TableText"/>
              <w:rPr>
                <w:b/>
              </w:rPr>
            </w:pPr>
            <w:r w:rsidRPr="005D646B">
              <w:rPr>
                <w:b/>
              </w:rPr>
              <w:t>11</w:t>
            </w:r>
          </w:p>
        </w:tc>
        <w:tc>
          <w:tcPr>
            <w:tcW w:w="1465" w:type="dxa"/>
            <w:shd w:val="clear" w:color="auto" w:fill="auto"/>
            <w:noWrap/>
            <w:vAlign w:val="center"/>
          </w:tcPr>
          <w:p w14:paraId="7539A282" w14:textId="77777777" w:rsidR="00860F8E" w:rsidRPr="005D646B" w:rsidRDefault="00860F8E" w:rsidP="005D646B">
            <w:pPr>
              <w:pStyle w:val="TableText"/>
              <w:rPr>
                <w:b/>
              </w:rPr>
            </w:pPr>
            <w:r w:rsidRPr="005D646B">
              <w:rPr>
                <w:b/>
              </w:rPr>
              <w:t>251</w:t>
            </w:r>
          </w:p>
        </w:tc>
        <w:tc>
          <w:tcPr>
            <w:tcW w:w="1465" w:type="dxa"/>
            <w:shd w:val="clear" w:color="auto" w:fill="auto"/>
            <w:noWrap/>
            <w:vAlign w:val="center"/>
          </w:tcPr>
          <w:p w14:paraId="3F1C39A1" w14:textId="77777777" w:rsidR="00860F8E" w:rsidRPr="005D646B" w:rsidRDefault="00860F8E" w:rsidP="005D646B">
            <w:pPr>
              <w:pStyle w:val="TableText"/>
              <w:rPr>
                <w:b/>
              </w:rPr>
            </w:pPr>
            <w:r w:rsidRPr="005D646B">
              <w:rPr>
                <w:b/>
              </w:rPr>
              <w:t>25</w:t>
            </w:r>
          </w:p>
        </w:tc>
        <w:tc>
          <w:tcPr>
            <w:tcW w:w="1397" w:type="dxa"/>
            <w:vAlign w:val="center"/>
          </w:tcPr>
          <w:p w14:paraId="38DBBE9D" w14:textId="77777777" w:rsidR="00860F8E" w:rsidRPr="005D646B" w:rsidRDefault="00860F8E" w:rsidP="005D646B">
            <w:pPr>
              <w:pStyle w:val="TableText"/>
              <w:rPr>
                <w:b/>
                <w:lang w:eastAsia="en-AU"/>
              </w:rPr>
            </w:pPr>
            <w:r w:rsidRPr="005D646B">
              <w:rPr>
                <w:b/>
                <w:lang w:eastAsia="en-AU"/>
              </w:rPr>
              <w:t>5</w:t>
            </w:r>
          </w:p>
        </w:tc>
        <w:tc>
          <w:tcPr>
            <w:tcW w:w="1397" w:type="dxa"/>
            <w:shd w:val="clear" w:color="auto" w:fill="auto"/>
            <w:noWrap/>
            <w:vAlign w:val="center"/>
          </w:tcPr>
          <w:p w14:paraId="612C60CE" w14:textId="77777777" w:rsidR="00860F8E" w:rsidRPr="005D646B" w:rsidRDefault="00860F8E" w:rsidP="005D646B">
            <w:pPr>
              <w:pStyle w:val="TableText"/>
              <w:rPr>
                <w:b/>
                <w:lang w:eastAsia="en-AU"/>
              </w:rPr>
            </w:pPr>
            <w:r w:rsidRPr="005D646B">
              <w:rPr>
                <w:b/>
                <w:lang w:eastAsia="en-AU"/>
              </w:rPr>
              <w:t>518</w:t>
            </w:r>
          </w:p>
        </w:tc>
        <w:tc>
          <w:tcPr>
            <w:tcW w:w="1397" w:type="dxa"/>
            <w:shd w:val="clear" w:color="auto" w:fill="auto"/>
            <w:noWrap/>
            <w:vAlign w:val="center"/>
          </w:tcPr>
          <w:p w14:paraId="7E8A9B85" w14:textId="77777777" w:rsidR="00860F8E" w:rsidRPr="005D646B" w:rsidRDefault="00860F8E" w:rsidP="005D646B">
            <w:pPr>
              <w:pStyle w:val="TableText"/>
              <w:rPr>
                <w:b/>
                <w:lang w:eastAsia="en-AU"/>
              </w:rPr>
            </w:pPr>
            <w:r w:rsidRPr="005D646B">
              <w:rPr>
                <w:b/>
                <w:lang w:eastAsia="en-AU"/>
              </w:rPr>
              <w:t>22</w:t>
            </w:r>
          </w:p>
        </w:tc>
        <w:tc>
          <w:tcPr>
            <w:tcW w:w="1392" w:type="dxa"/>
            <w:shd w:val="clear" w:color="auto" w:fill="auto"/>
            <w:noWrap/>
            <w:vAlign w:val="center"/>
          </w:tcPr>
          <w:p w14:paraId="267D319B" w14:textId="77777777" w:rsidR="00860F8E" w:rsidRPr="005D646B" w:rsidRDefault="00860F8E" w:rsidP="005D646B">
            <w:pPr>
              <w:pStyle w:val="TableText"/>
              <w:rPr>
                <w:b/>
              </w:rPr>
            </w:pPr>
            <w:r w:rsidRPr="005D646B">
              <w:rPr>
                <w:b/>
              </w:rPr>
              <w:t>832</w:t>
            </w:r>
          </w:p>
        </w:tc>
      </w:tr>
    </w:tbl>
    <w:p w14:paraId="061446B0" w14:textId="77777777" w:rsidR="00860F8E" w:rsidRPr="000178FD" w:rsidRDefault="00860F8E" w:rsidP="00860F8E">
      <w:pPr>
        <w:rPr>
          <w:highlight w:val="yellow"/>
        </w:rPr>
      </w:pPr>
    </w:p>
    <w:p w14:paraId="52E886F5" w14:textId="77777777" w:rsidR="00860F8E" w:rsidRPr="000178FD" w:rsidRDefault="00860F8E" w:rsidP="00860F8E">
      <w:pPr>
        <w:rPr>
          <w:highlight w:val="yellow"/>
        </w:rPr>
        <w:sectPr w:rsidR="00860F8E" w:rsidRPr="000178FD" w:rsidSect="00335EE2">
          <w:pgSz w:w="16838" w:h="11906" w:orient="landscape"/>
          <w:pgMar w:top="1440" w:right="1440" w:bottom="1440" w:left="851" w:header="708" w:footer="708" w:gutter="0"/>
          <w:cols w:space="708"/>
          <w:docGrid w:linePitch="360"/>
        </w:sectPr>
      </w:pPr>
    </w:p>
    <w:p w14:paraId="3D8E479C" w14:textId="77777777" w:rsidR="00860F8E" w:rsidRPr="00053FD1" w:rsidRDefault="00860F8E" w:rsidP="00860F8E">
      <w:pPr>
        <w:pStyle w:val="TableName"/>
      </w:pPr>
      <w:r w:rsidRPr="00053FD1">
        <w:rPr>
          <w:lang w:eastAsia="en-AU"/>
        </w:rPr>
        <w:lastRenderedPageBreak/>
        <w:t>Table B.3</w:t>
      </w:r>
      <w:r w:rsidRPr="00053FD1">
        <w:rPr>
          <w:lang w:eastAsia="en-AU"/>
        </w:rPr>
        <w:tab/>
        <w:t xml:space="preserve">Employees by classification and age grouping at 30 June </w:t>
      </w:r>
      <w:r>
        <w:rPr>
          <w:lang w:eastAsia="en-AU"/>
        </w:rPr>
        <w:t>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6"/>
        <w:gridCol w:w="843"/>
        <w:gridCol w:w="846"/>
        <w:gridCol w:w="846"/>
        <w:gridCol w:w="846"/>
        <w:gridCol w:w="846"/>
        <w:gridCol w:w="846"/>
        <w:gridCol w:w="797"/>
      </w:tblGrid>
      <w:tr w:rsidR="00860F8E" w:rsidRPr="00053FD1" w14:paraId="2B40F337" w14:textId="77777777" w:rsidTr="00A858B3">
        <w:trPr>
          <w:trHeight w:val="450"/>
          <w:tblHeader/>
        </w:trPr>
        <w:tc>
          <w:tcPr>
            <w:tcW w:w="1745" w:type="pct"/>
            <w:vMerge w:val="restart"/>
            <w:vAlign w:val="bottom"/>
          </w:tcPr>
          <w:p w14:paraId="165E0703" w14:textId="77777777" w:rsidR="00860F8E" w:rsidRPr="005D646B" w:rsidRDefault="00860F8E" w:rsidP="005D646B">
            <w:pPr>
              <w:pStyle w:val="TableText"/>
              <w:rPr>
                <w:b/>
              </w:rPr>
            </w:pPr>
            <w:r w:rsidRPr="005D646B">
              <w:rPr>
                <w:b/>
              </w:rPr>
              <w:t>Classification</w:t>
            </w:r>
          </w:p>
        </w:tc>
        <w:tc>
          <w:tcPr>
            <w:tcW w:w="2811" w:type="pct"/>
            <w:gridSpan w:val="6"/>
            <w:noWrap/>
          </w:tcPr>
          <w:p w14:paraId="303FC1AD" w14:textId="77777777" w:rsidR="00860F8E" w:rsidRPr="005D646B" w:rsidRDefault="00860F8E" w:rsidP="005D646B">
            <w:pPr>
              <w:pStyle w:val="TableText"/>
              <w:rPr>
                <w:b/>
              </w:rPr>
            </w:pPr>
            <w:r w:rsidRPr="005D646B">
              <w:rPr>
                <w:b/>
              </w:rPr>
              <w:t>Age grouping</w:t>
            </w:r>
          </w:p>
        </w:tc>
        <w:tc>
          <w:tcPr>
            <w:tcW w:w="444" w:type="pct"/>
            <w:vMerge w:val="restart"/>
            <w:noWrap/>
            <w:vAlign w:val="bottom"/>
          </w:tcPr>
          <w:p w14:paraId="18F5DD8C" w14:textId="77777777" w:rsidR="00860F8E" w:rsidRPr="005D646B" w:rsidRDefault="00860F8E" w:rsidP="005D646B">
            <w:pPr>
              <w:pStyle w:val="TableText"/>
              <w:rPr>
                <w:b/>
              </w:rPr>
            </w:pPr>
            <w:r w:rsidRPr="005D646B">
              <w:rPr>
                <w:b/>
              </w:rPr>
              <w:t>Total</w:t>
            </w:r>
          </w:p>
        </w:tc>
      </w:tr>
      <w:tr w:rsidR="00860F8E" w:rsidRPr="00053FD1" w14:paraId="68D4BBD4" w14:textId="77777777" w:rsidTr="00A858B3">
        <w:trPr>
          <w:trHeight w:val="255"/>
          <w:tblHeader/>
        </w:trPr>
        <w:tc>
          <w:tcPr>
            <w:tcW w:w="1745" w:type="pct"/>
            <w:vMerge/>
            <w:noWrap/>
            <w:vAlign w:val="bottom"/>
          </w:tcPr>
          <w:p w14:paraId="75BF5706" w14:textId="77777777" w:rsidR="00860F8E" w:rsidRPr="00053FD1" w:rsidRDefault="00860F8E" w:rsidP="005D646B">
            <w:pPr>
              <w:pStyle w:val="TableText"/>
              <w:rPr>
                <w:rFonts w:ascii="Arial" w:hAnsi="Arial" w:cs="Arial"/>
              </w:rPr>
            </w:pPr>
          </w:p>
        </w:tc>
        <w:tc>
          <w:tcPr>
            <w:tcW w:w="468" w:type="pct"/>
            <w:noWrap/>
          </w:tcPr>
          <w:p w14:paraId="487A7D69" w14:textId="77777777" w:rsidR="00860F8E" w:rsidRPr="00053FD1" w:rsidRDefault="00860F8E" w:rsidP="005D646B">
            <w:pPr>
              <w:pStyle w:val="TableText"/>
            </w:pPr>
            <w:r w:rsidRPr="00053FD1">
              <w:t>&lt; 25</w:t>
            </w:r>
          </w:p>
        </w:tc>
        <w:tc>
          <w:tcPr>
            <w:tcW w:w="469" w:type="pct"/>
            <w:noWrap/>
          </w:tcPr>
          <w:p w14:paraId="1E2A0548" w14:textId="77777777" w:rsidR="00860F8E" w:rsidRPr="00053FD1" w:rsidRDefault="00860F8E" w:rsidP="005D646B">
            <w:pPr>
              <w:pStyle w:val="TableText"/>
            </w:pPr>
            <w:r w:rsidRPr="00053FD1">
              <w:t>25–34</w:t>
            </w:r>
          </w:p>
        </w:tc>
        <w:tc>
          <w:tcPr>
            <w:tcW w:w="469" w:type="pct"/>
            <w:noWrap/>
          </w:tcPr>
          <w:p w14:paraId="4D19505B" w14:textId="77777777" w:rsidR="00860F8E" w:rsidRPr="00053FD1" w:rsidRDefault="00860F8E" w:rsidP="005D646B">
            <w:pPr>
              <w:pStyle w:val="TableText"/>
            </w:pPr>
            <w:r w:rsidRPr="00053FD1">
              <w:t>35–44</w:t>
            </w:r>
          </w:p>
        </w:tc>
        <w:tc>
          <w:tcPr>
            <w:tcW w:w="469" w:type="pct"/>
            <w:noWrap/>
          </w:tcPr>
          <w:p w14:paraId="5F2C8B8C" w14:textId="77777777" w:rsidR="00860F8E" w:rsidRPr="00053FD1" w:rsidRDefault="00860F8E" w:rsidP="005D646B">
            <w:pPr>
              <w:pStyle w:val="TableText"/>
            </w:pPr>
            <w:r w:rsidRPr="00053FD1">
              <w:t>45–54</w:t>
            </w:r>
          </w:p>
        </w:tc>
        <w:tc>
          <w:tcPr>
            <w:tcW w:w="469" w:type="pct"/>
            <w:noWrap/>
          </w:tcPr>
          <w:p w14:paraId="4AF2678E" w14:textId="77777777" w:rsidR="00860F8E" w:rsidRPr="00053FD1" w:rsidRDefault="00860F8E" w:rsidP="005D646B">
            <w:pPr>
              <w:pStyle w:val="TableText"/>
            </w:pPr>
            <w:r w:rsidRPr="00053FD1">
              <w:t>55–64</w:t>
            </w:r>
          </w:p>
        </w:tc>
        <w:tc>
          <w:tcPr>
            <w:tcW w:w="469" w:type="pct"/>
            <w:noWrap/>
          </w:tcPr>
          <w:p w14:paraId="507B896D" w14:textId="77777777" w:rsidR="00860F8E" w:rsidRPr="00053FD1" w:rsidRDefault="00860F8E" w:rsidP="005D646B">
            <w:pPr>
              <w:pStyle w:val="TableText"/>
            </w:pPr>
            <w:r w:rsidRPr="00053FD1">
              <w:t>&gt; 64</w:t>
            </w:r>
          </w:p>
        </w:tc>
        <w:tc>
          <w:tcPr>
            <w:tcW w:w="444" w:type="pct"/>
            <w:vMerge/>
            <w:noWrap/>
          </w:tcPr>
          <w:p w14:paraId="2E540872" w14:textId="77777777" w:rsidR="00860F8E" w:rsidRPr="00053FD1" w:rsidRDefault="00860F8E" w:rsidP="005D646B">
            <w:pPr>
              <w:pStyle w:val="TableText"/>
              <w:rPr>
                <w:rFonts w:ascii="Arial" w:hAnsi="Arial" w:cs="Arial"/>
              </w:rPr>
            </w:pPr>
          </w:p>
        </w:tc>
      </w:tr>
      <w:tr w:rsidR="00860F8E" w:rsidRPr="00053FD1" w14:paraId="3A8BD7A2" w14:textId="77777777" w:rsidTr="00A858B3">
        <w:trPr>
          <w:trHeight w:val="255"/>
        </w:trPr>
        <w:tc>
          <w:tcPr>
            <w:tcW w:w="1745" w:type="pct"/>
            <w:vAlign w:val="center"/>
          </w:tcPr>
          <w:p w14:paraId="4436999E" w14:textId="77777777" w:rsidR="00860F8E" w:rsidRPr="00053FD1" w:rsidRDefault="00860F8E" w:rsidP="005D646B">
            <w:pPr>
              <w:pStyle w:val="TableText"/>
            </w:pPr>
            <w:r w:rsidRPr="00053FD1">
              <w:t>Aviation Safety Regulator – Safety Systems Inspector</w:t>
            </w:r>
          </w:p>
        </w:tc>
        <w:tc>
          <w:tcPr>
            <w:tcW w:w="468" w:type="pct"/>
            <w:noWrap/>
            <w:vAlign w:val="center"/>
          </w:tcPr>
          <w:p w14:paraId="7DB027EC" w14:textId="77777777" w:rsidR="00860F8E" w:rsidRPr="00053FD1" w:rsidRDefault="00860F8E" w:rsidP="005D646B">
            <w:pPr>
              <w:pStyle w:val="TableText"/>
            </w:pPr>
            <w:r w:rsidRPr="00053FD1">
              <w:t>–</w:t>
            </w:r>
          </w:p>
        </w:tc>
        <w:tc>
          <w:tcPr>
            <w:tcW w:w="469" w:type="pct"/>
            <w:noWrap/>
            <w:vAlign w:val="center"/>
          </w:tcPr>
          <w:p w14:paraId="69F88DA8" w14:textId="77777777" w:rsidR="00860F8E" w:rsidRPr="00053FD1" w:rsidRDefault="00860F8E" w:rsidP="005D646B">
            <w:pPr>
              <w:pStyle w:val="TableText"/>
            </w:pPr>
            <w:r w:rsidRPr="00053FD1">
              <w:t>–</w:t>
            </w:r>
          </w:p>
        </w:tc>
        <w:tc>
          <w:tcPr>
            <w:tcW w:w="469" w:type="pct"/>
            <w:noWrap/>
            <w:vAlign w:val="center"/>
          </w:tcPr>
          <w:p w14:paraId="7F5F48DC" w14:textId="77777777" w:rsidR="00860F8E" w:rsidRPr="00053FD1" w:rsidRDefault="00860F8E" w:rsidP="005D646B">
            <w:pPr>
              <w:pStyle w:val="TableText"/>
            </w:pPr>
            <w:r w:rsidRPr="00053FD1">
              <w:t>5</w:t>
            </w:r>
          </w:p>
        </w:tc>
        <w:tc>
          <w:tcPr>
            <w:tcW w:w="469" w:type="pct"/>
            <w:noWrap/>
            <w:vAlign w:val="center"/>
          </w:tcPr>
          <w:p w14:paraId="057B102B" w14:textId="77777777" w:rsidR="00860F8E" w:rsidRPr="00053FD1" w:rsidRDefault="00860F8E" w:rsidP="005D646B">
            <w:pPr>
              <w:pStyle w:val="TableText"/>
            </w:pPr>
            <w:r w:rsidRPr="00053FD1">
              <w:t>5</w:t>
            </w:r>
          </w:p>
        </w:tc>
        <w:tc>
          <w:tcPr>
            <w:tcW w:w="469" w:type="pct"/>
            <w:noWrap/>
            <w:vAlign w:val="center"/>
          </w:tcPr>
          <w:p w14:paraId="5D27F8FE" w14:textId="77777777" w:rsidR="00860F8E" w:rsidRPr="00053FD1" w:rsidRDefault="00860F8E" w:rsidP="005D646B">
            <w:pPr>
              <w:pStyle w:val="TableText"/>
            </w:pPr>
            <w:r w:rsidRPr="00053FD1">
              <w:t>6</w:t>
            </w:r>
          </w:p>
        </w:tc>
        <w:tc>
          <w:tcPr>
            <w:tcW w:w="469" w:type="pct"/>
            <w:noWrap/>
            <w:vAlign w:val="center"/>
          </w:tcPr>
          <w:p w14:paraId="61880B07" w14:textId="77777777" w:rsidR="00860F8E" w:rsidRPr="00053FD1" w:rsidRDefault="00860F8E" w:rsidP="005D646B">
            <w:pPr>
              <w:pStyle w:val="TableText"/>
            </w:pPr>
            <w:r w:rsidRPr="00053FD1">
              <w:t>–</w:t>
            </w:r>
          </w:p>
        </w:tc>
        <w:tc>
          <w:tcPr>
            <w:tcW w:w="444" w:type="pct"/>
            <w:noWrap/>
            <w:vAlign w:val="center"/>
          </w:tcPr>
          <w:p w14:paraId="3B1BF4D1" w14:textId="77777777" w:rsidR="00860F8E" w:rsidRPr="00053FD1" w:rsidRDefault="00860F8E" w:rsidP="005D646B">
            <w:pPr>
              <w:pStyle w:val="TableText"/>
            </w:pPr>
            <w:r w:rsidRPr="00053FD1">
              <w:t>16</w:t>
            </w:r>
          </w:p>
        </w:tc>
      </w:tr>
      <w:tr w:rsidR="00860F8E" w:rsidRPr="00053FD1" w14:paraId="6152054C" w14:textId="77777777" w:rsidTr="00A858B3">
        <w:trPr>
          <w:trHeight w:val="450"/>
        </w:trPr>
        <w:tc>
          <w:tcPr>
            <w:tcW w:w="1745" w:type="pct"/>
            <w:vAlign w:val="center"/>
          </w:tcPr>
          <w:p w14:paraId="21DC364C" w14:textId="77777777" w:rsidR="00860F8E" w:rsidRPr="00053FD1" w:rsidRDefault="00860F8E" w:rsidP="005D646B">
            <w:pPr>
              <w:pStyle w:val="TableText"/>
            </w:pPr>
            <w:r w:rsidRPr="00053FD1">
              <w:t>Aviation Safety Regulator – Aviation Safety Adviser</w:t>
            </w:r>
          </w:p>
        </w:tc>
        <w:tc>
          <w:tcPr>
            <w:tcW w:w="468" w:type="pct"/>
            <w:noWrap/>
            <w:vAlign w:val="center"/>
          </w:tcPr>
          <w:p w14:paraId="181BD049" w14:textId="77777777" w:rsidR="00860F8E" w:rsidRPr="00053FD1" w:rsidRDefault="00860F8E" w:rsidP="005D646B">
            <w:pPr>
              <w:pStyle w:val="TableText"/>
            </w:pPr>
            <w:r w:rsidRPr="00053FD1">
              <w:t>–</w:t>
            </w:r>
          </w:p>
        </w:tc>
        <w:tc>
          <w:tcPr>
            <w:tcW w:w="469" w:type="pct"/>
            <w:noWrap/>
            <w:vAlign w:val="center"/>
          </w:tcPr>
          <w:p w14:paraId="7E124FB7" w14:textId="77777777" w:rsidR="00860F8E" w:rsidRPr="00053FD1" w:rsidRDefault="00860F8E" w:rsidP="005D646B">
            <w:pPr>
              <w:pStyle w:val="TableText"/>
            </w:pPr>
            <w:r w:rsidRPr="00053FD1">
              <w:t>–</w:t>
            </w:r>
          </w:p>
        </w:tc>
        <w:tc>
          <w:tcPr>
            <w:tcW w:w="469" w:type="pct"/>
            <w:noWrap/>
            <w:vAlign w:val="center"/>
          </w:tcPr>
          <w:p w14:paraId="1F891F76" w14:textId="77777777" w:rsidR="00860F8E" w:rsidRPr="00053FD1" w:rsidRDefault="00860F8E" w:rsidP="005D646B">
            <w:pPr>
              <w:pStyle w:val="TableText"/>
            </w:pPr>
            <w:r w:rsidRPr="00053FD1">
              <w:t>–</w:t>
            </w:r>
          </w:p>
        </w:tc>
        <w:tc>
          <w:tcPr>
            <w:tcW w:w="469" w:type="pct"/>
            <w:noWrap/>
            <w:vAlign w:val="center"/>
          </w:tcPr>
          <w:p w14:paraId="6A88AEA2" w14:textId="77777777" w:rsidR="00860F8E" w:rsidRPr="00053FD1" w:rsidRDefault="00860F8E" w:rsidP="005D646B">
            <w:pPr>
              <w:pStyle w:val="TableText"/>
            </w:pPr>
            <w:r w:rsidRPr="00053FD1">
              <w:t>6</w:t>
            </w:r>
          </w:p>
        </w:tc>
        <w:tc>
          <w:tcPr>
            <w:tcW w:w="469" w:type="pct"/>
            <w:noWrap/>
            <w:vAlign w:val="center"/>
          </w:tcPr>
          <w:p w14:paraId="18A0629B" w14:textId="77777777" w:rsidR="00860F8E" w:rsidRPr="00053FD1" w:rsidRDefault="00860F8E" w:rsidP="005D646B">
            <w:pPr>
              <w:pStyle w:val="TableText"/>
            </w:pPr>
            <w:r w:rsidRPr="00053FD1">
              <w:t>1</w:t>
            </w:r>
          </w:p>
        </w:tc>
        <w:tc>
          <w:tcPr>
            <w:tcW w:w="469" w:type="pct"/>
            <w:noWrap/>
            <w:vAlign w:val="center"/>
          </w:tcPr>
          <w:p w14:paraId="5BF3A169" w14:textId="77777777" w:rsidR="00860F8E" w:rsidRPr="00053FD1" w:rsidRDefault="00860F8E" w:rsidP="005D646B">
            <w:pPr>
              <w:pStyle w:val="TableText"/>
            </w:pPr>
            <w:r w:rsidRPr="00053FD1">
              <w:t>–</w:t>
            </w:r>
          </w:p>
        </w:tc>
        <w:tc>
          <w:tcPr>
            <w:tcW w:w="444" w:type="pct"/>
            <w:noWrap/>
            <w:vAlign w:val="center"/>
          </w:tcPr>
          <w:p w14:paraId="2C840F77" w14:textId="77777777" w:rsidR="00860F8E" w:rsidRPr="00053FD1" w:rsidRDefault="00860F8E" w:rsidP="005D646B">
            <w:pPr>
              <w:pStyle w:val="TableText"/>
            </w:pPr>
            <w:r w:rsidRPr="00053FD1">
              <w:t>7</w:t>
            </w:r>
          </w:p>
        </w:tc>
      </w:tr>
      <w:tr w:rsidR="00860F8E" w:rsidRPr="00053FD1" w14:paraId="3406F0E9" w14:textId="77777777" w:rsidTr="00A858B3">
        <w:trPr>
          <w:trHeight w:val="675"/>
        </w:trPr>
        <w:tc>
          <w:tcPr>
            <w:tcW w:w="1745" w:type="pct"/>
            <w:vAlign w:val="center"/>
          </w:tcPr>
          <w:p w14:paraId="22A20FE0" w14:textId="77777777" w:rsidR="00860F8E" w:rsidRPr="00053FD1" w:rsidRDefault="00860F8E" w:rsidP="005D646B">
            <w:pPr>
              <w:pStyle w:val="TableText"/>
            </w:pPr>
            <w:r w:rsidRPr="00053FD1">
              <w:t>Aviation Safety Regulator – Airworthiness Inspector</w:t>
            </w:r>
          </w:p>
        </w:tc>
        <w:tc>
          <w:tcPr>
            <w:tcW w:w="468" w:type="pct"/>
            <w:noWrap/>
            <w:vAlign w:val="center"/>
          </w:tcPr>
          <w:p w14:paraId="3E47C0FE" w14:textId="77777777" w:rsidR="00860F8E" w:rsidRPr="00053FD1" w:rsidRDefault="00860F8E" w:rsidP="005D646B">
            <w:pPr>
              <w:pStyle w:val="TableText"/>
            </w:pPr>
            <w:r w:rsidRPr="00053FD1">
              <w:t>–</w:t>
            </w:r>
          </w:p>
        </w:tc>
        <w:tc>
          <w:tcPr>
            <w:tcW w:w="469" w:type="pct"/>
            <w:noWrap/>
            <w:vAlign w:val="center"/>
          </w:tcPr>
          <w:p w14:paraId="61C3A816" w14:textId="77777777" w:rsidR="00860F8E" w:rsidRPr="00053FD1" w:rsidRDefault="00860F8E" w:rsidP="005D646B">
            <w:pPr>
              <w:pStyle w:val="TableText"/>
            </w:pPr>
            <w:r w:rsidRPr="00053FD1">
              <w:t>–</w:t>
            </w:r>
          </w:p>
        </w:tc>
        <w:tc>
          <w:tcPr>
            <w:tcW w:w="469" w:type="pct"/>
            <w:noWrap/>
            <w:vAlign w:val="center"/>
          </w:tcPr>
          <w:p w14:paraId="2A144FB3" w14:textId="77777777" w:rsidR="00860F8E" w:rsidRPr="00053FD1" w:rsidRDefault="00860F8E" w:rsidP="005D646B">
            <w:pPr>
              <w:pStyle w:val="TableText"/>
            </w:pPr>
            <w:r w:rsidRPr="00053FD1">
              <w:t>3</w:t>
            </w:r>
          </w:p>
        </w:tc>
        <w:tc>
          <w:tcPr>
            <w:tcW w:w="469" w:type="pct"/>
            <w:noWrap/>
            <w:vAlign w:val="center"/>
          </w:tcPr>
          <w:p w14:paraId="68425B98" w14:textId="77777777" w:rsidR="00860F8E" w:rsidRPr="00053FD1" w:rsidRDefault="00860F8E" w:rsidP="005D646B">
            <w:pPr>
              <w:pStyle w:val="TableText"/>
            </w:pPr>
            <w:r w:rsidRPr="00053FD1">
              <w:t>27</w:t>
            </w:r>
          </w:p>
        </w:tc>
        <w:tc>
          <w:tcPr>
            <w:tcW w:w="469" w:type="pct"/>
            <w:noWrap/>
            <w:vAlign w:val="center"/>
          </w:tcPr>
          <w:p w14:paraId="54C0C0B1" w14:textId="77777777" w:rsidR="00860F8E" w:rsidRPr="00053FD1" w:rsidRDefault="00860F8E" w:rsidP="005D646B">
            <w:pPr>
              <w:pStyle w:val="TableText"/>
            </w:pPr>
            <w:r w:rsidRPr="00053FD1">
              <w:t>27</w:t>
            </w:r>
          </w:p>
        </w:tc>
        <w:tc>
          <w:tcPr>
            <w:tcW w:w="469" w:type="pct"/>
            <w:noWrap/>
            <w:vAlign w:val="center"/>
          </w:tcPr>
          <w:p w14:paraId="01AD246A" w14:textId="77777777" w:rsidR="00860F8E" w:rsidRPr="00053FD1" w:rsidRDefault="00860F8E" w:rsidP="005D646B">
            <w:pPr>
              <w:pStyle w:val="TableText"/>
            </w:pPr>
            <w:r w:rsidRPr="00053FD1">
              <w:t>6</w:t>
            </w:r>
          </w:p>
        </w:tc>
        <w:tc>
          <w:tcPr>
            <w:tcW w:w="444" w:type="pct"/>
            <w:noWrap/>
            <w:vAlign w:val="center"/>
          </w:tcPr>
          <w:p w14:paraId="6A5AAF60" w14:textId="77777777" w:rsidR="00860F8E" w:rsidRPr="00053FD1" w:rsidRDefault="00860F8E" w:rsidP="005D646B">
            <w:pPr>
              <w:pStyle w:val="TableText"/>
            </w:pPr>
            <w:r w:rsidRPr="00053FD1">
              <w:t>63</w:t>
            </w:r>
          </w:p>
        </w:tc>
      </w:tr>
      <w:tr w:rsidR="00860F8E" w:rsidRPr="00053FD1" w14:paraId="5AA5D392" w14:textId="77777777" w:rsidTr="00A858B3">
        <w:trPr>
          <w:trHeight w:val="534"/>
        </w:trPr>
        <w:tc>
          <w:tcPr>
            <w:tcW w:w="1745" w:type="pct"/>
            <w:vAlign w:val="center"/>
          </w:tcPr>
          <w:p w14:paraId="0954EEDE" w14:textId="77777777" w:rsidR="00860F8E" w:rsidRPr="00053FD1" w:rsidRDefault="00860F8E" w:rsidP="005D646B">
            <w:pPr>
              <w:pStyle w:val="TableText"/>
            </w:pPr>
            <w:r w:rsidRPr="00053FD1">
              <w:t>Aviation Safety Regulator – Aerodrome Inspector</w:t>
            </w:r>
          </w:p>
        </w:tc>
        <w:tc>
          <w:tcPr>
            <w:tcW w:w="468" w:type="pct"/>
            <w:noWrap/>
            <w:vAlign w:val="center"/>
          </w:tcPr>
          <w:p w14:paraId="1A5C746C" w14:textId="77777777" w:rsidR="00860F8E" w:rsidRPr="00053FD1" w:rsidRDefault="00860F8E" w:rsidP="005D646B">
            <w:pPr>
              <w:pStyle w:val="TableText"/>
            </w:pPr>
            <w:r w:rsidRPr="00053FD1">
              <w:t>–</w:t>
            </w:r>
          </w:p>
        </w:tc>
        <w:tc>
          <w:tcPr>
            <w:tcW w:w="469" w:type="pct"/>
            <w:noWrap/>
            <w:vAlign w:val="center"/>
          </w:tcPr>
          <w:p w14:paraId="67EB086E" w14:textId="77777777" w:rsidR="00860F8E" w:rsidRPr="00053FD1" w:rsidRDefault="00860F8E" w:rsidP="005D646B">
            <w:pPr>
              <w:pStyle w:val="TableText"/>
            </w:pPr>
            <w:r w:rsidRPr="00053FD1">
              <w:t>–</w:t>
            </w:r>
          </w:p>
        </w:tc>
        <w:tc>
          <w:tcPr>
            <w:tcW w:w="469" w:type="pct"/>
            <w:noWrap/>
            <w:vAlign w:val="center"/>
          </w:tcPr>
          <w:p w14:paraId="3EAF62D1" w14:textId="77777777" w:rsidR="00860F8E" w:rsidRPr="00053FD1" w:rsidRDefault="00860F8E" w:rsidP="005D646B">
            <w:pPr>
              <w:pStyle w:val="TableText"/>
            </w:pPr>
            <w:r w:rsidRPr="00053FD1">
              <w:t>–</w:t>
            </w:r>
          </w:p>
        </w:tc>
        <w:tc>
          <w:tcPr>
            <w:tcW w:w="469" w:type="pct"/>
            <w:noWrap/>
            <w:vAlign w:val="center"/>
          </w:tcPr>
          <w:p w14:paraId="696EB341" w14:textId="77777777" w:rsidR="00860F8E" w:rsidRPr="00053FD1" w:rsidRDefault="00860F8E" w:rsidP="005D646B">
            <w:pPr>
              <w:pStyle w:val="TableText"/>
            </w:pPr>
            <w:r w:rsidRPr="00053FD1">
              <w:t>7</w:t>
            </w:r>
          </w:p>
        </w:tc>
        <w:tc>
          <w:tcPr>
            <w:tcW w:w="469" w:type="pct"/>
            <w:noWrap/>
            <w:vAlign w:val="center"/>
          </w:tcPr>
          <w:p w14:paraId="56DFC1D1" w14:textId="77777777" w:rsidR="00860F8E" w:rsidRPr="00053FD1" w:rsidRDefault="00860F8E" w:rsidP="005D646B">
            <w:pPr>
              <w:pStyle w:val="TableText"/>
            </w:pPr>
            <w:r w:rsidRPr="00053FD1">
              <w:t>3</w:t>
            </w:r>
          </w:p>
        </w:tc>
        <w:tc>
          <w:tcPr>
            <w:tcW w:w="469" w:type="pct"/>
            <w:noWrap/>
            <w:vAlign w:val="center"/>
          </w:tcPr>
          <w:p w14:paraId="611B5CC5" w14:textId="77777777" w:rsidR="00860F8E" w:rsidRPr="00053FD1" w:rsidRDefault="00860F8E" w:rsidP="005D646B">
            <w:pPr>
              <w:pStyle w:val="TableText"/>
            </w:pPr>
            <w:r w:rsidRPr="00053FD1">
              <w:t>–</w:t>
            </w:r>
          </w:p>
        </w:tc>
        <w:tc>
          <w:tcPr>
            <w:tcW w:w="444" w:type="pct"/>
            <w:noWrap/>
            <w:vAlign w:val="center"/>
          </w:tcPr>
          <w:p w14:paraId="71C2D658" w14:textId="77777777" w:rsidR="00860F8E" w:rsidRPr="00053FD1" w:rsidRDefault="00860F8E" w:rsidP="005D646B">
            <w:pPr>
              <w:pStyle w:val="TableText"/>
            </w:pPr>
            <w:r w:rsidRPr="00053FD1">
              <w:t>10</w:t>
            </w:r>
          </w:p>
        </w:tc>
      </w:tr>
      <w:tr w:rsidR="00860F8E" w:rsidRPr="00053FD1" w14:paraId="65A81342" w14:textId="77777777" w:rsidTr="00A858B3">
        <w:trPr>
          <w:trHeight w:val="557"/>
        </w:trPr>
        <w:tc>
          <w:tcPr>
            <w:tcW w:w="1745" w:type="pct"/>
            <w:vAlign w:val="center"/>
          </w:tcPr>
          <w:p w14:paraId="26B26D92" w14:textId="77777777" w:rsidR="00860F8E" w:rsidRPr="00053FD1" w:rsidRDefault="00860F8E" w:rsidP="005D646B">
            <w:pPr>
              <w:pStyle w:val="TableText"/>
            </w:pPr>
            <w:r w:rsidRPr="00053FD1">
              <w:t>Aviation Safety Regulator – Other</w:t>
            </w:r>
          </w:p>
        </w:tc>
        <w:tc>
          <w:tcPr>
            <w:tcW w:w="468" w:type="pct"/>
            <w:noWrap/>
            <w:vAlign w:val="center"/>
          </w:tcPr>
          <w:p w14:paraId="2622323D" w14:textId="77777777" w:rsidR="00860F8E" w:rsidRPr="00053FD1" w:rsidRDefault="00860F8E" w:rsidP="005D646B">
            <w:pPr>
              <w:pStyle w:val="TableText"/>
            </w:pPr>
            <w:r w:rsidRPr="00053FD1">
              <w:t>–</w:t>
            </w:r>
          </w:p>
        </w:tc>
        <w:tc>
          <w:tcPr>
            <w:tcW w:w="469" w:type="pct"/>
            <w:noWrap/>
            <w:vAlign w:val="center"/>
          </w:tcPr>
          <w:p w14:paraId="08EE0A7B" w14:textId="77777777" w:rsidR="00860F8E" w:rsidRPr="00053FD1" w:rsidRDefault="00860F8E" w:rsidP="005D646B">
            <w:pPr>
              <w:pStyle w:val="TableText"/>
            </w:pPr>
            <w:r w:rsidRPr="00053FD1">
              <w:t>7</w:t>
            </w:r>
          </w:p>
        </w:tc>
        <w:tc>
          <w:tcPr>
            <w:tcW w:w="469" w:type="pct"/>
            <w:noWrap/>
            <w:vAlign w:val="center"/>
          </w:tcPr>
          <w:p w14:paraId="2F14CCA1" w14:textId="77777777" w:rsidR="00860F8E" w:rsidRPr="00053FD1" w:rsidRDefault="00860F8E" w:rsidP="005D646B">
            <w:pPr>
              <w:pStyle w:val="TableText"/>
            </w:pPr>
            <w:r w:rsidRPr="00053FD1">
              <w:t>28</w:t>
            </w:r>
          </w:p>
        </w:tc>
        <w:tc>
          <w:tcPr>
            <w:tcW w:w="469" w:type="pct"/>
            <w:noWrap/>
            <w:vAlign w:val="center"/>
          </w:tcPr>
          <w:p w14:paraId="4BFAFBF4" w14:textId="77777777" w:rsidR="00860F8E" w:rsidRPr="00053FD1" w:rsidRDefault="00860F8E" w:rsidP="005D646B">
            <w:pPr>
              <w:pStyle w:val="TableText"/>
            </w:pPr>
            <w:r w:rsidRPr="00053FD1">
              <w:t>38</w:t>
            </w:r>
          </w:p>
        </w:tc>
        <w:tc>
          <w:tcPr>
            <w:tcW w:w="469" w:type="pct"/>
            <w:noWrap/>
            <w:vAlign w:val="center"/>
          </w:tcPr>
          <w:p w14:paraId="76A093B5" w14:textId="77777777" w:rsidR="00860F8E" w:rsidRPr="00053FD1" w:rsidRDefault="00860F8E" w:rsidP="005D646B">
            <w:pPr>
              <w:pStyle w:val="TableText"/>
            </w:pPr>
            <w:r w:rsidRPr="00053FD1">
              <w:t>34</w:t>
            </w:r>
          </w:p>
        </w:tc>
        <w:tc>
          <w:tcPr>
            <w:tcW w:w="469" w:type="pct"/>
            <w:noWrap/>
            <w:vAlign w:val="center"/>
          </w:tcPr>
          <w:p w14:paraId="094F7F51" w14:textId="77777777" w:rsidR="00860F8E" w:rsidRPr="00053FD1" w:rsidRDefault="00860F8E" w:rsidP="005D646B">
            <w:pPr>
              <w:pStyle w:val="TableText"/>
            </w:pPr>
            <w:r w:rsidRPr="00053FD1">
              <w:t>11</w:t>
            </w:r>
          </w:p>
        </w:tc>
        <w:tc>
          <w:tcPr>
            <w:tcW w:w="444" w:type="pct"/>
            <w:noWrap/>
            <w:vAlign w:val="center"/>
          </w:tcPr>
          <w:p w14:paraId="49D403F1" w14:textId="77777777" w:rsidR="00860F8E" w:rsidRPr="00053FD1" w:rsidRDefault="00860F8E" w:rsidP="005D646B">
            <w:pPr>
              <w:pStyle w:val="TableText"/>
            </w:pPr>
            <w:r w:rsidRPr="00053FD1">
              <w:t>118</w:t>
            </w:r>
          </w:p>
        </w:tc>
      </w:tr>
      <w:tr w:rsidR="00860F8E" w:rsidRPr="00053FD1" w14:paraId="509915BD" w14:textId="77777777" w:rsidTr="00A858B3">
        <w:trPr>
          <w:trHeight w:val="578"/>
        </w:trPr>
        <w:tc>
          <w:tcPr>
            <w:tcW w:w="1745" w:type="pct"/>
            <w:vAlign w:val="center"/>
          </w:tcPr>
          <w:p w14:paraId="7BF7BB97" w14:textId="77777777" w:rsidR="00860F8E" w:rsidRPr="00053FD1" w:rsidRDefault="00860F8E" w:rsidP="005D646B">
            <w:pPr>
              <w:pStyle w:val="TableText"/>
            </w:pPr>
            <w:r w:rsidRPr="00053FD1">
              <w:t>Certificate Management Team Leader</w:t>
            </w:r>
          </w:p>
        </w:tc>
        <w:tc>
          <w:tcPr>
            <w:tcW w:w="468" w:type="pct"/>
            <w:noWrap/>
            <w:vAlign w:val="center"/>
          </w:tcPr>
          <w:p w14:paraId="69E49048" w14:textId="77777777" w:rsidR="00860F8E" w:rsidRPr="00053FD1" w:rsidRDefault="00860F8E" w:rsidP="005D646B">
            <w:pPr>
              <w:pStyle w:val="TableText"/>
            </w:pPr>
            <w:r w:rsidRPr="00053FD1">
              <w:t>–</w:t>
            </w:r>
          </w:p>
        </w:tc>
        <w:tc>
          <w:tcPr>
            <w:tcW w:w="469" w:type="pct"/>
            <w:noWrap/>
            <w:vAlign w:val="center"/>
          </w:tcPr>
          <w:p w14:paraId="008000E3" w14:textId="77777777" w:rsidR="00860F8E" w:rsidRPr="00053FD1" w:rsidRDefault="00860F8E" w:rsidP="005D646B">
            <w:pPr>
              <w:pStyle w:val="TableText"/>
            </w:pPr>
            <w:r w:rsidRPr="00053FD1">
              <w:t>–</w:t>
            </w:r>
          </w:p>
        </w:tc>
        <w:tc>
          <w:tcPr>
            <w:tcW w:w="469" w:type="pct"/>
            <w:noWrap/>
            <w:vAlign w:val="center"/>
          </w:tcPr>
          <w:p w14:paraId="49AEB910" w14:textId="77777777" w:rsidR="00860F8E" w:rsidRPr="00053FD1" w:rsidRDefault="00860F8E" w:rsidP="005D646B">
            <w:pPr>
              <w:pStyle w:val="TableText"/>
            </w:pPr>
            <w:r w:rsidRPr="00053FD1">
              <w:t>4</w:t>
            </w:r>
          </w:p>
        </w:tc>
        <w:tc>
          <w:tcPr>
            <w:tcW w:w="469" w:type="pct"/>
            <w:noWrap/>
            <w:vAlign w:val="center"/>
          </w:tcPr>
          <w:p w14:paraId="4EFE8849" w14:textId="77777777" w:rsidR="00860F8E" w:rsidRPr="00053FD1" w:rsidRDefault="00860F8E" w:rsidP="005D646B">
            <w:pPr>
              <w:pStyle w:val="TableText"/>
            </w:pPr>
            <w:r w:rsidRPr="00053FD1">
              <w:t>16</w:t>
            </w:r>
          </w:p>
        </w:tc>
        <w:tc>
          <w:tcPr>
            <w:tcW w:w="469" w:type="pct"/>
            <w:noWrap/>
            <w:vAlign w:val="center"/>
          </w:tcPr>
          <w:p w14:paraId="15BF25EC" w14:textId="77777777" w:rsidR="00860F8E" w:rsidRPr="00053FD1" w:rsidRDefault="00860F8E" w:rsidP="005D646B">
            <w:pPr>
              <w:pStyle w:val="TableText"/>
            </w:pPr>
            <w:r w:rsidRPr="00053FD1">
              <w:t>16</w:t>
            </w:r>
          </w:p>
        </w:tc>
        <w:tc>
          <w:tcPr>
            <w:tcW w:w="469" w:type="pct"/>
            <w:noWrap/>
            <w:vAlign w:val="center"/>
          </w:tcPr>
          <w:p w14:paraId="611E9A8F" w14:textId="77777777" w:rsidR="00860F8E" w:rsidRPr="00053FD1" w:rsidRDefault="00860F8E" w:rsidP="005D646B">
            <w:pPr>
              <w:pStyle w:val="TableText"/>
            </w:pPr>
            <w:r w:rsidRPr="00053FD1">
              <w:t>1</w:t>
            </w:r>
          </w:p>
        </w:tc>
        <w:tc>
          <w:tcPr>
            <w:tcW w:w="444" w:type="pct"/>
            <w:noWrap/>
            <w:vAlign w:val="center"/>
          </w:tcPr>
          <w:p w14:paraId="6E1C5941" w14:textId="77777777" w:rsidR="00860F8E" w:rsidRPr="00053FD1" w:rsidRDefault="00860F8E" w:rsidP="005D646B">
            <w:pPr>
              <w:pStyle w:val="TableText"/>
            </w:pPr>
            <w:r w:rsidRPr="00053FD1">
              <w:t>37</w:t>
            </w:r>
          </w:p>
        </w:tc>
      </w:tr>
      <w:tr w:rsidR="00860F8E" w:rsidRPr="00053FD1" w14:paraId="07F98EDE" w14:textId="77777777" w:rsidTr="00A858B3">
        <w:trPr>
          <w:trHeight w:val="422"/>
        </w:trPr>
        <w:tc>
          <w:tcPr>
            <w:tcW w:w="1745" w:type="pct"/>
            <w:vAlign w:val="center"/>
          </w:tcPr>
          <w:p w14:paraId="1BE3C8B5" w14:textId="77777777" w:rsidR="00860F8E" w:rsidRPr="00053FD1" w:rsidRDefault="00860F8E" w:rsidP="005D646B">
            <w:pPr>
              <w:pStyle w:val="TableText"/>
            </w:pPr>
            <w:r w:rsidRPr="00053FD1">
              <w:t>Flight Training Examiner</w:t>
            </w:r>
          </w:p>
        </w:tc>
        <w:tc>
          <w:tcPr>
            <w:tcW w:w="468" w:type="pct"/>
            <w:noWrap/>
            <w:vAlign w:val="center"/>
          </w:tcPr>
          <w:p w14:paraId="0C978174" w14:textId="77777777" w:rsidR="00860F8E" w:rsidRPr="00053FD1" w:rsidRDefault="00860F8E" w:rsidP="005D646B">
            <w:pPr>
              <w:pStyle w:val="TableText"/>
            </w:pPr>
            <w:r w:rsidRPr="00053FD1">
              <w:t>–</w:t>
            </w:r>
          </w:p>
        </w:tc>
        <w:tc>
          <w:tcPr>
            <w:tcW w:w="469" w:type="pct"/>
            <w:noWrap/>
            <w:vAlign w:val="center"/>
          </w:tcPr>
          <w:p w14:paraId="2B4DED5F" w14:textId="77777777" w:rsidR="00860F8E" w:rsidRPr="00053FD1" w:rsidRDefault="00860F8E" w:rsidP="005D646B">
            <w:pPr>
              <w:pStyle w:val="TableText"/>
            </w:pPr>
            <w:r w:rsidRPr="00053FD1">
              <w:t>–</w:t>
            </w:r>
          </w:p>
        </w:tc>
        <w:tc>
          <w:tcPr>
            <w:tcW w:w="469" w:type="pct"/>
            <w:noWrap/>
            <w:vAlign w:val="center"/>
          </w:tcPr>
          <w:p w14:paraId="6798321F" w14:textId="77777777" w:rsidR="00860F8E" w:rsidRPr="00053FD1" w:rsidRDefault="00860F8E" w:rsidP="005D646B">
            <w:pPr>
              <w:pStyle w:val="TableText"/>
            </w:pPr>
            <w:r w:rsidRPr="00053FD1">
              <w:t>–</w:t>
            </w:r>
          </w:p>
        </w:tc>
        <w:tc>
          <w:tcPr>
            <w:tcW w:w="469" w:type="pct"/>
            <w:noWrap/>
            <w:vAlign w:val="center"/>
          </w:tcPr>
          <w:p w14:paraId="54C7BC95" w14:textId="77777777" w:rsidR="00860F8E" w:rsidRPr="00053FD1" w:rsidRDefault="00860F8E" w:rsidP="005D646B">
            <w:pPr>
              <w:pStyle w:val="TableText"/>
            </w:pPr>
            <w:r w:rsidRPr="00053FD1">
              <w:t>5</w:t>
            </w:r>
          </w:p>
        </w:tc>
        <w:tc>
          <w:tcPr>
            <w:tcW w:w="469" w:type="pct"/>
            <w:noWrap/>
            <w:vAlign w:val="center"/>
          </w:tcPr>
          <w:p w14:paraId="0D9A7A7F" w14:textId="77777777" w:rsidR="00860F8E" w:rsidRPr="00053FD1" w:rsidRDefault="00860F8E" w:rsidP="005D646B">
            <w:pPr>
              <w:pStyle w:val="TableText"/>
            </w:pPr>
            <w:r w:rsidRPr="00053FD1">
              <w:t>5</w:t>
            </w:r>
          </w:p>
        </w:tc>
        <w:tc>
          <w:tcPr>
            <w:tcW w:w="469" w:type="pct"/>
            <w:noWrap/>
            <w:vAlign w:val="center"/>
          </w:tcPr>
          <w:p w14:paraId="7A5A0FDB" w14:textId="77777777" w:rsidR="00860F8E" w:rsidRPr="00053FD1" w:rsidRDefault="00860F8E" w:rsidP="005D646B">
            <w:pPr>
              <w:pStyle w:val="TableText"/>
            </w:pPr>
            <w:r w:rsidRPr="00053FD1">
              <w:t>2</w:t>
            </w:r>
          </w:p>
        </w:tc>
        <w:tc>
          <w:tcPr>
            <w:tcW w:w="444" w:type="pct"/>
            <w:noWrap/>
            <w:vAlign w:val="center"/>
          </w:tcPr>
          <w:p w14:paraId="6C1F4DD3" w14:textId="77777777" w:rsidR="00860F8E" w:rsidRPr="00053FD1" w:rsidRDefault="00860F8E" w:rsidP="005D646B">
            <w:pPr>
              <w:pStyle w:val="TableText"/>
            </w:pPr>
            <w:r w:rsidRPr="00053FD1">
              <w:t>12</w:t>
            </w:r>
          </w:p>
        </w:tc>
      </w:tr>
      <w:tr w:rsidR="00860F8E" w:rsidRPr="00053FD1" w14:paraId="18B26324" w14:textId="77777777" w:rsidTr="00A858B3">
        <w:trPr>
          <w:trHeight w:val="675"/>
        </w:trPr>
        <w:tc>
          <w:tcPr>
            <w:tcW w:w="1745" w:type="pct"/>
            <w:vAlign w:val="center"/>
          </w:tcPr>
          <w:p w14:paraId="0BEA8DD4" w14:textId="77777777" w:rsidR="00860F8E" w:rsidRPr="00053FD1" w:rsidRDefault="00860F8E" w:rsidP="005D646B">
            <w:pPr>
              <w:pStyle w:val="TableText"/>
            </w:pPr>
            <w:r w:rsidRPr="00053FD1">
              <w:t>Flying Operations Inspector</w:t>
            </w:r>
          </w:p>
        </w:tc>
        <w:tc>
          <w:tcPr>
            <w:tcW w:w="468" w:type="pct"/>
            <w:noWrap/>
            <w:vAlign w:val="center"/>
          </w:tcPr>
          <w:p w14:paraId="404FB3D0" w14:textId="77777777" w:rsidR="00860F8E" w:rsidRPr="00053FD1" w:rsidRDefault="00860F8E" w:rsidP="005D646B">
            <w:pPr>
              <w:pStyle w:val="TableText"/>
            </w:pPr>
            <w:r w:rsidRPr="00053FD1">
              <w:t>–</w:t>
            </w:r>
          </w:p>
        </w:tc>
        <w:tc>
          <w:tcPr>
            <w:tcW w:w="469" w:type="pct"/>
            <w:noWrap/>
            <w:vAlign w:val="center"/>
          </w:tcPr>
          <w:p w14:paraId="4CB21C70" w14:textId="77777777" w:rsidR="00860F8E" w:rsidRPr="00053FD1" w:rsidRDefault="00860F8E" w:rsidP="005D646B">
            <w:pPr>
              <w:pStyle w:val="TableText"/>
            </w:pPr>
            <w:r w:rsidRPr="00053FD1">
              <w:t>3</w:t>
            </w:r>
          </w:p>
        </w:tc>
        <w:tc>
          <w:tcPr>
            <w:tcW w:w="469" w:type="pct"/>
            <w:noWrap/>
            <w:vAlign w:val="center"/>
          </w:tcPr>
          <w:p w14:paraId="67F9C169" w14:textId="77777777" w:rsidR="00860F8E" w:rsidRPr="00053FD1" w:rsidRDefault="00860F8E" w:rsidP="005D646B">
            <w:pPr>
              <w:pStyle w:val="TableText"/>
            </w:pPr>
            <w:r w:rsidRPr="00053FD1">
              <w:t>10</w:t>
            </w:r>
          </w:p>
        </w:tc>
        <w:tc>
          <w:tcPr>
            <w:tcW w:w="469" w:type="pct"/>
            <w:noWrap/>
            <w:vAlign w:val="center"/>
          </w:tcPr>
          <w:p w14:paraId="737DD958" w14:textId="77777777" w:rsidR="00860F8E" w:rsidRPr="00053FD1" w:rsidRDefault="00860F8E" w:rsidP="005D646B">
            <w:pPr>
              <w:pStyle w:val="TableText"/>
            </w:pPr>
            <w:r w:rsidRPr="00053FD1">
              <w:t>15</w:t>
            </w:r>
          </w:p>
        </w:tc>
        <w:tc>
          <w:tcPr>
            <w:tcW w:w="469" w:type="pct"/>
            <w:noWrap/>
            <w:vAlign w:val="center"/>
          </w:tcPr>
          <w:p w14:paraId="3E07FD01" w14:textId="77777777" w:rsidR="00860F8E" w:rsidRPr="00053FD1" w:rsidRDefault="00860F8E" w:rsidP="005D646B">
            <w:pPr>
              <w:pStyle w:val="TableText"/>
            </w:pPr>
            <w:r w:rsidRPr="00053FD1">
              <w:t>37</w:t>
            </w:r>
          </w:p>
        </w:tc>
        <w:tc>
          <w:tcPr>
            <w:tcW w:w="469" w:type="pct"/>
            <w:noWrap/>
            <w:vAlign w:val="center"/>
          </w:tcPr>
          <w:p w14:paraId="5381E8E7" w14:textId="77777777" w:rsidR="00860F8E" w:rsidRPr="00053FD1" w:rsidRDefault="00860F8E" w:rsidP="005D646B">
            <w:pPr>
              <w:pStyle w:val="TableText"/>
            </w:pPr>
            <w:r w:rsidRPr="00053FD1">
              <w:t>14</w:t>
            </w:r>
          </w:p>
        </w:tc>
        <w:tc>
          <w:tcPr>
            <w:tcW w:w="444" w:type="pct"/>
            <w:noWrap/>
            <w:vAlign w:val="center"/>
          </w:tcPr>
          <w:p w14:paraId="39D0C215" w14:textId="77777777" w:rsidR="00860F8E" w:rsidRPr="00053FD1" w:rsidRDefault="00860F8E" w:rsidP="005D646B">
            <w:pPr>
              <w:pStyle w:val="TableText"/>
            </w:pPr>
            <w:r w:rsidRPr="00053FD1">
              <w:t>79</w:t>
            </w:r>
          </w:p>
        </w:tc>
      </w:tr>
      <w:tr w:rsidR="00860F8E" w:rsidRPr="00053FD1" w14:paraId="01AEDE9A" w14:textId="77777777" w:rsidTr="00A858B3">
        <w:trPr>
          <w:trHeight w:val="675"/>
        </w:trPr>
        <w:tc>
          <w:tcPr>
            <w:tcW w:w="1745" w:type="pct"/>
            <w:vAlign w:val="center"/>
          </w:tcPr>
          <w:p w14:paraId="0E9228CF" w14:textId="77777777" w:rsidR="00860F8E" w:rsidRPr="00053FD1" w:rsidRDefault="00860F8E" w:rsidP="005D646B">
            <w:pPr>
              <w:pStyle w:val="TableText"/>
            </w:pPr>
            <w:r w:rsidRPr="00053FD1">
              <w:t>Professional Services</w:t>
            </w:r>
          </w:p>
        </w:tc>
        <w:tc>
          <w:tcPr>
            <w:tcW w:w="468" w:type="pct"/>
            <w:noWrap/>
            <w:vAlign w:val="center"/>
          </w:tcPr>
          <w:p w14:paraId="183440AD" w14:textId="77777777" w:rsidR="00860F8E" w:rsidRPr="00053FD1" w:rsidRDefault="00860F8E" w:rsidP="005D646B">
            <w:pPr>
              <w:pStyle w:val="TableText"/>
            </w:pPr>
            <w:r w:rsidRPr="00053FD1">
              <w:t>–</w:t>
            </w:r>
          </w:p>
        </w:tc>
        <w:tc>
          <w:tcPr>
            <w:tcW w:w="469" w:type="pct"/>
            <w:noWrap/>
            <w:vAlign w:val="center"/>
          </w:tcPr>
          <w:p w14:paraId="27A1FE85" w14:textId="77777777" w:rsidR="00860F8E" w:rsidRPr="00053FD1" w:rsidRDefault="00860F8E" w:rsidP="005D646B">
            <w:pPr>
              <w:pStyle w:val="TableText"/>
            </w:pPr>
            <w:r w:rsidRPr="00053FD1">
              <w:t>–</w:t>
            </w:r>
          </w:p>
        </w:tc>
        <w:tc>
          <w:tcPr>
            <w:tcW w:w="469" w:type="pct"/>
            <w:noWrap/>
            <w:vAlign w:val="center"/>
          </w:tcPr>
          <w:p w14:paraId="0CAE0DB6" w14:textId="77777777" w:rsidR="00860F8E" w:rsidRPr="00053FD1" w:rsidRDefault="00860F8E" w:rsidP="005D646B">
            <w:pPr>
              <w:pStyle w:val="TableText"/>
            </w:pPr>
            <w:r w:rsidRPr="00053FD1">
              <w:t>1</w:t>
            </w:r>
          </w:p>
        </w:tc>
        <w:tc>
          <w:tcPr>
            <w:tcW w:w="469" w:type="pct"/>
            <w:noWrap/>
            <w:vAlign w:val="center"/>
          </w:tcPr>
          <w:p w14:paraId="0C50A6FC" w14:textId="77777777" w:rsidR="00860F8E" w:rsidRPr="00053FD1" w:rsidRDefault="00860F8E" w:rsidP="005D646B">
            <w:pPr>
              <w:pStyle w:val="TableText"/>
            </w:pPr>
            <w:r w:rsidRPr="00053FD1">
              <w:t>5</w:t>
            </w:r>
          </w:p>
        </w:tc>
        <w:tc>
          <w:tcPr>
            <w:tcW w:w="469" w:type="pct"/>
            <w:noWrap/>
            <w:vAlign w:val="center"/>
          </w:tcPr>
          <w:p w14:paraId="0D22B6F1" w14:textId="77777777" w:rsidR="00860F8E" w:rsidRPr="00053FD1" w:rsidRDefault="00860F8E" w:rsidP="005D646B">
            <w:pPr>
              <w:pStyle w:val="TableText"/>
            </w:pPr>
            <w:r w:rsidRPr="00053FD1">
              <w:t>4</w:t>
            </w:r>
          </w:p>
        </w:tc>
        <w:tc>
          <w:tcPr>
            <w:tcW w:w="469" w:type="pct"/>
            <w:noWrap/>
            <w:vAlign w:val="center"/>
          </w:tcPr>
          <w:p w14:paraId="07D0E12B" w14:textId="77777777" w:rsidR="00860F8E" w:rsidRPr="00053FD1" w:rsidRDefault="00860F8E" w:rsidP="005D646B">
            <w:pPr>
              <w:pStyle w:val="TableText"/>
            </w:pPr>
            <w:r w:rsidRPr="00053FD1">
              <w:t>2</w:t>
            </w:r>
          </w:p>
        </w:tc>
        <w:tc>
          <w:tcPr>
            <w:tcW w:w="444" w:type="pct"/>
            <w:noWrap/>
            <w:vAlign w:val="center"/>
          </w:tcPr>
          <w:p w14:paraId="735AE923" w14:textId="77777777" w:rsidR="00860F8E" w:rsidRPr="00053FD1" w:rsidRDefault="00860F8E" w:rsidP="005D646B">
            <w:pPr>
              <w:pStyle w:val="TableText"/>
            </w:pPr>
            <w:r w:rsidRPr="00053FD1">
              <w:t>12</w:t>
            </w:r>
          </w:p>
        </w:tc>
      </w:tr>
      <w:tr w:rsidR="00860F8E" w:rsidRPr="00053FD1" w14:paraId="14C09754" w14:textId="77777777" w:rsidTr="00A858B3">
        <w:trPr>
          <w:trHeight w:val="675"/>
        </w:trPr>
        <w:tc>
          <w:tcPr>
            <w:tcW w:w="1745" w:type="pct"/>
            <w:vAlign w:val="center"/>
          </w:tcPr>
          <w:p w14:paraId="2C9E693A" w14:textId="77777777" w:rsidR="00860F8E" w:rsidRPr="00053FD1" w:rsidRDefault="00860F8E" w:rsidP="005D646B">
            <w:pPr>
              <w:pStyle w:val="TableText"/>
            </w:pPr>
            <w:r w:rsidRPr="00053FD1">
              <w:t>National Office Manager</w:t>
            </w:r>
          </w:p>
        </w:tc>
        <w:tc>
          <w:tcPr>
            <w:tcW w:w="468" w:type="pct"/>
            <w:noWrap/>
            <w:vAlign w:val="center"/>
          </w:tcPr>
          <w:p w14:paraId="5437A126" w14:textId="77777777" w:rsidR="00860F8E" w:rsidRPr="00053FD1" w:rsidRDefault="00860F8E" w:rsidP="005D646B">
            <w:pPr>
              <w:pStyle w:val="TableText"/>
            </w:pPr>
            <w:r w:rsidRPr="00053FD1">
              <w:t>–</w:t>
            </w:r>
          </w:p>
        </w:tc>
        <w:tc>
          <w:tcPr>
            <w:tcW w:w="469" w:type="pct"/>
            <w:noWrap/>
            <w:vAlign w:val="center"/>
          </w:tcPr>
          <w:p w14:paraId="752E1FCB" w14:textId="77777777" w:rsidR="00860F8E" w:rsidRPr="00053FD1" w:rsidRDefault="00860F8E" w:rsidP="005D646B">
            <w:pPr>
              <w:pStyle w:val="TableText"/>
            </w:pPr>
            <w:r w:rsidRPr="00053FD1">
              <w:t>–</w:t>
            </w:r>
          </w:p>
        </w:tc>
        <w:tc>
          <w:tcPr>
            <w:tcW w:w="469" w:type="pct"/>
            <w:noWrap/>
            <w:vAlign w:val="center"/>
          </w:tcPr>
          <w:p w14:paraId="0586ABA8" w14:textId="77777777" w:rsidR="00860F8E" w:rsidRPr="00053FD1" w:rsidRDefault="00860F8E" w:rsidP="005D646B">
            <w:pPr>
              <w:pStyle w:val="TableText"/>
            </w:pPr>
            <w:r w:rsidRPr="00053FD1">
              <w:t>4</w:t>
            </w:r>
          </w:p>
        </w:tc>
        <w:tc>
          <w:tcPr>
            <w:tcW w:w="469" w:type="pct"/>
            <w:noWrap/>
            <w:vAlign w:val="center"/>
          </w:tcPr>
          <w:p w14:paraId="1A73F7B8" w14:textId="77777777" w:rsidR="00860F8E" w:rsidRPr="00053FD1" w:rsidRDefault="00860F8E" w:rsidP="005D646B">
            <w:pPr>
              <w:pStyle w:val="TableText"/>
            </w:pPr>
            <w:r w:rsidRPr="00053FD1">
              <w:t>9</w:t>
            </w:r>
          </w:p>
        </w:tc>
        <w:tc>
          <w:tcPr>
            <w:tcW w:w="469" w:type="pct"/>
            <w:noWrap/>
            <w:vAlign w:val="center"/>
          </w:tcPr>
          <w:p w14:paraId="6DF2FD59" w14:textId="77777777" w:rsidR="00860F8E" w:rsidRPr="00053FD1" w:rsidRDefault="00860F8E" w:rsidP="005D646B">
            <w:pPr>
              <w:pStyle w:val="TableText"/>
            </w:pPr>
            <w:r w:rsidRPr="00053FD1">
              <w:t>7</w:t>
            </w:r>
          </w:p>
        </w:tc>
        <w:tc>
          <w:tcPr>
            <w:tcW w:w="469" w:type="pct"/>
            <w:noWrap/>
            <w:vAlign w:val="center"/>
          </w:tcPr>
          <w:p w14:paraId="1DEE1F51" w14:textId="77777777" w:rsidR="00860F8E" w:rsidRPr="00053FD1" w:rsidRDefault="00860F8E" w:rsidP="005D646B">
            <w:pPr>
              <w:pStyle w:val="TableText"/>
            </w:pPr>
            <w:r w:rsidRPr="00053FD1">
              <w:t>–</w:t>
            </w:r>
          </w:p>
        </w:tc>
        <w:tc>
          <w:tcPr>
            <w:tcW w:w="444" w:type="pct"/>
            <w:noWrap/>
            <w:vAlign w:val="center"/>
          </w:tcPr>
          <w:p w14:paraId="53343420" w14:textId="77777777" w:rsidR="00860F8E" w:rsidRPr="00053FD1" w:rsidRDefault="00860F8E" w:rsidP="005D646B">
            <w:pPr>
              <w:pStyle w:val="TableText"/>
            </w:pPr>
            <w:r w:rsidRPr="00053FD1">
              <w:t>20</w:t>
            </w:r>
          </w:p>
        </w:tc>
      </w:tr>
      <w:tr w:rsidR="00860F8E" w:rsidRPr="00053FD1" w14:paraId="6880B383" w14:textId="77777777" w:rsidTr="00A858B3">
        <w:trPr>
          <w:trHeight w:val="675"/>
        </w:trPr>
        <w:tc>
          <w:tcPr>
            <w:tcW w:w="1745" w:type="pct"/>
            <w:vAlign w:val="center"/>
          </w:tcPr>
          <w:p w14:paraId="3B7A33FA" w14:textId="77777777" w:rsidR="00860F8E" w:rsidRPr="00053FD1" w:rsidRDefault="00860F8E" w:rsidP="005D646B">
            <w:pPr>
              <w:pStyle w:val="TableText"/>
            </w:pPr>
            <w:r w:rsidRPr="00053FD1">
              <w:t xml:space="preserve">Senior </w:t>
            </w:r>
            <w:r w:rsidR="0044040E">
              <w:t>M</w:t>
            </w:r>
            <w:r w:rsidRPr="00053FD1">
              <w:t>anagement</w:t>
            </w:r>
          </w:p>
        </w:tc>
        <w:tc>
          <w:tcPr>
            <w:tcW w:w="468" w:type="pct"/>
            <w:noWrap/>
            <w:vAlign w:val="center"/>
          </w:tcPr>
          <w:p w14:paraId="5A28DC14" w14:textId="77777777" w:rsidR="00860F8E" w:rsidRPr="00053FD1" w:rsidRDefault="00860F8E" w:rsidP="005D646B">
            <w:pPr>
              <w:pStyle w:val="TableText"/>
            </w:pPr>
            <w:r w:rsidRPr="00053FD1">
              <w:t>–</w:t>
            </w:r>
          </w:p>
        </w:tc>
        <w:tc>
          <w:tcPr>
            <w:tcW w:w="469" w:type="pct"/>
            <w:noWrap/>
            <w:vAlign w:val="center"/>
          </w:tcPr>
          <w:p w14:paraId="6C8FD86F" w14:textId="77777777" w:rsidR="00860F8E" w:rsidRPr="00053FD1" w:rsidRDefault="00860F8E" w:rsidP="005D646B">
            <w:pPr>
              <w:pStyle w:val="TableText"/>
            </w:pPr>
            <w:r w:rsidRPr="00053FD1">
              <w:t>–</w:t>
            </w:r>
          </w:p>
        </w:tc>
        <w:tc>
          <w:tcPr>
            <w:tcW w:w="469" w:type="pct"/>
            <w:noWrap/>
            <w:vAlign w:val="center"/>
          </w:tcPr>
          <w:p w14:paraId="656F0D1D" w14:textId="77777777" w:rsidR="00860F8E" w:rsidRPr="00053FD1" w:rsidRDefault="00860F8E" w:rsidP="005D646B">
            <w:pPr>
              <w:pStyle w:val="TableText"/>
            </w:pPr>
            <w:r w:rsidRPr="00053FD1">
              <w:t>10</w:t>
            </w:r>
          </w:p>
        </w:tc>
        <w:tc>
          <w:tcPr>
            <w:tcW w:w="469" w:type="pct"/>
            <w:noWrap/>
            <w:vAlign w:val="center"/>
          </w:tcPr>
          <w:p w14:paraId="7056F5DD" w14:textId="77777777" w:rsidR="00860F8E" w:rsidRPr="00053FD1" w:rsidRDefault="00860F8E" w:rsidP="005D646B">
            <w:pPr>
              <w:pStyle w:val="TableText"/>
            </w:pPr>
            <w:r w:rsidRPr="00053FD1">
              <w:t>16</w:t>
            </w:r>
          </w:p>
        </w:tc>
        <w:tc>
          <w:tcPr>
            <w:tcW w:w="469" w:type="pct"/>
            <w:noWrap/>
            <w:vAlign w:val="center"/>
          </w:tcPr>
          <w:p w14:paraId="53230171" w14:textId="77777777" w:rsidR="00860F8E" w:rsidRPr="00053FD1" w:rsidRDefault="00860F8E" w:rsidP="005D646B">
            <w:pPr>
              <w:pStyle w:val="TableText"/>
            </w:pPr>
            <w:r w:rsidRPr="00053FD1">
              <w:t>8</w:t>
            </w:r>
          </w:p>
        </w:tc>
        <w:tc>
          <w:tcPr>
            <w:tcW w:w="469" w:type="pct"/>
            <w:noWrap/>
            <w:vAlign w:val="center"/>
          </w:tcPr>
          <w:p w14:paraId="00FB2418" w14:textId="77777777" w:rsidR="00860F8E" w:rsidRPr="00053FD1" w:rsidRDefault="00860F8E" w:rsidP="005D646B">
            <w:pPr>
              <w:pStyle w:val="TableText"/>
            </w:pPr>
            <w:r w:rsidRPr="00053FD1">
              <w:t>1</w:t>
            </w:r>
          </w:p>
        </w:tc>
        <w:tc>
          <w:tcPr>
            <w:tcW w:w="444" w:type="pct"/>
            <w:noWrap/>
            <w:vAlign w:val="center"/>
          </w:tcPr>
          <w:p w14:paraId="3DA4709B" w14:textId="77777777" w:rsidR="00860F8E" w:rsidRPr="00053FD1" w:rsidRDefault="00860F8E" w:rsidP="005D646B">
            <w:pPr>
              <w:pStyle w:val="TableText"/>
            </w:pPr>
            <w:r w:rsidRPr="00053FD1">
              <w:t>35</w:t>
            </w:r>
          </w:p>
        </w:tc>
      </w:tr>
      <w:tr w:rsidR="00860F8E" w:rsidRPr="00053FD1" w14:paraId="2DC25F7F" w14:textId="77777777" w:rsidTr="00A858B3">
        <w:trPr>
          <w:trHeight w:val="675"/>
        </w:trPr>
        <w:tc>
          <w:tcPr>
            <w:tcW w:w="1745" w:type="pct"/>
            <w:vAlign w:val="center"/>
          </w:tcPr>
          <w:p w14:paraId="2C739FA7" w14:textId="77777777" w:rsidR="00860F8E" w:rsidRPr="00053FD1" w:rsidRDefault="00860F8E" w:rsidP="005D646B">
            <w:pPr>
              <w:pStyle w:val="TableText"/>
            </w:pPr>
            <w:r w:rsidRPr="00053FD1">
              <w:t>Other classifications</w:t>
            </w:r>
          </w:p>
        </w:tc>
        <w:tc>
          <w:tcPr>
            <w:tcW w:w="468" w:type="pct"/>
            <w:noWrap/>
            <w:vAlign w:val="center"/>
          </w:tcPr>
          <w:p w14:paraId="6AC09532" w14:textId="77777777" w:rsidR="00860F8E" w:rsidRPr="00053FD1" w:rsidRDefault="00860F8E" w:rsidP="005D646B">
            <w:pPr>
              <w:pStyle w:val="TableText"/>
            </w:pPr>
            <w:r w:rsidRPr="00053FD1">
              <w:t>10</w:t>
            </w:r>
          </w:p>
        </w:tc>
        <w:tc>
          <w:tcPr>
            <w:tcW w:w="469" w:type="pct"/>
            <w:noWrap/>
            <w:vAlign w:val="center"/>
          </w:tcPr>
          <w:p w14:paraId="79287C99" w14:textId="77777777" w:rsidR="00860F8E" w:rsidRPr="00053FD1" w:rsidRDefault="00860F8E" w:rsidP="005D646B">
            <w:pPr>
              <w:pStyle w:val="TableText"/>
            </w:pPr>
            <w:r w:rsidRPr="00053FD1">
              <w:t>85</w:t>
            </w:r>
          </w:p>
        </w:tc>
        <w:tc>
          <w:tcPr>
            <w:tcW w:w="469" w:type="pct"/>
            <w:noWrap/>
            <w:vAlign w:val="center"/>
          </w:tcPr>
          <w:p w14:paraId="2140E6D4" w14:textId="77777777" w:rsidR="00860F8E" w:rsidRPr="00053FD1" w:rsidRDefault="00860F8E" w:rsidP="005D646B">
            <w:pPr>
              <w:pStyle w:val="TableText"/>
            </w:pPr>
            <w:r w:rsidRPr="00053FD1">
              <w:t>136</w:t>
            </w:r>
          </w:p>
        </w:tc>
        <w:tc>
          <w:tcPr>
            <w:tcW w:w="469" w:type="pct"/>
            <w:noWrap/>
            <w:vAlign w:val="center"/>
          </w:tcPr>
          <w:p w14:paraId="51E4268F" w14:textId="77777777" w:rsidR="00860F8E" w:rsidRPr="00053FD1" w:rsidRDefault="00860F8E" w:rsidP="005D646B">
            <w:pPr>
              <w:pStyle w:val="TableText"/>
            </w:pPr>
            <w:r w:rsidRPr="00053FD1">
              <w:t>131</w:t>
            </w:r>
          </w:p>
        </w:tc>
        <w:tc>
          <w:tcPr>
            <w:tcW w:w="469" w:type="pct"/>
            <w:noWrap/>
            <w:vAlign w:val="center"/>
          </w:tcPr>
          <w:p w14:paraId="38A82A18" w14:textId="77777777" w:rsidR="00860F8E" w:rsidRPr="00053FD1" w:rsidRDefault="00860F8E" w:rsidP="005D646B">
            <w:pPr>
              <w:pStyle w:val="TableText"/>
            </w:pPr>
            <w:r w:rsidRPr="00053FD1">
              <w:t>55</w:t>
            </w:r>
          </w:p>
        </w:tc>
        <w:tc>
          <w:tcPr>
            <w:tcW w:w="469" w:type="pct"/>
            <w:noWrap/>
            <w:vAlign w:val="center"/>
          </w:tcPr>
          <w:p w14:paraId="2663B502" w14:textId="77777777" w:rsidR="00860F8E" w:rsidRPr="00053FD1" w:rsidRDefault="00860F8E" w:rsidP="005D646B">
            <w:pPr>
              <w:pStyle w:val="TableText"/>
            </w:pPr>
            <w:r w:rsidRPr="00053FD1">
              <w:t>6</w:t>
            </w:r>
          </w:p>
        </w:tc>
        <w:tc>
          <w:tcPr>
            <w:tcW w:w="444" w:type="pct"/>
            <w:noWrap/>
            <w:vAlign w:val="center"/>
          </w:tcPr>
          <w:p w14:paraId="5A23E2D8" w14:textId="77777777" w:rsidR="00860F8E" w:rsidRPr="00053FD1" w:rsidRDefault="00860F8E" w:rsidP="005D646B">
            <w:pPr>
              <w:pStyle w:val="TableText"/>
            </w:pPr>
            <w:r w:rsidRPr="00053FD1">
              <w:t>423</w:t>
            </w:r>
          </w:p>
        </w:tc>
      </w:tr>
      <w:tr w:rsidR="00860F8E" w:rsidRPr="00053FD1" w14:paraId="69A100FF" w14:textId="77777777" w:rsidTr="00A858B3">
        <w:trPr>
          <w:trHeight w:val="255"/>
        </w:trPr>
        <w:tc>
          <w:tcPr>
            <w:tcW w:w="1745" w:type="pct"/>
          </w:tcPr>
          <w:p w14:paraId="14D65B9D" w14:textId="77777777" w:rsidR="00860F8E" w:rsidRPr="005D646B" w:rsidRDefault="00860F8E" w:rsidP="005D646B">
            <w:pPr>
              <w:pStyle w:val="TableText"/>
              <w:rPr>
                <w:b/>
              </w:rPr>
            </w:pPr>
            <w:r w:rsidRPr="005D646B">
              <w:rPr>
                <w:b/>
              </w:rPr>
              <w:t>Total</w:t>
            </w:r>
          </w:p>
        </w:tc>
        <w:tc>
          <w:tcPr>
            <w:tcW w:w="468" w:type="pct"/>
            <w:noWrap/>
            <w:vAlign w:val="bottom"/>
          </w:tcPr>
          <w:p w14:paraId="7E854CA8" w14:textId="77777777" w:rsidR="00860F8E" w:rsidRPr="005D646B" w:rsidRDefault="00860F8E" w:rsidP="005D646B">
            <w:pPr>
              <w:pStyle w:val="TableText"/>
              <w:rPr>
                <w:b/>
              </w:rPr>
            </w:pPr>
            <w:r w:rsidRPr="005D646B">
              <w:rPr>
                <w:b/>
              </w:rPr>
              <w:t>10</w:t>
            </w:r>
          </w:p>
        </w:tc>
        <w:tc>
          <w:tcPr>
            <w:tcW w:w="469" w:type="pct"/>
            <w:noWrap/>
            <w:vAlign w:val="bottom"/>
          </w:tcPr>
          <w:p w14:paraId="5ADAB2D4" w14:textId="77777777" w:rsidR="00860F8E" w:rsidRPr="005D646B" w:rsidRDefault="00860F8E" w:rsidP="005D646B">
            <w:pPr>
              <w:pStyle w:val="TableText"/>
              <w:rPr>
                <w:b/>
              </w:rPr>
            </w:pPr>
            <w:r w:rsidRPr="005D646B">
              <w:rPr>
                <w:b/>
              </w:rPr>
              <w:t>95</w:t>
            </w:r>
          </w:p>
        </w:tc>
        <w:tc>
          <w:tcPr>
            <w:tcW w:w="469" w:type="pct"/>
            <w:noWrap/>
            <w:vAlign w:val="bottom"/>
          </w:tcPr>
          <w:p w14:paraId="130B5B24" w14:textId="77777777" w:rsidR="00860F8E" w:rsidRPr="005D646B" w:rsidRDefault="00860F8E" w:rsidP="005D646B">
            <w:pPr>
              <w:pStyle w:val="TableText"/>
              <w:rPr>
                <w:b/>
              </w:rPr>
            </w:pPr>
            <w:r w:rsidRPr="005D646B">
              <w:rPr>
                <w:b/>
              </w:rPr>
              <w:t>201</w:t>
            </w:r>
          </w:p>
        </w:tc>
        <w:tc>
          <w:tcPr>
            <w:tcW w:w="469" w:type="pct"/>
            <w:noWrap/>
            <w:vAlign w:val="bottom"/>
          </w:tcPr>
          <w:p w14:paraId="35B42BAD" w14:textId="77777777" w:rsidR="00860F8E" w:rsidRPr="005D646B" w:rsidRDefault="00860F8E" w:rsidP="005D646B">
            <w:pPr>
              <w:pStyle w:val="TableText"/>
              <w:rPr>
                <w:b/>
              </w:rPr>
            </w:pPr>
            <w:r w:rsidRPr="005D646B">
              <w:rPr>
                <w:b/>
              </w:rPr>
              <w:t>280</w:t>
            </w:r>
          </w:p>
        </w:tc>
        <w:tc>
          <w:tcPr>
            <w:tcW w:w="469" w:type="pct"/>
            <w:noWrap/>
            <w:vAlign w:val="bottom"/>
          </w:tcPr>
          <w:p w14:paraId="5BFC5D25" w14:textId="77777777" w:rsidR="00860F8E" w:rsidRPr="005D646B" w:rsidRDefault="00860F8E" w:rsidP="005D646B">
            <w:pPr>
              <w:pStyle w:val="TableText"/>
              <w:rPr>
                <w:b/>
              </w:rPr>
            </w:pPr>
            <w:r w:rsidRPr="005D646B">
              <w:rPr>
                <w:b/>
              </w:rPr>
              <w:t>203</w:t>
            </w:r>
          </w:p>
        </w:tc>
        <w:tc>
          <w:tcPr>
            <w:tcW w:w="469" w:type="pct"/>
            <w:noWrap/>
            <w:vAlign w:val="bottom"/>
          </w:tcPr>
          <w:p w14:paraId="7B8E3159" w14:textId="77777777" w:rsidR="00860F8E" w:rsidRPr="005D646B" w:rsidRDefault="00860F8E" w:rsidP="005D646B">
            <w:pPr>
              <w:pStyle w:val="TableText"/>
              <w:rPr>
                <w:b/>
              </w:rPr>
            </w:pPr>
            <w:r w:rsidRPr="005D646B">
              <w:rPr>
                <w:b/>
              </w:rPr>
              <w:t>43</w:t>
            </w:r>
          </w:p>
        </w:tc>
        <w:tc>
          <w:tcPr>
            <w:tcW w:w="444" w:type="pct"/>
            <w:noWrap/>
            <w:vAlign w:val="bottom"/>
          </w:tcPr>
          <w:p w14:paraId="19082C87" w14:textId="77777777" w:rsidR="00860F8E" w:rsidRPr="005D646B" w:rsidRDefault="00860F8E" w:rsidP="005D646B">
            <w:pPr>
              <w:pStyle w:val="TableText"/>
              <w:rPr>
                <w:b/>
              </w:rPr>
            </w:pPr>
            <w:r w:rsidRPr="005D646B">
              <w:rPr>
                <w:b/>
              </w:rPr>
              <w:t>832</w:t>
            </w:r>
          </w:p>
        </w:tc>
      </w:tr>
    </w:tbl>
    <w:p w14:paraId="60B01B30" w14:textId="77777777" w:rsidR="00860F8E" w:rsidRPr="00053FD1" w:rsidRDefault="00860F8E" w:rsidP="00860F8E">
      <w:pPr>
        <w:pStyle w:val="TableName"/>
      </w:pPr>
      <w:r w:rsidRPr="00053FD1">
        <w:rPr>
          <w:rFonts w:ascii="Times New Roman" w:hAnsi="Times New Roman"/>
          <w:sz w:val="24"/>
          <w:szCs w:val="24"/>
          <w:lang w:eastAsia="en-AU"/>
        </w:rPr>
        <w:br w:type="page"/>
      </w:r>
      <w:r w:rsidRPr="00053FD1">
        <w:lastRenderedPageBreak/>
        <w:t>Table B.4</w:t>
      </w:r>
      <w:r w:rsidRPr="00053FD1">
        <w:tab/>
        <w:t xml:space="preserve">Workplace diversity data for employees by classification at 30 June </w:t>
      </w:r>
      <w:r>
        <w:t>2018</w:t>
      </w:r>
      <w:r w:rsidRPr="003E4CBD">
        <w:rPr>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1324"/>
        <w:gridCol w:w="1324"/>
        <w:gridCol w:w="1423"/>
      </w:tblGrid>
      <w:tr w:rsidR="00860F8E" w:rsidRPr="00053FD1" w14:paraId="4A804493" w14:textId="77777777" w:rsidTr="00E849B5">
        <w:trPr>
          <w:trHeight w:val="274"/>
          <w:tblHeader/>
        </w:trPr>
        <w:tc>
          <w:tcPr>
            <w:tcW w:w="5076" w:type="dxa"/>
            <w:shd w:val="clear" w:color="auto" w:fill="auto"/>
            <w:noWrap/>
            <w:vAlign w:val="bottom"/>
            <w:hideMark/>
          </w:tcPr>
          <w:p w14:paraId="5F0FF77F" w14:textId="77777777" w:rsidR="00860F8E" w:rsidRPr="005D646B" w:rsidRDefault="00860F8E" w:rsidP="005D646B">
            <w:pPr>
              <w:pStyle w:val="TableText"/>
              <w:rPr>
                <w:b/>
              </w:rPr>
            </w:pPr>
            <w:r w:rsidRPr="005D646B">
              <w:rPr>
                <w:b/>
              </w:rPr>
              <w:t>Classification</w:t>
            </w:r>
          </w:p>
        </w:tc>
        <w:tc>
          <w:tcPr>
            <w:tcW w:w="1355" w:type="dxa"/>
            <w:shd w:val="clear" w:color="auto" w:fill="auto"/>
            <w:noWrap/>
            <w:hideMark/>
          </w:tcPr>
          <w:p w14:paraId="0296B508" w14:textId="77777777" w:rsidR="00860F8E" w:rsidRPr="005D646B" w:rsidRDefault="00860F8E" w:rsidP="005D646B">
            <w:pPr>
              <w:pStyle w:val="TableText"/>
              <w:rPr>
                <w:b/>
              </w:rPr>
            </w:pPr>
            <w:r w:rsidRPr="005D646B">
              <w:rPr>
                <w:b/>
              </w:rPr>
              <w:t>NESB</w:t>
            </w:r>
            <w:r w:rsidRPr="005D646B">
              <w:rPr>
                <w:b/>
                <w:vertAlign w:val="superscript"/>
              </w:rPr>
              <w:t>b</w:t>
            </w:r>
          </w:p>
        </w:tc>
        <w:tc>
          <w:tcPr>
            <w:tcW w:w="1355" w:type="dxa"/>
            <w:shd w:val="clear" w:color="auto" w:fill="auto"/>
            <w:noWrap/>
            <w:hideMark/>
          </w:tcPr>
          <w:p w14:paraId="6AABAAFA" w14:textId="77777777" w:rsidR="00860F8E" w:rsidRPr="005D646B" w:rsidRDefault="00860F8E" w:rsidP="005D646B">
            <w:pPr>
              <w:pStyle w:val="TableText"/>
              <w:rPr>
                <w:b/>
              </w:rPr>
            </w:pPr>
            <w:r w:rsidRPr="005D646B">
              <w:rPr>
                <w:b/>
              </w:rPr>
              <w:t>Indigenous</w:t>
            </w:r>
          </w:p>
        </w:tc>
        <w:tc>
          <w:tcPr>
            <w:tcW w:w="1456" w:type="dxa"/>
            <w:shd w:val="clear" w:color="auto" w:fill="auto"/>
            <w:noWrap/>
            <w:hideMark/>
          </w:tcPr>
          <w:p w14:paraId="56CB2611" w14:textId="77777777" w:rsidR="00860F8E" w:rsidRPr="005D646B" w:rsidRDefault="00860F8E" w:rsidP="005D646B">
            <w:pPr>
              <w:pStyle w:val="TableText"/>
              <w:rPr>
                <w:b/>
              </w:rPr>
            </w:pPr>
            <w:r w:rsidRPr="005D646B">
              <w:rPr>
                <w:b/>
              </w:rPr>
              <w:t>Disability</w:t>
            </w:r>
          </w:p>
        </w:tc>
      </w:tr>
      <w:tr w:rsidR="00860F8E" w:rsidRPr="00053FD1" w14:paraId="5B3ECF08" w14:textId="77777777" w:rsidTr="00E849B5">
        <w:trPr>
          <w:trHeight w:val="274"/>
          <w:tblHeader/>
        </w:trPr>
        <w:tc>
          <w:tcPr>
            <w:tcW w:w="5076" w:type="dxa"/>
            <w:shd w:val="clear" w:color="auto" w:fill="auto"/>
            <w:noWrap/>
            <w:vAlign w:val="center"/>
          </w:tcPr>
          <w:p w14:paraId="35D3928B" w14:textId="77777777" w:rsidR="00860F8E" w:rsidRPr="00053FD1" w:rsidRDefault="00860F8E" w:rsidP="005D646B">
            <w:pPr>
              <w:pStyle w:val="TableText"/>
            </w:pPr>
            <w:r w:rsidRPr="00053FD1">
              <w:t>Aviation Safety Regulator – Safety Systems Inspector</w:t>
            </w:r>
          </w:p>
        </w:tc>
        <w:tc>
          <w:tcPr>
            <w:tcW w:w="1355" w:type="dxa"/>
            <w:shd w:val="clear" w:color="auto" w:fill="auto"/>
            <w:noWrap/>
          </w:tcPr>
          <w:p w14:paraId="10A9C1DB" w14:textId="77777777" w:rsidR="00860F8E" w:rsidRPr="00053FD1" w:rsidRDefault="00860F8E" w:rsidP="005D646B">
            <w:pPr>
              <w:pStyle w:val="TableText"/>
            </w:pPr>
            <w:r w:rsidRPr="00053FD1">
              <w:t>–</w:t>
            </w:r>
          </w:p>
        </w:tc>
        <w:tc>
          <w:tcPr>
            <w:tcW w:w="1355" w:type="dxa"/>
            <w:shd w:val="clear" w:color="auto" w:fill="auto"/>
            <w:noWrap/>
          </w:tcPr>
          <w:p w14:paraId="5B7E9C7D" w14:textId="77777777" w:rsidR="00860F8E" w:rsidRPr="00053FD1" w:rsidRDefault="00860F8E" w:rsidP="005D646B">
            <w:pPr>
              <w:pStyle w:val="TableText"/>
            </w:pPr>
            <w:r w:rsidRPr="00053FD1">
              <w:t>–</w:t>
            </w:r>
          </w:p>
        </w:tc>
        <w:tc>
          <w:tcPr>
            <w:tcW w:w="1456" w:type="dxa"/>
            <w:shd w:val="clear" w:color="auto" w:fill="auto"/>
            <w:noWrap/>
          </w:tcPr>
          <w:p w14:paraId="23464E83" w14:textId="77777777" w:rsidR="00860F8E" w:rsidRPr="00053FD1" w:rsidRDefault="00860F8E" w:rsidP="005D646B">
            <w:pPr>
              <w:pStyle w:val="TableText"/>
            </w:pPr>
            <w:r w:rsidRPr="00053FD1">
              <w:t>–</w:t>
            </w:r>
          </w:p>
        </w:tc>
      </w:tr>
      <w:tr w:rsidR="00860F8E" w:rsidRPr="00053FD1" w14:paraId="324C42D6" w14:textId="77777777" w:rsidTr="00E849B5">
        <w:trPr>
          <w:trHeight w:val="274"/>
          <w:tblHeader/>
        </w:trPr>
        <w:tc>
          <w:tcPr>
            <w:tcW w:w="5076" w:type="dxa"/>
            <w:shd w:val="clear" w:color="auto" w:fill="auto"/>
            <w:noWrap/>
            <w:vAlign w:val="center"/>
          </w:tcPr>
          <w:p w14:paraId="13993EC6" w14:textId="77777777" w:rsidR="00860F8E" w:rsidRPr="00053FD1" w:rsidRDefault="00860F8E" w:rsidP="005D646B">
            <w:pPr>
              <w:pStyle w:val="TableText"/>
            </w:pPr>
            <w:r w:rsidRPr="00053FD1">
              <w:t>Aviation Safety Regulator – Aviation Safety Adviser</w:t>
            </w:r>
          </w:p>
        </w:tc>
        <w:tc>
          <w:tcPr>
            <w:tcW w:w="1355" w:type="dxa"/>
            <w:shd w:val="clear" w:color="auto" w:fill="auto"/>
            <w:noWrap/>
          </w:tcPr>
          <w:p w14:paraId="7909F5BD" w14:textId="77777777" w:rsidR="00860F8E" w:rsidRPr="00053FD1" w:rsidRDefault="00860F8E" w:rsidP="005D646B">
            <w:pPr>
              <w:pStyle w:val="TableText"/>
            </w:pPr>
            <w:r w:rsidRPr="00053FD1">
              <w:t>–</w:t>
            </w:r>
          </w:p>
        </w:tc>
        <w:tc>
          <w:tcPr>
            <w:tcW w:w="1355" w:type="dxa"/>
            <w:shd w:val="clear" w:color="auto" w:fill="auto"/>
            <w:noWrap/>
          </w:tcPr>
          <w:p w14:paraId="0E253C43" w14:textId="77777777" w:rsidR="00860F8E" w:rsidRPr="00053FD1" w:rsidRDefault="00860F8E" w:rsidP="005D646B">
            <w:pPr>
              <w:pStyle w:val="TableText"/>
            </w:pPr>
            <w:r w:rsidRPr="00053FD1">
              <w:t>–</w:t>
            </w:r>
          </w:p>
        </w:tc>
        <w:tc>
          <w:tcPr>
            <w:tcW w:w="1456" w:type="dxa"/>
            <w:shd w:val="clear" w:color="auto" w:fill="auto"/>
            <w:noWrap/>
          </w:tcPr>
          <w:p w14:paraId="45859FB2" w14:textId="77777777" w:rsidR="00860F8E" w:rsidRPr="00053FD1" w:rsidRDefault="00860F8E" w:rsidP="005D646B">
            <w:pPr>
              <w:pStyle w:val="TableText"/>
            </w:pPr>
            <w:r w:rsidRPr="00053FD1">
              <w:t>1</w:t>
            </w:r>
          </w:p>
        </w:tc>
      </w:tr>
      <w:tr w:rsidR="00860F8E" w:rsidRPr="00053FD1" w14:paraId="7F177AC1" w14:textId="77777777" w:rsidTr="00E849B5">
        <w:trPr>
          <w:trHeight w:val="274"/>
          <w:tblHeader/>
        </w:trPr>
        <w:tc>
          <w:tcPr>
            <w:tcW w:w="5076" w:type="dxa"/>
            <w:shd w:val="clear" w:color="auto" w:fill="auto"/>
            <w:noWrap/>
            <w:vAlign w:val="center"/>
          </w:tcPr>
          <w:p w14:paraId="32ACD70C" w14:textId="77777777" w:rsidR="00860F8E" w:rsidRPr="00053FD1" w:rsidRDefault="00860F8E" w:rsidP="005D646B">
            <w:pPr>
              <w:pStyle w:val="TableText"/>
            </w:pPr>
            <w:r w:rsidRPr="00053FD1">
              <w:t>Aviation Safety Regulator – Airworthiness Inspector</w:t>
            </w:r>
          </w:p>
        </w:tc>
        <w:tc>
          <w:tcPr>
            <w:tcW w:w="1355" w:type="dxa"/>
            <w:shd w:val="clear" w:color="auto" w:fill="auto"/>
            <w:noWrap/>
          </w:tcPr>
          <w:p w14:paraId="2BC2AFE4" w14:textId="77777777" w:rsidR="00860F8E" w:rsidRPr="00053FD1" w:rsidRDefault="00860F8E" w:rsidP="005D646B">
            <w:pPr>
              <w:pStyle w:val="TableText"/>
            </w:pPr>
            <w:r w:rsidRPr="00053FD1">
              <w:t>3</w:t>
            </w:r>
          </w:p>
        </w:tc>
        <w:tc>
          <w:tcPr>
            <w:tcW w:w="1355" w:type="dxa"/>
            <w:shd w:val="clear" w:color="auto" w:fill="auto"/>
            <w:noWrap/>
          </w:tcPr>
          <w:p w14:paraId="66E29112" w14:textId="77777777" w:rsidR="00860F8E" w:rsidRPr="00053FD1" w:rsidRDefault="00860F8E" w:rsidP="005D646B">
            <w:pPr>
              <w:pStyle w:val="TableText"/>
            </w:pPr>
            <w:r w:rsidRPr="00053FD1">
              <w:t>–</w:t>
            </w:r>
          </w:p>
        </w:tc>
        <w:tc>
          <w:tcPr>
            <w:tcW w:w="1456" w:type="dxa"/>
            <w:shd w:val="clear" w:color="auto" w:fill="auto"/>
            <w:noWrap/>
          </w:tcPr>
          <w:p w14:paraId="1CE4582D" w14:textId="77777777" w:rsidR="00860F8E" w:rsidRPr="00053FD1" w:rsidRDefault="00860F8E" w:rsidP="005D646B">
            <w:pPr>
              <w:pStyle w:val="TableText"/>
            </w:pPr>
            <w:r w:rsidRPr="00053FD1">
              <w:t>2</w:t>
            </w:r>
          </w:p>
        </w:tc>
      </w:tr>
      <w:tr w:rsidR="00860F8E" w:rsidRPr="00053FD1" w14:paraId="2270F234" w14:textId="77777777" w:rsidTr="00E849B5">
        <w:trPr>
          <w:trHeight w:val="274"/>
          <w:tblHeader/>
        </w:trPr>
        <w:tc>
          <w:tcPr>
            <w:tcW w:w="5076" w:type="dxa"/>
            <w:shd w:val="clear" w:color="auto" w:fill="auto"/>
            <w:noWrap/>
            <w:vAlign w:val="center"/>
          </w:tcPr>
          <w:p w14:paraId="42CD3819" w14:textId="77777777" w:rsidR="00860F8E" w:rsidRPr="00053FD1" w:rsidRDefault="00860F8E" w:rsidP="005D646B">
            <w:pPr>
              <w:pStyle w:val="TableText"/>
            </w:pPr>
            <w:r w:rsidRPr="00053FD1">
              <w:t>Aviation Safety Regulator – Aerodrome Inspector</w:t>
            </w:r>
          </w:p>
        </w:tc>
        <w:tc>
          <w:tcPr>
            <w:tcW w:w="1355" w:type="dxa"/>
            <w:shd w:val="clear" w:color="auto" w:fill="auto"/>
            <w:noWrap/>
          </w:tcPr>
          <w:p w14:paraId="55EDE5D5" w14:textId="77777777" w:rsidR="00860F8E" w:rsidRPr="00053FD1" w:rsidRDefault="00860F8E" w:rsidP="005D646B">
            <w:pPr>
              <w:pStyle w:val="TableText"/>
            </w:pPr>
            <w:r w:rsidRPr="00053FD1">
              <w:t>1</w:t>
            </w:r>
          </w:p>
        </w:tc>
        <w:tc>
          <w:tcPr>
            <w:tcW w:w="1355" w:type="dxa"/>
            <w:shd w:val="clear" w:color="auto" w:fill="auto"/>
            <w:noWrap/>
          </w:tcPr>
          <w:p w14:paraId="2296F28C" w14:textId="77777777" w:rsidR="00860F8E" w:rsidRPr="00053FD1" w:rsidRDefault="00860F8E" w:rsidP="005D646B">
            <w:pPr>
              <w:pStyle w:val="TableText"/>
            </w:pPr>
            <w:r w:rsidRPr="00053FD1">
              <w:t>1</w:t>
            </w:r>
          </w:p>
        </w:tc>
        <w:tc>
          <w:tcPr>
            <w:tcW w:w="1456" w:type="dxa"/>
            <w:shd w:val="clear" w:color="auto" w:fill="auto"/>
            <w:noWrap/>
          </w:tcPr>
          <w:p w14:paraId="13E3BA5B" w14:textId="77777777" w:rsidR="00860F8E" w:rsidRPr="00053FD1" w:rsidRDefault="00860F8E" w:rsidP="005D646B">
            <w:pPr>
              <w:pStyle w:val="TableText"/>
            </w:pPr>
            <w:r w:rsidRPr="00053FD1">
              <w:t>–</w:t>
            </w:r>
          </w:p>
        </w:tc>
      </w:tr>
      <w:tr w:rsidR="00860F8E" w:rsidRPr="00053FD1" w14:paraId="7C506EB6" w14:textId="77777777" w:rsidTr="00E849B5">
        <w:trPr>
          <w:trHeight w:val="274"/>
          <w:tblHeader/>
        </w:trPr>
        <w:tc>
          <w:tcPr>
            <w:tcW w:w="5076" w:type="dxa"/>
            <w:shd w:val="clear" w:color="auto" w:fill="auto"/>
            <w:noWrap/>
            <w:vAlign w:val="center"/>
          </w:tcPr>
          <w:p w14:paraId="620870C2" w14:textId="77777777" w:rsidR="00860F8E" w:rsidRPr="00053FD1" w:rsidRDefault="00860F8E" w:rsidP="005D646B">
            <w:pPr>
              <w:pStyle w:val="TableText"/>
            </w:pPr>
            <w:r w:rsidRPr="00053FD1">
              <w:t>Aviation Safety Regulator – Other</w:t>
            </w:r>
          </w:p>
        </w:tc>
        <w:tc>
          <w:tcPr>
            <w:tcW w:w="1355" w:type="dxa"/>
            <w:shd w:val="clear" w:color="auto" w:fill="auto"/>
            <w:noWrap/>
          </w:tcPr>
          <w:p w14:paraId="78DAA155" w14:textId="77777777" w:rsidR="00860F8E" w:rsidRPr="00053FD1" w:rsidRDefault="00860F8E" w:rsidP="005D646B">
            <w:pPr>
              <w:pStyle w:val="TableText"/>
            </w:pPr>
            <w:r w:rsidRPr="00053FD1">
              <w:t>8</w:t>
            </w:r>
          </w:p>
        </w:tc>
        <w:tc>
          <w:tcPr>
            <w:tcW w:w="1355" w:type="dxa"/>
            <w:shd w:val="clear" w:color="auto" w:fill="auto"/>
            <w:noWrap/>
          </w:tcPr>
          <w:p w14:paraId="766C386E" w14:textId="77777777" w:rsidR="00860F8E" w:rsidRPr="00053FD1" w:rsidRDefault="00860F8E" w:rsidP="005D646B">
            <w:pPr>
              <w:pStyle w:val="TableText"/>
            </w:pPr>
            <w:r w:rsidRPr="00053FD1">
              <w:t>2</w:t>
            </w:r>
          </w:p>
        </w:tc>
        <w:tc>
          <w:tcPr>
            <w:tcW w:w="1456" w:type="dxa"/>
            <w:shd w:val="clear" w:color="auto" w:fill="auto"/>
            <w:noWrap/>
          </w:tcPr>
          <w:p w14:paraId="30BDCC39" w14:textId="77777777" w:rsidR="00860F8E" w:rsidRPr="00053FD1" w:rsidRDefault="00860F8E" w:rsidP="005D646B">
            <w:pPr>
              <w:pStyle w:val="TableText"/>
            </w:pPr>
            <w:r w:rsidRPr="00053FD1">
              <w:t>4</w:t>
            </w:r>
          </w:p>
        </w:tc>
      </w:tr>
      <w:tr w:rsidR="00860F8E" w:rsidRPr="00053FD1" w14:paraId="2E6552A0" w14:textId="77777777" w:rsidTr="00E849B5">
        <w:trPr>
          <w:trHeight w:val="274"/>
          <w:tblHeader/>
        </w:trPr>
        <w:tc>
          <w:tcPr>
            <w:tcW w:w="5076" w:type="dxa"/>
            <w:shd w:val="clear" w:color="auto" w:fill="auto"/>
            <w:noWrap/>
            <w:vAlign w:val="center"/>
          </w:tcPr>
          <w:p w14:paraId="34B42B50" w14:textId="77777777" w:rsidR="00860F8E" w:rsidRPr="00053FD1" w:rsidRDefault="00860F8E" w:rsidP="005D646B">
            <w:pPr>
              <w:pStyle w:val="TableText"/>
            </w:pPr>
            <w:r w:rsidRPr="00053FD1">
              <w:t>Certificate Management Team Leader</w:t>
            </w:r>
          </w:p>
        </w:tc>
        <w:tc>
          <w:tcPr>
            <w:tcW w:w="1355" w:type="dxa"/>
            <w:shd w:val="clear" w:color="auto" w:fill="auto"/>
            <w:noWrap/>
          </w:tcPr>
          <w:p w14:paraId="7EEE64D0" w14:textId="77777777" w:rsidR="00860F8E" w:rsidRPr="00053FD1" w:rsidRDefault="00860F8E" w:rsidP="005D646B">
            <w:pPr>
              <w:pStyle w:val="TableText"/>
            </w:pPr>
            <w:r w:rsidRPr="00053FD1">
              <w:t>3</w:t>
            </w:r>
          </w:p>
        </w:tc>
        <w:tc>
          <w:tcPr>
            <w:tcW w:w="1355" w:type="dxa"/>
            <w:shd w:val="clear" w:color="auto" w:fill="auto"/>
            <w:noWrap/>
          </w:tcPr>
          <w:p w14:paraId="1A9E8E14" w14:textId="77777777" w:rsidR="00860F8E" w:rsidRPr="00053FD1" w:rsidRDefault="00860F8E" w:rsidP="005D646B">
            <w:pPr>
              <w:pStyle w:val="TableText"/>
            </w:pPr>
            <w:r w:rsidRPr="00053FD1">
              <w:t>1</w:t>
            </w:r>
          </w:p>
        </w:tc>
        <w:tc>
          <w:tcPr>
            <w:tcW w:w="1456" w:type="dxa"/>
            <w:shd w:val="clear" w:color="auto" w:fill="auto"/>
            <w:noWrap/>
          </w:tcPr>
          <w:p w14:paraId="4FBD5B53" w14:textId="77777777" w:rsidR="00860F8E" w:rsidRPr="00053FD1" w:rsidRDefault="00860F8E" w:rsidP="005D646B">
            <w:pPr>
              <w:pStyle w:val="TableText"/>
            </w:pPr>
            <w:r w:rsidRPr="00053FD1">
              <w:t>2</w:t>
            </w:r>
          </w:p>
        </w:tc>
      </w:tr>
      <w:tr w:rsidR="00860F8E" w:rsidRPr="00053FD1" w14:paraId="31619047" w14:textId="77777777" w:rsidTr="00E849B5">
        <w:trPr>
          <w:trHeight w:val="274"/>
          <w:tblHeader/>
        </w:trPr>
        <w:tc>
          <w:tcPr>
            <w:tcW w:w="5076" w:type="dxa"/>
            <w:shd w:val="clear" w:color="auto" w:fill="auto"/>
            <w:noWrap/>
            <w:vAlign w:val="center"/>
          </w:tcPr>
          <w:p w14:paraId="001F84F1" w14:textId="77777777" w:rsidR="00860F8E" w:rsidRPr="00053FD1" w:rsidRDefault="00860F8E" w:rsidP="005D646B">
            <w:pPr>
              <w:pStyle w:val="TableText"/>
            </w:pPr>
            <w:r w:rsidRPr="00053FD1">
              <w:t>Flight Training Examiner</w:t>
            </w:r>
          </w:p>
        </w:tc>
        <w:tc>
          <w:tcPr>
            <w:tcW w:w="1355" w:type="dxa"/>
            <w:shd w:val="clear" w:color="auto" w:fill="auto"/>
            <w:noWrap/>
          </w:tcPr>
          <w:p w14:paraId="543BC999" w14:textId="77777777" w:rsidR="00860F8E" w:rsidRPr="00053FD1" w:rsidRDefault="00860F8E" w:rsidP="005D646B">
            <w:pPr>
              <w:pStyle w:val="TableText"/>
            </w:pPr>
            <w:r w:rsidRPr="00053FD1">
              <w:t>1</w:t>
            </w:r>
          </w:p>
        </w:tc>
        <w:tc>
          <w:tcPr>
            <w:tcW w:w="1355" w:type="dxa"/>
            <w:shd w:val="clear" w:color="auto" w:fill="auto"/>
            <w:noWrap/>
          </w:tcPr>
          <w:p w14:paraId="14B1C755" w14:textId="77777777" w:rsidR="00860F8E" w:rsidRPr="00053FD1" w:rsidRDefault="00860F8E" w:rsidP="005D646B">
            <w:pPr>
              <w:pStyle w:val="TableText"/>
            </w:pPr>
            <w:r w:rsidRPr="00053FD1">
              <w:t>–</w:t>
            </w:r>
          </w:p>
        </w:tc>
        <w:tc>
          <w:tcPr>
            <w:tcW w:w="1456" w:type="dxa"/>
            <w:shd w:val="clear" w:color="auto" w:fill="auto"/>
            <w:noWrap/>
          </w:tcPr>
          <w:p w14:paraId="0338B417" w14:textId="77777777" w:rsidR="00860F8E" w:rsidRPr="00053FD1" w:rsidRDefault="00860F8E" w:rsidP="005D646B">
            <w:pPr>
              <w:pStyle w:val="TableText"/>
            </w:pPr>
            <w:r w:rsidRPr="00053FD1">
              <w:t>–</w:t>
            </w:r>
          </w:p>
        </w:tc>
      </w:tr>
      <w:tr w:rsidR="00860F8E" w:rsidRPr="00053FD1" w14:paraId="4085A366" w14:textId="77777777" w:rsidTr="00E849B5">
        <w:trPr>
          <w:trHeight w:val="274"/>
          <w:tblHeader/>
        </w:trPr>
        <w:tc>
          <w:tcPr>
            <w:tcW w:w="5076" w:type="dxa"/>
            <w:shd w:val="clear" w:color="auto" w:fill="auto"/>
            <w:noWrap/>
            <w:vAlign w:val="center"/>
          </w:tcPr>
          <w:p w14:paraId="06E8B6EF" w14:textId="77777777" w:rsidR="00860F8E" w:rsidRPr="00053FD1" w:rsidRDefault="00860F8E" w:rsidP="005D646B">
            <w:pPr>
              <w:pStyle w:val="TableText"/>
            </w:pPr>
            <w:r w:rsidRPr="00053FD1">
              <w:t>Flying Operations Inspector</w:t>
            </w:r>
          </w:p>
        </w:tc>
        <w:tc>
          <w:tcPr>
            <w:tcW w:w="1355" w:type="dxa"/>
            <w:shd w:val="clear" w:color="auto" w:fill="auto"/>
            <w:noWrap/>
          </w:tcPr>
          <w:p w14:paraId="28BEAFB7" w14:textId="77777777" w:rsidR="00860F8E" w:rsidRPr="00053FD1" w:rsidRDefault="00860F8E" w:rsidP="005D646B">
            <w:pPr>
              <w:pStyle w:val="TableText"/>
            </w:pPr>
            <w:r w:rsidRPr="00053FD1">
              <w:t>7</w:t>
            </w:r>
          </w:p>
        </w:tc>
        <w:tc>
          <w:tcPr>
            <w:tcW w:w="1355" w:type="dxa"/>
            <w:shd w:val="clear" w:color="auto" w:fill="auto"/>
            <w:noWrap/>
          </w:tcPr>
          <w:p w14:paraId="3667BE7F" w14:textId="77777777" w:rsidR="00860F8E" w:rsidRPr="00053FD1" w:rsidRDefault="00860F8E" w:rsidP="005D646B">
            <w:pPr>
              <w:pStyle w:val="TableText"/>
            </w:pPr>
            <w:r w:rsidRPr="00053FD1">
              <w:t>–</w:t>
            </w:r>
          </w:p>
        </w:tc>
        <w:tc>
          <w:tcPr>
            <w:tcW w:w="1456" w:type="dxa"/>
            <w:shd w:val="clear" w:color="auto" w:fill="auto"/>
            <w:noWrap/>
          </w:tcPr>
          <w:p w14:paraId="4503DEC2" w14:textId="77777777" w:rsidR="00860F8E" w:rsidRPr="00053FD1" w:rsidRDefault="00860F8E" w:rsidP="005D646B">
            <w:pPr>
              <w:pStyle w:val="TableText"/>
            </w:pPr>
            <w:r w:rsidRPr="00053FD1">
              <w:t>2</w:t>
            </w:r>
          </w:p>
        </w:tc>
      </w:tr>
      <w:tr w:rsidR="00860F8E" w:rsidRPr="00053FD1" w14:paraId="2F997CAA" w14:textId="77777777" w:rsidTr="00E849B5">
        <w:trPr>
          <w:trHeight w:val="274"/>
          <w:tblHeader/>
        </w:trPr>
        <w:tc>
          <w:tcPr>
            <w:tcW w:w="5076" w:type="dxa"/>
            <w:shd w:val="clear" w:color="auto" w:fill="auto"/>
            <w:noWrap/>
            <w:vAlign w:val="center"/>
          </w:tcPr>
          <w:p w14:paraId="61DA619C" w14:textId="77777777" w:rsidR="00860F8E" w:rsidRPr="00053FD1" w:rsidRDefault="00860F8E" w:rsidP="005D646B">
            <w:pPr>
              <w:pStyle w:val="TableText"/>
            </w:pPr>
            <w:r w:rsidRPr="00053FD1">
              <w:t>Professional Services</w:t>
            </w:r>
          </w:p>
        </w:tc>
        <w:tc>
          <w:tcPr>
            <w:tcW w:w="1355" w:type="dxa"/>
            <w:shd w:val="clear" w:color="auto" w:fill="auto"/>
            <w:noWrap/>
          </w:tcPr>
          <w:p w14:paraId="11DF8A8C" w14:textId="77777777" w:rsidR="00860F8E" w:rsidRPr="00053FD1" w:rsidRDefault="00860F8E" w:rsidP="005D646B">
            <w:pPr>
              <w:pStyle w:val="TableText"/>
            </w:pPr>
            <w:r w:rsidRPr="00053FD1">
              <w:t>1</w:t>
            </w:r>
          </w:p>
        </w:tc>
        <w:tc>
          <w:tcPr>
            <w:tcW w:w="1355" w:type="dxa"/>
            <w:shd w:val="clear" w:color="auto" w:fill="auto"/>
            <w:noWrap/>
          </w:tcPr>
          <w:p w14:paraId="47D2CD6A" w14:textId="77777777" w:rsidR="00860F8E" w:rsidRPr="00053FD1" w:rsidRDefault="00860F8E" w:rsidP="005D646B">
            <w:pPr>
              <w:pStyle w:val="TableText"/>
            </w:pPr>
            <w:r w:rsidRPr="00053FD1">
              <w:t>–</w:t>
            </w:r>
          </w:p>
        </w:tc>
        <w:tc>
          <w:tcPr>
            <w:tcW w:w="1456" w:type="dxa"/>
            <w:shd w:val="clear" w:color="auto" w:fill="auto"/>
            <w:noWrap/>
          </w:tcPr>
          <w:p w14:paraId="7D1F29F4" w14:textId="77777777" w:rsidR="00860F8E" w:rsidRPr="00053FD1" w:rsidRDefault="00860F8E" w:rsidP="005D646B">
            <w:pPr>
              <w:pStyle w:val="TableText"/>
            </w:pPr>
            <w:r w:rsidRPr="00053FD1">
              <w:t>3</w:t>
            </w:r>
          </w:p>
        </w:tc>
      </w:tr>
      <w:tr w:rsidR="00860F8E" w:rsidRPr="00053FD1" w14:paraId="5B642532" w14:textId="77777777" w:rsidTr="00E849B5">
        <w:trPr>
          <w:trHeight w:val="274"/>
          <w:tblHeader/>
        </w:trPr>
        <w:tc>
          <w:tcPr>
            <w:tcW w:w="5076" w:type="dxa"/>
            <w:shd w:val="clear" w:color="auto" w:fill="auto"/>
            <w:noWrap/>
            <w:vAlign w:val="center"/>
          </w:tcPr>
          <w:p w14:paraId="2E504586" w14:textId="77777777" w:rsidR="00860F8E" w:rsidRPr="00053FD1" w:rsidRDefault="00860F8E" w:rsidP="005D646B">
            <w:pPr>
              <w:pStyle w:val="TableText"/>
            </w:pPr>
            <w:r w:rsidRPr="00053FD1">
              <w:t>National Officer Manager</w:t>
            </w:r>
          </w:p>
        </w:tc>
        <w:tc>
          <w:tcPr>
            <w:tcW w:w="1355" w:type="dxa"/>
            <w:shd w:val="clear" w:color="auto" w:fill="auto"/>
            <w:noWrap/>
          </w:tcPr>
          <w:p w14:paraId="5887EF42" w14:textId="77777777" w:rsidR="00860F8E" w:rsidRPr="00053FD1" w:rsidRDefault="00860F8E" w:rsidP="005D646B">
            <w:pPr>
              <w:pStyle w:val="TableText"/>
            </w:pPr>
            <w:r w:rsidRPr="00053FD1">
              <w:t>–</w:t>
            </w:r>
          </w:p>
        </w:tc>
        <w:tc>
          <w:tcPr>
            <w:tcW w:w="1355" w:type="dxa"/>
            <w:shd w:val="clear" w:color="auto" w:fill="auto"/>
            <w:noWrap/>
          </w:tcPr>
          <w:p w14:paraId="71F29F0D" w14:textId="77777777" w:rsidR="00860F8E" w:rsidRPr="00053FD1" w:rsidRDefault="00860F8E" w:rsidP="005D646B">
            <w:pPr>
              <w:pStyle w:val="TableText"/>
            </w:pPr>
            <w:r w:rsidRPr="00053FD1">
              <w:t>–</w:t>
            </w:r>
          </w:p>
        </w:tc>
        <w:tc>
          <w:tcPr>
            <w:tcW w:w="1456" w:type="dxa"/>
            <w:shd w:val="clear" w:color="auto" w:fill="auto"/>
            <w:noWrap/>
          </w:tcPr>
          <w:p w14:paraId="03CC9B08" w14:textId="77777777" w:rsidR="00860F8E" w:rsidRPr="00053FD1" w:rsidRDefault="00860F8E" w:rsidP="005D646B">
            <w:pPr>
              <w:pStyle w:val="TableText"/>
            </w:pPr>
            <w:r w:rsidRPr="00053FD1">
              <w:t>–</w:t>
            </w:r>
          </w:p>
        </w:tc>
      </w:tr>
      <w:tr w:rsidR="00860F8E" w:rsidRPr="00053FD1" w14:paraId="24A8E4F1" w14:textId="77777777" w:rsidTr="00E849B5">
        <w:trPr>
          <w:trHeight w:val="274"/>
          <w:tblHeader/>
        </w:trPr>
        <w:tc>
          <w:tcPr>
            <w:tcW w:w="5076" w:type="dxa"/>
            <w:shd w:val="clear" w:color="auto" w:fill="auto"/>
            <w:noWrap/>
            <w:vAlign w:val="center"/>
          </w:tcPr>
          <w:p w14:paraId="2BF3DE36" w14:textId="77777777" w:rsidR="00860F8E" w:rsidRPr="00053FD1" w:rsidRDefault="00860F8E" w:rsidP="005D646B">
            <w:pPr>
              <w:pStyle w:val="TableText"/>
            </w:pPr>
            <w:r w:rsidRPr="00053FD1">
              <w:t xml:space="preserve">Senior </w:t>
            </w:r>
            <w:r w:rsidR="0044040E">
              <w:t>M</w:t>
            </w:r>
            <w:r w:rsidRPr="00053FD1">
              <w:t>anagement</w:t>
            </w:r>
          </w:p>
        </w:tc>
        <w:tc>
          <w:tcPr>
            <w:tcW w:w="1355" w:type="dxa"/>
            <w:shd w:val="clear" w:color="auto" w:fill="auto"/>
            <w:noWrap/>
          </w:tcPr>
          <w:p w14:paraId="45A07870" w14:textId="77777777" w:rsidR="00860F8E" w:rsidRPr="00053FD1" w:rsidRDefault="00860F8E" w:rsidP="005D646B">
            <w:pPr>
              <w:pStyle w:val="TableText"/>
              <w:rPr>
                <w:rFonts w:ascii="Times New Roman" w:hAnsi="Times New Roman"/>
                <w:lang w:eastAsia="en-AU"/>
              </w:rPr>
            </w:pPr>
            <w:r w:rsidRPr="00053FD1">
              <w:rPr>
                <w:rFonts w:ascii="Times New Roman" w:hAnsi="Times New Roman"/>
                <w:lang w:eastAsia="en-AU"/>
              </w:rPr>
              <w:t>2</w:t>
            </w:r>
          </w:p>
        </w:tc>
        <w:tc>
          <w:tcPr>
            <w:tcW w:w="1355" w:type="dxa"/>
            <w:shd w:val="clear" w:color="auto" w:fill="auto"/>
            <w:noWrap/>
          </w:tcPr>
          <w:p w14:paraId="38392AB8" w14:textId="77777777" w:rsidR="00860F8E" w:rsidRPr="00053FD1" w:rsidRDefault="00860F8E" w:rsidP="005D646B">
            <w:pPr>
              <w:pStyle w:val="TableText"/>
            </w:pPr>
            <w:r w:rsidRPr="00053FD1">
              <w:t>–</w:t>
            </w:r>
          </w:p>
        </w:tc>
        <w:tc>
          <w:tcPr>
            <w:tcW w:w="1456" w:type="dxa"/>
            <w:shd w:val="clear" w:color="auto" w:fill="auto"/>
            <w:noWrap/>
          </w:tcPr>
          <w:p w14:paraId="04289A02" w14:textId="77777777" w:rsidR="00860F8E" w:rsidRPr="00053FD1" w:rsidRDefault="00860F8E" w:rsidP="005D646B">
            <w:pPr>
              <w:pStyle w:val="TableText"/>
            </w:pPr>
            <w:r w:rsidRPr="00053FD1">
              <w:t>1</w:t>
            </w:r>
          </w:p>
        </w:tc>
      </w:tr>
      <w:tr w:rsidR="00860F8E" w:rsidRPr="00053FD1" w14:paraId="24461CB5" w14:textId="77777777" w:rsidTr="00E849B5">
        <w:trPr>
          <w:trHeight w:val="274"/>
          <w:tblHeader/>
        </w:trPr>
        <w:tc>
          <w:tcPr>
            <w:tcW w:w="5076" w:type="dxa"/>
            <w:shd w:val="clear" w:color="auto" w:fill="auto"/>
            <w:noWrap/>
            <w:vAlign w:val="center"/>
          </w:tcPr>
          <w:p w14:paraId="7E63BD73" w14:textId="77777777" w:rsidR="00860F8E" w:rsidRPr="00053FD1" w:rsidRDefault="00860F8E" w:rsidP="005D646B">
            <w:pPr>
              <w:pStyle w:val="TableText"/>
            </w:pPr>
            <w:r w:rsidRPr="00053FD1">
              <w:t>Other classifications</w:t>
            </w:r>
          </w:p>
        </w:tc>
        <w:tc>
          <w:tcPr>
            <w:tcW w:w="1355" w:type="dxa"/>
            <w:shd w:val="clear" w:color="auto" w:fill="auto"/>
            <w:noWrap/>
          </w:tcPr>
          <w:p w14:paraId="5367E50E" w14:textId="77777777" w:rsidR="00860F8E" w:rsidRPr="00053FD1" w:rsidRDefault="00860F8E" w:rsidP="005D646B">
            <w:pPr>
              <w:pStyle w:val="TableText"/>
              <w:rPr>
                <w:rFonts w:ascii="Times New Roman" w:hAnsi="Times New Roman"/>
                <w:lang w:eastAsia="en-AU"/>
              </w:rPr>
            </w:pPr>
            <w:r w:rsidRPr="00053FD1">
              <w:t>66</w:t>
            </w:r>
          </w:p>
        </w:tc>
        <w:tc>
          <w:tcPr>
            <w:tcW w:w="1355" w:type="dxa"/>
            <w:shd w:val="clear" w:color="auto" w:fill="auto"/>
            <w:noWrap/>
          </w:tcPr>
          <w:p w14:paraId="53CB22BA" w14:textId="77777777" w:rsidR="00860F8E" w:rsidRPr="00053FD1" w:rsidRDefault="00860F8E" w:rsidP="005D646B">
            <w:pPr>
              <w:pStyle w:val="TableText"/>
            </w:pPr>
            <w:r w:rsidRPr="00053FD1">
              <w:t>6</w:t>
            </w:r>
          </w:p>
        </w:tc>
        <w:tc>
          <w:tcPr>
            <w:tcW w:w="1456" w:type="dxa"/>
            <w:shd w:val="clear" w:color="auto" w:fill="auto"/>
            <w:noWrap/>
          </w:tcPr>
          <w:p w14:paraId="33000ED7" w14:textId="77777777" w:rsidR="00860F8E" w:rsidRPr="00053FD1" w:rsidRDefault="00860F8E" w:rsidP="005D646B">
            <w:pPr>
              <w:pStyle w:val="TableText"/>
            </w:pPr>
            <w:r w:rsidRPr="00053FD1">
              <w:t>11</w:t>
            </w:r>
          </w:p>
        </w:tc>
      </w:tr>
      <w:tr w:rsidR="00860F8E" w:rsidRPr="00053FD1" w14:paraId="24357414" w14:textId="77777777" w:rsidTr="00E849B5">
        <w:trPr>
          <w:trHeight w:val="288"/>
          <w:tblHeader/>
        </w:trPr>
        <w:tc>
          <w:tcPr>
            <w:tcW w:w="5076" w:type="dxa"/>
            <w:shd w:val="clear" w:color="auto" w:fill="auto"/>
            <w:noWrap/>
            <w:vAlign w:val="bottom"/>
            <w:hideMark/>
          </w:tcPr>
          <w:p w14:paraId="30C813FC" w14:textId="77777777" w:rsidR="00860F8E" w:rsidRPr="005D646B" w:rsidRDefault="00860F8E" w:rsidP="005D646B">
            <w:pPr>
              <w:pStyle w:val="TableText"/>
              <w:rPr>
                <w:b/>
              </w:rPr>
            </w:pPr>
            <w:r w:rsidRPr="005D646B">
              <w:rPr>
                <w:b/>
              </w:rPr>
              <w:t>Total</w:t>
            </w:r>
          </w:p>
        </w:tc>
        <w:tc>
          <w:tcPr>
            <w:tcW w:w="1355" w:type="dxa"/>
            <w:shd w:val="clear" w:color="auto" w:fill="auto"/>
            <w:noWrap/>
          </w:tcPr>
          <w:p w14:paraId="06B38849" w14:textId="77777777" w:rsidR="00860F8E" w:rsidRPr="005D646B" w:rsidRDefault="00860F8E" w:rsidP="005D646B">
            <w:pPr>
              <w:pStyle w:val="TableText"/>
              <w:rPr>
                <w:b/>
                <w:lang w:eastAsia="en-AU"/>
              </w:rPr>
            </w:pPr>
            <w:r w:rsidRPr="005D646B">
              <w:rPr>
                <w:b/>
                <w:lang w:eastAsia="en-AU"/>
              </w:rPr>
              <w:t>92</w:t>
            </w:r>
          </w:p>
        </w:tc>
        <w:tc>
          <w:tcPr>
            <w:tcW w:w="1355" w:type="dxa"/>
            <w:shd w:val="clear" w:color="auto" w:fill="auto"/>
            <w:noWrap/>
          </w:tcPr>
          <w:p w14:paraId="308014EA" w14:textId="77777777" w:rsidR="00860F8E" w:rsidRPr="005D646B" w:rsidRDefault="00860F8E" w:rsidP="005D646B">
            <w:pPr>
              <w:pStyle w:val="TableText"/>
              <w:rPr>
                <w:b/>
              </w:rPr>
            </w:pPr>
            <w:r w:rsidRPr="005D646B">
              <w:rPr>
                <w:b/>
              </w:rPr>
              <w:t>10</w:t>
            </w:r>
          </w:p>
        </w:tc>
        <w:tc>
          <w:tcPr>
            <w:tcW w:w="1456" w:type="dxa"/>
            <w:shd w:val="clear" w:color="auto" w:fill="auto"/>
            <w:noWrap/>
          </w:tcPr>
          <w:p w14:paraId="3CAF17EB" w14:textId="77777777" w:rsidR="00860F8E" w:rsidRPr="005D646B" w:rsidRDefault="00860F8E" w:rsidP="005D646B">
            <w:pPr>
              <w:pStyle w:val="TableText"/>
              <w:rPr>
                <w:b/>
              </w:rPr>
            </w:pPr>
            <w:r w:rsidRPr="005D646B">
              <w:rPr>
                <w:b/>
              </w:rPr>
              <w:t>26</w:t>
            </w:r>
          </w:p>
        </w:tc>
      </w:tr>
    </w:tbl>
    <w:p w14:paraId="31B2F7B6" w14:textId="77777777" w:rsidR="00860F8E" w:rsidRDefault="00860F8E" w:rsidP="00860F8E">
      <w:pPr>
        <w:pStyle w:val="TableNotesHangLast"/>
        <w:spacing w:before="0" w:after="0"/>
        <w:rPr>
          <w:lang w:eastAsia="en-AU"/>
        </w:rPr>
      </w:pPr>
      <w:r w:rsidRPr="00053FD1">
        <w:rPr>
          <w:lang w:eastAsia="en-AU"/>
        </w:rPr>
        <w:t>a</w:t>
      </w:r>
      <w:r w:rsidRPr="00053FD1">
        <w:rPr>
          <w:lang w:eastAsia="en-AU"/>
        </w:rPr>
        <w:tab/>
      </w:r>
      <w:r>
        <w:rPr>
          <w:lang w:eastAsia="en-AU"/>
        </w:rPr>
        <w:t>Includes permanent and temporary workforce.</w:t>
      </w:r>
    </w:p>
    <w:p w14:paraId="39D5CFCB" w14:textId="77777777" w:rsidR="00860F8E" w:rsidRDefault="00860F8E" w:rsidP="00860F8E">
      <w:pPr>
        <w:pStyle w:val="TableNotesHangLast"/>
        <w:rPr>
          <w:lang w:eastAsia="en-AU"/>
        </w:rPr>
      </w:pPr>
      <w:r>
        <w:rPr>
          <w:lang w:eastAsia="en-AU"/>
        </w:rPr>
        <w:t>b</w:t>
      </w:r>
      <w:r>
        <w:rPr>
          <w:lang w:eastAsia="en-AU"/>
        </w:rPr>
        <w:tab/>
      </w:r>
      <w:r>
        <w:rPr>
          <w:lang w:val="en-AU"/>
        </w:rPr>
        <w:t>NESB describes employees who, in addition to coming from a culturally diverse background, do not speak English as a first language. This matches the definition of NESB used by the Australian Public Service Commission.</w:t>
      </w:r>
    </w:p>
    <w:p w14:paraId="5A916DF2" w14:textId="77777777" w:rsidR="00860F8E" w:rsidRPr="00C473FA" w:rsidRDefault="00860F8E" w:rsidP="00860F8E">
      <w:pPr>
        <w:pStyle w:val="TableNotesHangLast"/>
        <w:rPr>
          <w:lang w:eastAsia="en-AU"/>
        </w:rPr>
      </w:pPr>
    </w:p>
    <w:p w14:paraId="1833B688" w14:textId="77777777" w:rsidR="00860F8E" w:rsidRPr="00C473FA" w:rsidRDefault="00860F8E" w:rsidP="00860F8E">
      <w:pPr>
        <w:sectPr w:rsidR="00860F8E" w:rsidRPr="00C473FA" w:rsidSect="00F55930">
          <w:pgSz w:w="11906" w:h="16838"/>
          <w:pgMar w:top="1440" w:right="1440" w:bottom="851" w:left="1440" w:header="708" w:footer="708" w:gutter="0"/>
          <w:cols w:space="708"/>
          <w:docGrid w:linePitch="360"/>
        </w:sectPr>
      </w:pPr>
    </w:p>
    <w:p w14:paraId="12EE3C2D" w14:textId="77777777" w:rsidR="00860F8E" w:rsidRPr="00053FD1" w:rsidRDefault="00860F8E" w:rsidP="00860F8E">
      <w:pPr>
        <w:pStyle w:val="Heading2"/>
      </w:pPr>
      <w:r w:rsidRPr="00053FD1">
        <w:lastRenderedPageBreak/>
        <w:t>Reviews of regulatory decisions</w:t>
      </w:r>
    </w:p>
    <w:p w14:paraId="588749BC" w14:textId="77777777" w:rsidR="00860F8E" w:rsidRPr="00053FD1" w:rsidRDefault="00860F8E" w:rsidP="00860F8E">
      <w:pPr>
        <w:pStyle w:val="TableName"/>
      </w:pPr>
      <w:r w:rsidRPr="00053FD1">
        <w:t>Table B.5</w:t>
      </w:r>
      <w:r w:rsidRPr="00053FD1">
        <w:tab/>
        <w:t xml:space="preserve">Administrative Appeals Tribunal merits reviews of CASA regulatory decisions, 2013–14 to </w:t>
      </w:r>
      <w:r>
        <w:t>2017–18</w:t>
      </w:r>
      <w:r w:rsidRPr="00053FD1">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974"/>
        <w:gridCol w:w="1408"/>
        <w:gridCol w:w="1408"/>
        <w:gridCol w:w="1408"/>
        <w:gridCol w:w="1408"/>
        <w:gridCol w:w="1408"/>
      </w:tblGrid>
      <w:tr w:rsidR="00860F8E" w:rsidRPr="00053FD1" w14:paraId="2FA513B1" w14:textId="77777777" w:rsidTr="008E2A9C">
        <w:trPr>
          <w:tblHeader/>
        </w:trPr>
        <w:tc>
          <w:tcPr>
            <w:tcW w:w="2025" w:type="dxa"/>
            <w:vAlign w:val="bottom"/>
          </w:tcPr>
          <w:p w14:paraId="5924A4C3" w14:textId="77777777" w:rsidR="00860F8E" w:rsidRPr="005D646B" w:rsidRDefault="00860F8E" w:rsidP="005D646B">
            <w:pPr>
              <w:pStyle w:val="TableText"/>
              <w:rPr>
                <w:b/>
              </w:rPr>
            </w:pPr>
            <w:r w:rsidRPr="005D646B">
              <w:rPr>
                <w:b/>
              </w:rPr>
              <w:t xml:space="preserve"> </w:t>
            </w:r>
          </w:p>
        </w:tc>
        <w:tc>
          <w:tcPr>
            <w:tcW w:w="1443" w:type="dxa"/>
          </w:tcPr>
          <w:p w14:paraId="6DD1A328" w14:textId="77777777" w:rsidR="00860F8E" w:rsidRPr="005D646B" w:rsidRDefault="00860F8E" w:rsidP="005D646B">
            <w:pPr>
              <w:pStyle w:val="TableText"/>
              <w:rPr>
                <w:b/>
              </w:rPr>
            </w:pPr>
            <w:r w:rsidRPr="005D646B">
              <w:rPr>
                <w:b/>
              </w:rPr>
              <w:t xml:space="preserve">2013–14 </w:t>
            </w:r>
          </w:p>
        </w:tc>
        <w:tc>
          <w:tcPr>
            <w:tcW w:w="1443" w:type="dxa"/>
          </w:tcPr>
          <w:p w14:paraId="1E6D18F7" w14:textId="77777777" w:rsidR="00860F8E" w:rsidRPr="005D646B" w:rsidRDefault="00860F8E" w:rsidP="005D646B">
            <w:pPr>
              <w:pStyle w:val="TableText"/>
              <w:rPr>
                <w:b/>
              </w:rPr>
            </w:pPr>
            <w:r w:rsidRPr="005D646B">
              <w:rPr>
                <w:b/>
              </w:rPr>
              <w:t>2014–15</w:t>
            </w:r>
          </w:p>
        </w:tc>
        <w:tc>
          <w:tcPr>
            <w:tcW w:w="1443" w:type="dxa"/>
          </w:tcPr>
          <w:p w14:paraId="5A6370B4" w14:textId="77777777" w:rsidR="00860F8E" w:rsidRPr="005D646B" w:rsidRDefault="00860F8E" w:rsidP="005D646B">
            <w:pPr>
              <w:pStyle w:val="TableText"/>
              <w:rPr>
                <w:b/>
              </w:rPr>
            </w:pPr>
            <w:r w:rsidRPr="005D646B">
              <w:rPr>
                <w:b/>
              </w:rPr>
              <w:t>2015–16</w:t>
            </w:r>
          </w:p>
        </w:tc>
        <w:tc>
          <w:tcPr>
            <w:tcW w:w="1443" w:type="dxa"/>
          </w:tcPr>
          <w:p w14:paraId="33E79357" w14:textId="77777777" w:rsidR="00860F8E" w:rsidRPr="005D646B" w:rsidRDefault="00860F8E" w:rsidP="005D646B">
            <w:pPr>
              <w:pStyle w:val="TableText"/>
              <w:rPr>
                <w:b/>
              </w:rPr>
            </w:pPr>
            <w:r w:rsidRPr="005D646B">
              <w:rPr>
                <w:b/>
              </w:rPr>
              <w:t>2016–17</w:t>
            </w:r>
          </w:p>
        </w:tc>
        <w:tc>
          <w:tcPr>
            <w:tcW w:w="1443" w:type="dxa"/>
          </w:tcPr>
          <w:p w14:paraId="560C444D" w14:textId="77777777" w:rsidR="00860F8E" w:rsidRPr="005D646B" w:rsidRDefault="00860F8E" w:rsidP="005D646B">
            <w:pPr>
              <w:pStyle w:val="TableText"/>
              <w:rPr>
                <w:b/>
              </w:rPr>
            </w:pPr>
            <w:r w:rsidRPr="005D646B">
              <w:rPr>
                <w:b/>
              </w:rPr>
              <w:t>2017–18</w:t>
            </w:r>
          </w:p>
        </w:tc>
      </w:tr>
      <w:tr w:rsidR="00860F8E" w:rsidRPr="00053FD1" w14:paraId="59B7D96F" w14:textId="77777777" w:rsidTr="008E2A9C">
        <w:trPr>
          <w:trHeight w:val="254"/>
        </w:trPr>
        <w:tc>
          <w:tcPr>
            <w:tcW w:w="2025" w:type="dxa"/>
            <w:vAlign w:val="bottom"/>
          </w:tcPr>
          <w:p w14:paraId="6AF13F58" w14:textId="77777777" w:rsidR="00860F8E" w:rsidRPr="00053FD1" w:rsidRDefault="00860F8E" w:rsidP="005D646B">
            <w:pPr>
              <w:pStyle w:val="TableText"/>
            </w:pPr>
            <w:r w:rsidRPr="00053FD1">
              <w:t xml:space="preserve">Applications on hand from the previous year </w:t>
            </w:r>
          </w:p>
        </w:tc>
        <w:tc>
          <w:tcPr>
            <w:tcW w:w="1443" w:type="dxa"/>
          </w:tcPr>
          <w:p w14:paraId="44180F33" w14:textId="77777777" w:rsidR="00860F8E" w:rsidRPr="00053FD1" w:rsidRDefault="00860F8E" w:rsidP="005D646B">
            <w:pPr>
              <w:pStyle w:val="TableText"/>
            </w:pPr>
            <w:r w:rsidRPr="00053FD1">
              <w:t>15</w:t>
            </w:r>
          </w:p>
        </w:tc>
        <w:tc>
          <w:tcPr>
            <w:tcW w:w="1443" w:type="dxa"/>
          </w:tcPr>
          <w:p w14:paraId="6A0BF7A8" w14:textId="77777777" w:rsidR="00860F8E" w:rsidRPr="00053FD1" w:rsidRDefault="00860F8E" w:rsidP="005D646B">
            <w:pPr>
              <w:pStyle w:val="TableText"/>
            </w:pPr>
            <w:r w:rsidRPr="00053FD1">
              <w:t>19</w:t>
            </w:r>
          </w:p>
        </w:tc>
        <w:tc>
          <w:tcPr>
            <w:tcW w:w="1443" w:type="dxa"/>
          </w:tcPr>
          <w:p w14:paraId="6828E9F4" w14:textId="77777777" w:rsidR="00860F8E" w:rsidRPr="00053FD1" w:rsidRDefault="00860F8E" w:rsidP="005D646B">
            <w:pPr>
              <w:pStyle w:val="TableText"/>
            </w:pPr>
            <w:r w:rsidRPr="00053FD1">
              <w:t>12</w:t>
            </w:r>
          </w:p>
        </w:tc>
        <w:tc>
          <w:tcPr>
            <w:tcW w:w="1443" w:type="dxa"/>
          </w:tcPr>
          <w:p w14:paraId="04A43480" w14:textId="77777777" w:rsidR="00860F8E" w:rsidRPr="00053FD1" w:rsidRDefault="00860F8E" w:rsidP="005D646B">
            <w:pPr>
              <w:pStyle w:val="TableText"/>
            </w:pPr>
            <w:r w:rsidRPr="00053FD1">
              <w:t>15</w:t>
            </w:r>
          </w:p>
        </w:tc>
        <w:tc>
          <w:tcPr>
            <w:tcW w:w="1443" w:type="dxa"/>
          </w:tcPr>
          <w:p w14:paraId="2A7EB378" w14:textId="77777777" w:rsidR="00860F8E" w:rsidRPr="00053FD1" w:rsidRDefault="00860F8E" w:rsidP="005D646B">
            <w:pPr>
              <w:pStyle w:val="TableText"/>
            </w:pPr>
            <w:r w:rsidRPr="00053FD1">
              <w:t>14</w:t>
            </w:r>
          </w:p>
        </w:tc>
      </w:tr>
      <w:tr w:rsidR="00860F8E" w:rsidRPr="00053FD1" w14:paraId="4105A629" w14:textId="77777777" w:rsidTr="008E2A9C">
        <w:tc>
          <w:tcPr>
            <w:tcW w:w="2025" w:type="dxa"/>
            <w:vAlign w:val="bottom"/>
          </w:tcPr>
          <w:p w14:paraId="7D1D652A" w14:textId="77777777" w:rsidR="00860F8E" w:rsidRPr="00053FD1" w:rsidRDefault="00860F8E" w:rsidP="005D646B">
            <w:pPr>
              <w:pStyle w:val="TableText"/>
            </w:pPr>
            <w:r w:rsidRPr="00053FD1">
              <w:t xml:space="preserve">Applications lodged during the year </w:t>
            </w:r>
          </w:p>
        </w:tc>
        <w:tc>
          <w:tcPr>
            <w:tcW w:w="1443" w:type="dxa"/>
          </w:tcPr>
          <w:p w14:paraId="6BBF0766" w14:textId="77777777" w:rsidR="00860F8E" w:rsidRPr="00053FD1" w:rsidRDefault="00860F8E" w:rsidP="005D646B">
            <w:pPr>
              <w:pStyle w:val="TableText"/>
            </w:pPr>
            <w:r w:rsidRPr="00053FD1">
              <w:t>40</w:t>
            </w:r>
          </w:p>
        </w:tc>
        <w:tc>
          <w:tcPr>
            <w:tcW w:w="1443" w:type="dxa"/>
          </w:tcPr>
          <w:p w14:paraId="1A8BB9BC" w14:textId="77777777" w:rsidR="00860F8E" w:rsidRPr="00053FD1" w:rsidRDefault="00860F8E" w:rsidP="005D646B">
            <w:pPr>
              <w:pStyle w:val="TableText"/>
            </w:pPr>
            <w:r w:rsidRPr="00053FD1">
              <w:t>30</w:t>
            </w:r>
          </w:p>
        </w:tc>
        <w:tc>
          <w:tcPr>
            <w:tcW w:w="1443" w:type="dxa"/>
          </w:tcPr>
          <w:p w14:paraId="7D612780" w14:textId="77777777" w:rsidR="00860F8E" w:rsidRPr="00053FD1" w:rsidRDefault="00860F8E" w:rsidP="005D646B">
            <w:pPr>
              <w:pStyle w:val="TableText"/>
            </w:pPr>
            <w:r w:rsidRPr="00053FD1">
              <w:t>19</w:t>
            </w:r>
          </w:p>
        </w:tc>
        <w:tc>
          <w:tcPr>
            <w:tcW w:w="1443" w:type="dxa"/>
          </w:tcPr>
          <w:p w14:paraId="13356146" w14:textId="77777777" w:rsidR="00860F8E" w:rsidRPr="00053FD1" w:rsidRDefault="00860F8E" w:rsidP="005D646B">
            <w:pPr>
              <w:pStyle w:val="TableText"/>
            </w:pPr>
            <w:r w:rsidRPr="00053FD1">
              <w:t>14</w:t>
            </w:r>
          </w:p>
        </w:tc>
        <w:tc>
          <w:tcPr>
            <w:tcW w:w="1443" w:type="dxa"/>
          </w:tcPr>
          <w:p w14:paraId="01E17301" w14:textId="77777777" w:rsidR="00860F8E" w:rsidRPr="00053FD1" w:rsidRDefault="00860F8E" w:rsidP="005D646B">
            <w:pPr>
              <w:pStyle w:val="TableText"/>
            </w:pPr>
            <w:r w:rsidRPr="00053FD1">
              <w:t>20</w:t>
            </w:r>
          </w:p>
        </w:tc>
      </w:tr>
      <w:tr w:rsidR="00860F8E" w:rsidRPr="00053FD1" w14:paraId="6A83E9DC" w14:textId="77777777" w:rsidTr="008E2A9C">
        <w:tc>
          <w:tcPr>
            <w:tcW w:w="2025" w:type="dxa"/>
            <w:vAlign w:val="bottom"/>
          </w:tcPr>
          <w:p w14:paraId="10C4409A" w14:textId="77777777" w:rsidR="00860F8E" w:rsidRPr="00053FD1" w:rsidRDefault="00860F8E" w:rsidP="005D646B">
            <w:pPr>
              <w:pStyle w:val="TableText"/>
            </w:pPr>
            <w:r w:rsidRPr="00053FD1">
              <w:t xml:space="preserve">Total </w:t>
            </w:r>
          </w:p>
        </w:tc>
        <w:tc>
          <w:tcPr>
            <w:tcW w:w="1443" w:type="dxa"/>
          </w:tcPr>
          <w:p w14:paraId="53EF05EC" w14:textId="77777777" w:rsidR="00860F8E" w:rsidRPr="00053FD1" w:rsidRDefault="00860F8E" w:rsidP="005D646B">
            <w:pPr>
              <w:pStyle w:val="TableText"/>
            </w:pPr>
            <w:r w:rsidRPr="00053FD1">
              <w:t>55</w:t>
            </w:r>
          </w:p>
        </w:tc>
        <w:tc>
          <w:tcPr>
            <w:tcW w:w="1443" w:type="dxa"/>
          </w:tcPr>
          <w:p w14:paraId="13C30E7F" w14:textId="77777777" w:rsidR="00860F8E" w:rsidRPr="00053FD1" w:rsidRDefault="00860F8E" w:rsidP="005D646B">
            <w:pPr>
              <w:pStyle w:val="TableText"/>
            </w:pPr>
            <w:r w:rsidRPr="00053FD1">
              <w:t>49</w:t>
            </w:r>
          </w:p>
        </w:tc>
        <w:tc>
          <w:tcPr>
            <w:tcW w:w="1443" w:type="dxa"/>
          </w:tcPr>
          <w:p w14:paraId="3D0FD6DC" w14:textId="77777777" w:rsidR="00860F8E" w:rsidRPr="00053FD1" w:rsidRDefault="00860F8E" w:rsidP="005D646B">
            <w:pPr>
              <w:pStyle w:val="TableText"/>
            </w:pPr>
            <w:r w:rsidRPr="00053FD1">
              <w:t>31</w:t>
            </w:r>
          </w:p>
        </w:tc>
        <w:tc>
          <w:tcPr>
            <w:tcW w:w="1443" w:type="dxa"/>
          </w:tcPr>
          <w:p w14:paraId="23B27CA8" w14:textId="77777777" w:rsidR="00860F8E" w:rsidRPr="00053FD1" w:rsidRDefault="00860F8E" w:rsidP="005D646B">
            <w:pPr>
              <w:pStyle w:val="TableText"/>
            </w:pPr>
            <w:r w:rsidRPr="00053FD1">
              <w:t>29</w:t>
            </w:r>
          </w:p>
        </w:tc>
        <w:tc>
          <w:tcPr>
            <w:tcW w:w="1443" w:type="dxa"/>
          </w:tcPr>
          <w:p w14:paraId="1164FE7E" w14:textId="77777777" w:rsidR="00860F8E" w:rsidRPr="00053FD1" w:rsidRDefault="00860F8E" w:rsidP="005D646B">
            <w:pPr>
              <w:pStyle w:val="TableText"/>
            </w:pPr>
            <w:r w:rsidRPr="00053FD1">
              <w:t>34</w:t>
            </w:r>
          </w:p>
        </w:tc>
      </w:tr>
      <w:tr w:rsidR="00860F8E" w:rsidRPr="00053FD1" w14:paraId="545AA1A9" w14:textId="77777777" w:rsidTr="008E2A9C">
        <w:tc>
          <w:tcPr>
            <w:tcW w:w="2025" w:type="dxa"/>
            <w:shd w:val="clear" w:color="auto" w:fill="D9D9D9"/>
            <w:vAlign w:val="bottom"/>
          </w:tcPr>
          <w:p w14:paraId="61AF7EB4" w14:textId="77777777" w:rsidR="00860F8E" w:rsidRPr="005D646B" w:rsidRDefault="00860F8E" w:rsidP="005D646B">
            <w:pPr>
              <w:pStyle w:val="TableText"/>
              <w:rPr>
                <w:b/>
                <w:i/>
              </w:rPr>
            </w:pPr>
            <w:r w:rsidRPr="005D646B">
              <w:rPr>
                <w:b/>
                <w:i/>
              </w:rPr>
              <w:t>Matters dealt with</w:t>
            </w:r>
          </w:p>
        </w:tc>
        <w:tc>
          <w:tcPr>
            <w:tcW w:w="1443" w:type="dxa"/>
            <w:shd w:val="clear" w:color="auto" w:fill="D9D9D9"/>
          </w:tcPr>
          <w:p w14:paraId="249C9ACE" w14:textId="77777777" w:rsidR="00860F8E" w:rsidRPr="005D646B" w:rsidRDefault="00860F8E" w:rsidP="005D646B">
            <w:pPr>
              <w:pStyle w:val="TableText"/>
              <w:rPr>
                <w:b/>
              </w:rPr>
            </w:pPr>
          </w:p>
        </w:tc>
        <w:tc>
          <w:tcPr>
            <w:tcW w:w="1443" w:type="dxa"/>
            <w:shd w:val="clear" w:color="auto" w:fill="D9D9D9"/>
          </w:tcPr>
          <w:p w14:paraId="26EB9B64" w14:textId="77777777" w:rsidR="00860F8E" w:rsidRPr="005D646B" w:rsidRDefault="00860F8E" w:rsidP="005D646B">
            <w:pPr>
              <w:pStyle w:val="TableText"/>
              <w:rPr>
                <w:b/>
              </w:rPr>
            </w:pPr>
          </w:p>
        </w:tc>
        <w:tc>
          <w:tcPr>
            <w:tcW w:w="1443" w:type="dxa"/>
            <w:shd w:val="clear" w:color="auto" w:fill="D9D9D9"/>
          </w:tcPr>
          <w:p w14:paraId="37B51AE7" w14:textId="77777777" w:rsidR="00860F8E" w:rsidRPr="005D646B" w:rsidRDefault="00860F8E" w:rsidP="005D646B">
            <w:pPr>
              <w:pStyle w:val="TableText"/>
              <w:rPr>
                <w:b/>
              </w:rPr>
            </w:pPr>
          </w:p>
        </w:tc>
        <w:tc>
          <w:tcPr>
            <w:tcW w:w="1443" w:type="dxa"/>
            <w:shd w:val="clear" w:color="auto" w:fill="D9D9D9"/>
          </w:tcPr>
          <w:p w14:paraId="39D5E603" w14:textId="77777777" w:rsidR="00860F8E" w:rsidRPr="005D646B" w:rsidRDefault="00860F8E" w:rsidP="005D646B">
            <w:pPr>
              <w:pStyle w:val="TableText"/>
              <w:rPr>
                <w:b/>
              </w:rPr>
            </w:pPr>
          </w:p>
        </w:tc>
        <w:tc>
          <w:tcPr>
            <w:tcW w:w="1443" w:type="dxa"/>
            <w:shd w:val="clear" w:color="auto" w:fill="D9D9D9"/>
          </w:tcPr>
          <w:p w14:paraId="5DE5CF9D" w14:textId="77777777" w:rsidR="00860F8E" w:rsidRPr="005D646B" w:rsidRDefault="00860F8E" w:rsidP="005D646B">
            <w:pPr>
              <w:pStyle w:val="TableText"/>
              <w:rPr>
                <w:b/>
              </w:rPr>
            </w:pPr>
          </w:p>
        </w:tc>
      </w:tr>
      <w:tr w:rsidR="00860F8E" w:rsidRPr="00053FD1" w14:paraId="6A8B2285" w14:textId="77777777" w:rsidTr="008E2A9C">
        <w:tc>
          <w:tcPr>
            <w:tcW w:w="2025" w:type="dxa"/>
            <w:vAlign w:val="bottom"/>
          </w:tcPr>
          <w:p w14:paraId="33F8B240" w14:textId="77777777" w:rsidR="00860F8E" w:rsidRPr="00053FD1" w:rsidRDefault="00860F8E" w:rsidP="005D646B">
            <w:pPr>
              <w:pStyle w:val="TableText"/>
            </w:pPr>
            <w:r w:rsidRPr="00053FD1">
              <w:t xml:space="preserve">Decisions affirmed </w:t>
            </w:r>
          </w:p>
        </w:tc>
        <w:tc>
          <w:tcPr>
            <w:tcW w:w="1443" w:type="dxa"/>
          </w:tcPr>
          <w:p w14:paraId="66DB23A1" w14:textId="77777777" w:rsidR="00860F8E" w:rsidRPr="00053FD1" w:rsidRDefault="00860F8E" w:rsidP="005D646B">
            <w:pPr>
              <w:pStyle w:val="TableText"/>
            </w:pPr>
            <w:r w:rsidRPr="00053FD1">
              <w:t>6</w:t>
            </w:r>
          </w:p>
        </w:tc>
        <w:tc>
          <w:tcPr>
            <w:tcW w:w="1443" w:type="dxa"/>
          </w:tcPr>
          <w:p w14:paraId="7FF2C448" w14:textId="77777777" w:rsidR="00860F8E" w:rsidRPr="00053FD1" w:rsidRDefault="00860F8E" w:rsidP="005D646B">
            <w:pPr>
              <w:pStyle w:val="TableText"/>
            </w:pPr>
            <w:r w:rsidRPr="00053FD1">
              <w:t>5</w:t>
            </w:r>
          </w:p>
        </w:tc>
        <w:tc>
          <w:tcPr>
            <w:tcW w:w="1443" w:type="dxa"/>
          </w:tcPr>
          <w:p w14:paraId="1F60F478" w14:textId="77777777" w:rsidR="00860F8E" w:rsidRPr="00053FD1" w:rsidRDefault="00860F8E" w:rsidP="005D646B">
            <w:pPr>
              <w:pStyle w:val="TableText"/>
            </w:pPr>
            <w:r w:rsidRPr="00053FD1">
              <w:t>8</w:t>
            </w:r>
          </w:p>
        </w:tc>
        <w:tc>
          <w:tcPr>
            <w:tcW w:w="1443" w:type="dxa"/>
          </w:tcPr>
          <w:p w14:paraId="658F723D" w14:textId="77777777" w:rsidR="00860F8E" w:rsidRPr="00053FD1" w:rsidRDefault="00860F8E" w:rsidP="005D646B">
            <w:pPr>
              <w:pStyle w:val="TableText"/>
            </w:pPr>
            <w:r w:rsidRPr="00053FD1">
              <w:t>5</w:t>
            </w:r>
          </w:p>
        </w:tc>
        <w:tc>
          <w:tcPr>
            <w:tcW w:w="1443" w:type="dxa"/>
          </w:tcPr>
          <w:p w14:paraId="4B1E7569" w14:textId="77777777" w:rsidR="00860F8E" w:rsidRPr="00053FD1" w:rsidRDefault="00860F8E" w:rsidP="005D646B">
            <w:pPr>
              <w:pStyle w:val="TableText"/>
            </w:pPr>
            <w:r w:rsidRPr="00053FD1">
              <w:t>3</w:t>
            </w:r>
          </w:p>
        </w:tc>
      </w:tr>
      <w:tr w:rsidR="00860F8E" w:rsidRPr="00053FD1" w14:paraId="0B7FB19C" w14:textId="77777777" w:rsidTr="008E2A9C">
        <w:tc>
          <w:tcPr>
            <w:tcW w:w="2025" w:type="dxa"/>
            <w:vAlign w:val="bottom"/>
          </w:tcPr>
          <w:p w14:paraId="76B83F4D" w14:textId="77777777" w:rsidR="00860F8E" w:rsidRPr="00053FD1" w:rsidRDefault="00860F8E" w:rsidP="005D646B">
            <w:pPr>
              <w:pStyle w:val="TableText"/>
            </w:pPr>
            <w:r w:rsidRPr="00053FD1">
              <w:t xml:space="preserve">Decisions varied </w:t>
            </w:r>
          </w:p>
        </w:tc>
        <w:tc>
          <w:tcPr>
            <w:tcW w:w="1443" w:type="dxa"/>
          </w:tcPr>
          <w:p w14:paraId="156157E6" w14:textId="77777777" w:rsidR="00860F8E" w:rsidRPr="00053FD1" w:rsidRDefault="00860F8E" w:rsidP="005D646B">
            <w:pPr>
              <w:pStyle w:val="TableText"/>
            </w:pPr>
            <w:r w:rsidRPr="00053FD1">
              <w:t>8</w:t>
            </w:r>
          </w:p>
        </w:tc>
        <w:tc>
          <w:tcPr>
            <w:tcW w:w="1443" w:type="dxa"/>
          </w:tcPr>
          <w:p w14:paraId="5275CDD2" w14:textId="77777777" w:rsidR="00860F8E" w:rsidRPr="00053FD1" w:rsidRDefault="00860F8E" w:rsidP="005D646B">
            <w:pPr>
              <w:pStyle w:val="TableText"/>
            </w:pPr>
            <w:r w:rsidRPr="00053FD1">
              <w:t>7</w:t>
            </w:r>
          </w:p>
        </w:tc>
        <w:tc>
          <w:tcPr>
            <w:tcW w:w="1443" w:type="dxa"/>
          </w:tcPr>
          <w:p w14:paraId="0C65E522" w14:textId="77777777" w:rsidR="00860F8E" w:rsidRPr="00053FD1" w:rsidRDefault="00860F8E" w:rsidP="005D646B">
            <w:pPr>
              <w:pStyle w:val="TableText"/>
            </w:pPr>
            <w:r w:rsidRPr="00053FD1">
              <w:t>1</w:t>
            </w:r>
          </w:p>
        </w:tc>
        <w:tc>
          <w:tcPr>
            <w:tcW w:w="1443" w:type="dxa"/>
          </w:tcPr>
          <w:p w14:paraId="3C13F5C9" w14:textId="77777777" w:rsidR="00860F8E" w:rsidRPr="00053FD1" w:rsidRDefault="00860F8E" w:rsidP="005D646B">
            <w:pPr>
              <w:pStyle w:val="TableText"/>
            </w:pPr>
            <w:r w:rsidRPr="00053FD1">
              <w:t>2</w:t>
            </w:r>
          </w:p>
        </w:tc>
        <w:tc>
          <w:tcPr>
            <w:tcW w:w="1443" w:type="dxa"/>
          </w:tcPr>
          <w:p w14:paraId="64C8EED8" w14:textId="77777777" w:rsidR="00860F8E" w:rsidRPr="00053FD1" w:rsidRDefault="00860F8E" w:rsidP="005D646B">
            <w:pPr>
              <w:pStyle w:val="TableText"/>
            </w:pPr>
            <w:r w:rsidRPr="00053FD1">
              <w:t>2</w:t>
            </w:r>
          </w:p>
        </w:tc>
      </w:tr>
      <w:tr w:rsidR="00860F8E" w:rsidRPr="00053FD1" w14:paraId="67659380" w14:textId="77777777" w:rsidTr="008E2A9C">
        <w:tc>
          <w:tcPr>
            <w:tcW w:w="2025" w:type="dxa"/>
            <w:vAlign w:val="bottom"/>
          </w:tcPr>
          <w:p w14:paraId="3CCD58AE" w14:textId="77777777" w:rsidR="00860F8E" w:rsidRPr="00053FD1" w:rsidRDefault="00860F8E" w:rsidP="005D646B">
            <w:pPr>
              <w:pStyle w:val="TableText"/>
            </w:pPr>
            <w:r w:rsidRPr="00053FD1">
              <w:t xml:space="preserve">Decisions set aside </w:t>
            </w:r>
          </w:p>
        </w:tc>
        <w:tc>
          <w:tcPr>
            <w:tcW w:w="1443" w:type="dxa"/>
          </w:tcPr>
          <w:p w14:paraId="2CCFEF18" w14:textId="77777777" w:rsidR="00860F8E" w:rsidRPr="00053FD1" w:rsidRDefault="00860F8E" w:rsidP="005D646B">
            <w:pPr>
              <w:pStyle w:val="TableText"/>
            </w:pPr>
            <w:r w:rsidRPr="00053FD1">
              <w:t>4</w:t>
            </w:r>
          </w:p>
        </w:tc>
        <w:tc>
          <w:tcPr>
            <w:tcW w:w="1443" w:type="dxa"/>
          </w:tcPr>
          <w:p w14:paraId="40142411" w14:textId="77777777" w:rsidR="00860F8E" w:rsidRPr="00053FD1" w:rsidRDefault="00860F8E" w:rsidP="005D646B">
            <w:pPr>
              <w:pStyle w:val="TableText"/>
            </w:pPr>
            <w:r w:rsidRPr="00053FD1">
              <w:t>3</w:t>
            </w:r>
          </w:p>
        </w:tc>
        <w:tc>
          <w:tcPr>
            <w:tcW w:w="1443" w:type="dxa"/>
          </w:tcPr>
          <w:p w14:paraId="5FB86A6E" w14:textId="77777777" w:rsidR="00860F8E" w:rsidRPr="00053FD1" w:rsidRDefault="00860F8E" w:rsidP="005D646B">
            <w:pPr>
              <w:pStyle w:val="TableText"/>
            </w:pPr>
            <w:r w:rsidRPr="00053FD1">
              <w:t>8</w:t>
            </w:r>
          </w:p>
        </w:tc>
        <w:tc>
          <w:tcPr>
            <w:tcW w:w="1443" w:type="dxa"/>
          </w:tcPr>
          <w:p w14:paraId="40D7D806" w14:textId="77777777" w:rsidR="00860F8E" w:rsidRPr="00053FD1" w:rsidRDefault="00860F8E" w:rsidP="005D646B">
            <w:pPr>
              <w:pStyle w:val="TableText"/>
            </w:pPr>
            <w:r w:rsidRPr="00053FD1">
              <w:t>1</w:t>
            </w:r>
          </w:p>
        </w:tc>
        <w:tc>
          <w:tcPr>
            <w:tcW w:w="1443" w:type="dxa"/>
          </w:tcPr>
          <w:p w14:paraId="338744C2" w14:textId="77777777" w:rsidR="00860F8E" w:rsidRPr="00053FD1" w:rsidRDefault="00860F8E" w:rsidP="005D646B">
            <w:pPr>
              <w:pStyle w:val="TableText"/>
            </w:pPr>
            <w:r w:rsidRPr="00053FD1">
              <w:t>0</w:t>
            </w:r>
          </w:p>
        </w:tc>
      </w:tr>
      <w:tr w:rsidR="00860F8E" w:rsidRPr="00053FD1" w14:paraId="2FC6D133" w14:textId="77777777" w:rsidTr="008E2A9C">
        <w:tc>
          <w:tcPr>
            <w:tcW w:w="2025" w:type="dxa"/>
            <w:vAlign w:val="bottom"/>
          </w:tcPr>
          <w:p w14:paraId="3ED88B36" w14:textId="77777777" w:rsidR="00860F8E" w:rsidRPr="00053FD1" w:rsidRDefault="00860F8E" w:rsidP="005D646B">
            <w:pPr>
              <w:pStyle w:val="TableText"/>
            </w:pPr>
            <w:r w:rsidRPr="00053FD1">
              <w:t xml:space="preserve">Matters dismissed </w:t>
            </w:r>
          </w:p>
        </w:tc>
        <w:tc>
          <w:tcPr>
            <w:tcW w:w="1443" w:type="dxa"/>
          </w:tcPr>
          <w:p w14:paraId="14617E2C" w14:textId="77777777" w:rsidR="00860F8E" w:rsidRPr="00053FD1" w:rsidRDefault="00860F8E" w:rsidP="005D646B">
            <w:pPr>
              <w:pStyle w:val="TableText"/>
            </w:pPr>
            <w:r w:rsidRPr="00053FD1">
              <w:t>5</w:t>
            </w:r>
          </w:p>
        </w:tc>
        <w:tc>
          <w:tcPr>
            <w:tcW w:w="1443" w:type="dxa"/>
          </w:tcPr>
          <w:p w14:paraId="7B321281" w14:textId="77777777" w:rsidR="00860F8E" w:rsidRPr="00053FD1" w:rsidRDefault="00860F8E" w:rsidP="005D646B">
            <w:pPr>
              <w:pStyle w:val="TableText"/>
            </w:pPr>
            <w:r w:rsidRPr="00053FD1">
              <w:t>3</w:t>
            </w:r>
          </w:p>
        </w:tc>
        <w:tc>
          <w:tcPr>
            <w:tcW w:w="1443" w:type="dxa"/>
          </w:tcPr>
          <w:p w14:paraId="4AFCEBBA" w14:textId="77777777" w:rsidR="00860F8E" w:rsidRPr="00053FD1" w:rsidRDefault="00860F8E" w:rsidP="005D646B">
            <w:pPr>
              <w:pStyle w:val="TableText"/>
            </w:pPr>
            <w:r w:rsidRPr="00053FD1">
              <w:t>1</w:t>
            </w:r>
          </w:p>
        </w:tc>
        <w:tc>
          <w:tcPr>
            <w:tcW w:w="1443" w:type="dxa"/>
          </w:tcPr>
          <w:p w14:paraId="63EC2AFD" w14:textId="77777777" w:rsidR="00860F8E" w:rsidRPr="00053FD1" w:rsidRDefault="00860F8E" w:rsidP="005D646B">
            <w:pPr>
              <w:pStyle w:val="TableText"/>
            </w:pPr>
            <w:r w:rsidRPr="00053FD1">
              <w:t>1</w:t>
            </w:r>
          </w:p>
        </w:tc>
        <w:tc>
          <w:tcPr>
            <w:tcW w:w="1443" w:type="dxa"/>
          </w:tcPr>
          <w:p w14:paraId="763A25BE" w14:textId="77777777" w:rsidR="00860F8E" w:rsidRPr="00053FD1" w:rsidRDefault="00860F8E" w:rsidP="005D646B">
            <w:pPr>
              <w:pStyle w:val="TableText"/>
            </w:pPr>
            <w:r w:rsidRPr="00053FD1">
              <w:t>3</w:t>
            </w:r>
          </w:p>
        </w:tc>
      </w:tr>
      <w:tr w:rsidR="00860F8E" w:rsidRPr="00053FD1" w14:paraId="1B2A6E01" w14:textId="77777777" w:rsidTr="008E2A9C">
        <w:tc>
          <w:tcPr>
            <w:tcW w:w="2025" w:type="dxa"/>
            <w:vAlign w:val="bottom"/>
          </w:tcPr>
          <w:p w14:paraId="79547002" w14:textId="77777777" w:rsidR="00860F8E" w:rsidRPr="00053FD1" w:rsidRDefault="00860F8E" w:rsidP="005D646B">
            <w:pPr>
              <w:pStyle w:val="TableText"/>
            </w:pPr>
            <w:r w:rsidRPr="00053FD1">
              <w:t xml:space="preserve">Total </w:t>
            </w:r>
          </w:p>
        </w:tc>
        <w:tc>
          <w:tcPr>
            <w:tcW w:w="1443" w:type="dxa"/>
          </w:tcPr>
          <w:p w14:paraId="3759FECE" w14:textId="77777777" w:rsidR="00860F8E" w:rsidRPr="00053FD1" w:rsidRDefault="00860F8E" w:rsidP="005D646B">
            <w:pPr>
              <w:pStyle w:val="TableText"/>
            </w:pPr>
            <w:r w:rsidRPr="00053FD1">
              <w:t>23</w:t>
            </w:r>
          </w:p>
        </w:tc>
        <w:tc>
          <w:tcPr>
            <w:tcW w:w="1443" w:type="dxa"/>
          </w:tcPr>
          <w:p w14:paraId="1290E4E7" w14:textId="77777777" w:rsidR="00860F8E" w:rsidRPr="00053FD1" w:rsidRDefault="00860F8E" w:rsidP="005D646B">
            <w:pPr>
              <w:pStyle w:val="TableText"/>
            </w:pPr>
            <w:r w:rsidRPr="00053FD1">
              <w:t>18</w:t>
            </w:r>
          </w:p>
        </w:tc>
        <w:tc>
          <w:tcPr>
            <w:tcW w:w="1443" w:type="dxa"/>
          </w:tcPr>
          <w:p w14:paraId="5BAA3102" w14:textId="77777777" w:rsidR="00860F8E" w:rsidRPr="00053FD1" w:rsidRDefault="00860F8E" w:rsidP="005D646B">
            <w:pPr>
              <w:pStyle w:val="TableText"/>
            </w:pPr>
            <w:r w:rsidRPr="00053FD1">
              <w:t>18</w:t>
            </w:r>
          </w:p>
        </w:tc>
        <w:tc>
          <w:tcPr>
            <w:tcW w:w="1443" w:type="dxa"/>
          </w:tcPr>
          <w:p w14:paraId="2B26F152" w14:textId="77777777" w:rsidR="00860F8E" w:rsidRPr="00053FD1" w:rsidRDefault="00860F8E" w:rsidP="005D646B">
            <w:pPr>
              <w:pStyle w:val="TableText"/>
            </w:pPr>
            <w:r w:rsidRPr="00053FD1">
              <w:t>9</w:t>
            </w:r>
          </w:p>
        </w:tc>
        <w:tc>
          <w:tcPr>
            <w:tcW w:w="1443" w:type="dxa"/>
          </w:tcPr>
          <w:p w14:paraId="1004973B" w14:textId="77777777" w:rsidR="00860F8E" w:rsidRPr="00053FD1" w:rsidRDefault="00860F8E" w:rsidP="005D646B">
            <w:pPr>
              <w:pStyle w:val="TableText"/>
            </w:pPr>
            <w:r w:rsidRPr="00053FD1">
              <w:t>8</w:t>
            </w:r>
          </w:p>
        </w:tc>
      </w:tr>
      <w:tr w:rsidR="00860F8E" w:rsidRPr="00053FD1" w14:paraId="19FA6438" w14:textId="77777777" w:rsidTr="008E2A9C">
        <w:tc>
          <w:tcPr>
            <w:tcW w:w="2025" w:type="dxa"/>
            <w:shd w:val="clear" w:color="auto" w:fill="D9D9D9"/>
            <w:vAlign w:val="bottom"/>
          </w:tcPr>
          <w:p w14:paraId="45CADF59" w14:textId="77777777" w:rsidR="00860F8E" w:rsidRPr="005D646B" w:rsidRDefault="00860F8E" w:rsidP="005D646B">
            <w:pPr>
              <w:pStyle w:val="TableText"/>
              <w:rPr>
                <w:b/>
                <w:i/>
              </w:rPr>
            </w:pPr>
            <w:r w:rsidRPr="005D646B">
              <w:rPr>
                <w:b/>
                <w:i/>
              </w:rPr>
              <w:t>Other matters</w:t>
            </w:r>
          </w:p>
        </w:tc>
        <w:tc>
          <w:tcPr>
            <w:tcW w:w="1443" w:type="dxa"/>
            <w:shd w:val="clear" w:color="auto" w:fill="D9D9D9"/>
          </w:tcPr>
          <w:p w14:paraId="12E74203" w14:textId="77777777" w:rsidR="00860F8E" w:rsidRPr="005D646B" w:rsidRDefault="00860F8E" w:rsidP="005D646B">
            <w:pPr>
              <w:pStyle w:val="TableText"/>
              <w:rPr>
                <w:b/>
              </w:rPr>
            </w:pPr>
          </w:p>
        </w:tc>
        <w:tc>
          <w:tcPr>
            <w:tcW w:w="1443" w:type="dxa"/>
            <w:shd w:val="clear" w:color="auto" w:fill="D9D9D9"/>
          </w:tcPr>
          <w:p w14:paraId="4CDC170D" w14:textId="77777777" w:rsidR="00860F8E" w:rsidRPr="005D646B" w:rsidRDefault="00860F8E" w:rsidP="005D646B">
            <w:pPr>
              <w:pStyle w:val="TableText"/>
              <w:rPr>
                <w:b/>
              </w:rPr>
            </w:pPr>
          </w:p>
        </w:tc>
        <w:tc>
          <w:tcPr>
            <w:tcW w:w="1443" w:type="dxa"/>
            <w:shd w:val="clear" w:color="auto" w:fill="D9D9D9"/>
          </w:tcPr>
          <w:p w14:paraId="326D1CC6" w14:textId="77777777" w:rsidR="00860F8E" w:rsidRPr="005D646B" w:rsidRDefault="00860F8E" w:rsidP="005D646B">
            <w:pPr>
              <w:pStyle w:val="TableText"/>
              <w:rPr>
                <w:b/>
              </w:rPr>
            </w:pPr>
          </w:p>
        </w:tc>
        <w:tc>
          <w:tcPr>
            <w:tcW w:w="1443" w:type="dxa"/>
            <w:shd w:val="clear" w:color="auto" w:fill="D9D9D9"/>
          </w:tcPr>
          <w:p w14:paraId="1EF5A39C" w14:textId="77777777" w:rsidR="00860F8E" w:rsidRPr="005D646B" w:rsidRDefault="00860F8E" w:rsidP="005D646B">
            <w:pPr>
              <w:pStyle w:val="TableText"/>
              <w:rPr>
                <w:b/>
              </w:rPr>
            </w:pPr>
          </w:p>
        </w:tc>
        <w:tc>
          <w:tcPr>
            <w:tcW w:w="1443" w:type="dxa"/>
            <w:shd w:val="clear" w:color="auto" w:fill="D9D9D9"/>
          </w:tcPr>
          <w:p w14:paraId="50925CAE" w14:textId="77777777" w:rsidR="00860F8E" w:rsidRPr="005D646B" w:rsidRDefault="00860F8E" w:rsidP="005D646B">
            <w:pPr>
              <w:pStyle w:val="TableText"/>
              <w:rPr>
                <w:b/>
              </w:rPr>
            </w:pPr>
          </w:p>
        </w:tc>
      </w:tr>
      <w:tr w:rsidR="00860F8E" w:rsidRPr="00053FD1" w14:paraId="0BE07439" w14:textId="77777777" w:rsidTr="008E2A9C">
        <w:tc>
          <w:tcPr>
            <w:tcW w:w="2025" w:type="dxa"/>
            <w:vAlign w:val="bottom"/>
          </w:tcPr>
          <w:p w14:paraId="35E36620" w14:textId="77777777" w:rsidR="00860F8E" w:rsidRPr="00053FD1" w:rsidRDefault="00860F8E" w:rsidP="005D646B">
            <w:pPr>
              <w:pStyle w:val="TableText"/>
            </w:pPr>
            <w:r w:rsidRPr="00053FD1">
              <w:t xml:space="preserve">Applications withdrawn by the applicant </w:t>
            </w:r>
          </w:p>
        </w:tc>
        <w:tc>
          <w:tcPr>
            <w:tcW w:w="1443" w:type="dxa"/>
          </w:tcPr>
          <w:p w14:paraId="6FD1B2C9" w14:textId="77777777" w:rsidR="00860F8E" w:rsidRPr="00053FD1" w:rsidRDefault="00860F8E" w:rsidP="005D646B">
            <w:pPr>
              <w:pStyle w:val="TableText"/>
            </w:pPr>
            <w:r w:rsidRPr="00053FD1">
              <w:t>14</w:t>
            </w:r>
          </w:p>
        </w:tc>
        <w:tc>
          <w:tcPr>
            <w:tcW w:w="1443" w:type="dxa"/>
          </w:tcPr>
          <w:p w14:paraId="5AC4CF11" w14:textId="77777777" w:rsidR="00860F8E" w:rsidRPr="00053FD1" w:rsidRDefault="00860F8E" w:rsidP="005D646B">
            <w:pPr>
              <w:pStyle w:val="TableText"/>
            </w:pPr>
            <w:r w:rsidRPr="00053FD1">
              <w:t>23</w:t>
            </w:r>
          </w:p>
        </w:tc>
        <w:tc>
          <w:tcPr>
            <w:tcW w:w="1443" w:type="dxa"/>
          </w:tcPr>
          <w:p w14:paraId="4B48975E" w14:textId="77777777" w:rsidR="00860F8E" w:rsidRPr="00053FD1" w:rsidRDefault="00860F8E" w:rsidP="005D646B">
            <w:pPr>
              <w:pStyle w:val="TableText"/>
            </w:pPr>
            <w:r w:rsidRPr="00053FD1">
              <w:t>8</w:t>
            </w:r>
          </w:p>
        </w:tc>
        <w:tc>
          <w:tcPr>
            <w:tcW w:w="1443" w:type="dxa"/>
          </w:tcPr>
          <w:p w14:paraId="3AE3C2F9" w14:textId="77777777" w:rsidR="00860F8E" w:rsidRPr="00053FD1" w:rsidRDefault="00860F8E" w:rsidP="005D646B">
            <w:pPr>
              <w:pStyle w:val="TableText"/>
            </w:pPr>
            <w:r w:rsidRPr="00053FD1">
              <w:t>8</w:t>
            </w:r>
          </w:p>
        </w:tc>
        <w:tc>
          <w:tcPr>
            <w:tcW w:w="1443" w:type="dxa"/>
          </w:tcPr>
          <w:p w14:paraId="4EBB8B6B" w14:textId="77777777" w:rsidR="00860F8E" w:rsidRPr="00053FD1" w:rsidRDefault="00860F8E" w:rsidP="005D646B">
            <w:pPr>
              <w:pStyle w:val="TableText"/>
            </w:pPr>
            <w:r w:rsidRPr="00053FD1">
              <w:t>11</w:t>
            </w:r>
          </w:p>
        </w:tc>
      </w:tr>
      <w:tr w:rsidR="00860F8E" w:rsidRPr="00053FD1" w14:paraId="7E9F3357" w14:textId="77777777" w:rsidTr="008E2A9C">
        <w:tc>
          <w:tcPr>
            <w:tcW w:w="2025" w:type="dxa"/>
            <w:vAlign w:val="bottom"/>
          </w:tcPr>
          <w:p w14:paraId="3CD754D9" w14:textId="77777777" w:rsidR="00860F8E" w:rsidRPr="00053FD1" w:rsidRDefault="00860F8E" w:rsidP="005D646B">
            <w:pPr>
              <w:pStyle w:val="TableText"/>
            </w:pPr>
            <w:r w:rsidRPr="00053FD1">
              <w:t xml:space="preserve">Applications remaining on hand at 30 June </w:t>
            </w:r>
          </w:p>
        </w:tc>
        <w:tc>
          <w:tcPr>
            <w:tcW w:w="1443" w:type="dxa"/>
          </w:tcPr>
          <w:p w14:paraId="2BDECDC5" w14:textId="77777777" w:rsidR="00860F8E" w:rsidRPr="00053FD1" w:rsidRDefault="00860F8E" w:rsidP="005D646B">
            <w:pPr>
              <w:pStyle w:val="TableText"/>
            </w:pPr>
            <w:r w:rsidRPr="00053FD1">
              <w:t>18</w:t>
            </w:r>
          </w:p>
        </w:tc>
        <w:tc>
          <w:tcPr>
            <w:tcW w:w="1443" w:type="dxa"/>
          </w:tcPr>
          <w:p w14:paraId="1D88B63E" w14:textId="77777777" w:rsidR="00860F8E" w:rsidRPr="00053FD1" w:rsidRDefault="00860F8E" w:rsidP="005D646B">
            <w:pPr>
              <w:pStyle w:val="TableText"/>
            </w:pPr>
            <w:r w:rsidRPr="00053FD1">
              <w:t>13</w:t>
            </w:r>
          </w:p>
        </w:tc>
        <w:tc>
          <w:tcPr>
            <w:tcW w:w="1443" w:type="dxa"/>
          </w:tcPr>
          <w:p w14:paraId="20C41A6E" w14:textId="77777777" w:rsidR="00860F8E" w:rsidRPr="00053FD1" w:rsidRDefault="00860F8E" w:rsidP="005D646B">
            <w:pPr>
              <w:pStyle w:val="TableText"/>
            </w:pPr>
            <w:r w:rsidRPr="00053FD1">
              <w:t>15</w:t>
            </w:r>
          </w:p>
        </w:tc>
        <w:tc>
          <w:tcPr>
            <w:tcW w:w="1443" w:type="dxa"/>
          </w:tcPr>
          <w:p w14:paraId="1E36A064" w14:textId="77777777" w:rsidR="00860F8E" w:rsidRPr="00053FD1" w:rsidRDefault="00860F8E" w:rsidP="005D646B">
            <w:pPr>
              <w:pStyle w:val="TableText"/>
            </w:pPr>
            <w:r w:rsidRPr="00053FD1">
              <w:t>15</w:t>
            </w:r>
          </w:p>
        </w:tc>
        <w:tc>
          <w:tcPr>
            <w:tcW w:w="1443" w:type="dxa"/>
          </w:tcPr>
          <w:p w14:paraId="30B3D92C" w14:textId="77777777" w:rsidR="00860F8E" w:rsidRPr="00053FD1" w:rsidRDefault="00860F8E" w:rsidP="005D646B">
            <w:pPr>
              <w:pStyle w:val="TableText"/>
            </w:pPr>
            <w:r w:rsidRPr="00053FD1">
              <w:t>15</w:t>
            </w:r>
          </w:p>
        </w:tc>
      </w:tr>
      <w:tr w:rsidR="00860F8E" w:rsidRPr="00053FD1" w14:paraId="6D3CFF85" w14:textId="77777777" w:rsidTr="008E2A9C">
        <w:tc>
          <w:tcPr>
            <w:tcW w:w="2025" w:type="dxa"/>
            <w:vAlign w:val="bottom"/>
          </w:tcPr>
          <w:p w14:paraId="3C817FF3" w14:textId="77777777" w:rsidR="00860F8E" w:rsidRPr="005D646B" w:rsidRDefault="00860F8E" w:rsidP="005D646B">
            <w:pPr>
              <w:pStyle w:val="TableText"/>
              <w:rPr>
                <w:b/>
              </w:rPr>
            </w:pPr>
            <w:r w:rsidRPr="005D646B">
              <w:rPr>
                <w:b/>
              </w:rPr>
              <w:t>Total</w:t>
            </w:r>
          </w:p>
        </w:tc>
        <w:tc>
          <w:tcPr>
            <w:tcW w:w="1443" w:type="dxa"/>
          </w:tcPr>
          <w:p w14:paraId="4F16641E" w14:textId="77777777" w:rsidR="00860F8E" w:rsidRPr="005D646B" w:rsidRDefault="00860F8E" w:rsidP="005D646B">
            <w:pPr>
              <w:pStyle w:val="TableText"/>
              <w:rPr>
                <w:b/>
              </w:rPr>
            </w:pPr>
            <w:r w:rsidRPr="005D646B">
              <w:rPr>
                <w:b/>
              </w:rPr>
              <w:t>32</w:t>
            </w:r>
          </w:p>
        </w:tc>
        <w:tc>
          <w:tcPr>
            <w:tcW w:w="1443" w:type="dxa"/>
          </w:tcPr>
          <w:p w14:paraId="290BC0BF" w14:textId="77777777" w:rsidR="00860F8E" w:rsidRPr="005D646B" w:rsidRDefault="00860F8E" w:rsidP="005D646B">
            <w:pPr>
              <w:pStyle w:val="TableText"/>
              <w:rPr>
                <w:b/>
              </w:rPr>
            </w:pPr>
            <w:r w:rsidRPr="005D646B">
              <w:rPr>
                <w:b/>
              </w:rPr>
              <w:t>36</w:t>
            </w:r>
          </w:p>
        </w:tc>
        <w:tc>
          <w:tcPr>
            <w:tcW w:w="1443" w:type="dxa"/>
          </w:tcPr>
          <w:p w14:paraId="42EE1DCD" w14:textId="77777777" w:rsidR="00860F8E" w:rsidRPr="005D646B" w:rsidRDefault="00860F8E" w:rsidP="005D646B">
            <w:pPr>
              <w:pStyle w:val="TableText"/>
              <w:rPr>
                <w:b/>
              </w:rPr>
            </w:pPr>
            <w:r w:rsidRPr="005D646B">
              <w:rPr>
                <w:b/>
              </w:rPr>
              <w:t>23</w:t>
            </w:r>
          </w:p>
        </w:tc>
        <w:tc>
          <w:tcPr>
            <w:tcW w:w="1443" w:type="dxa"/>
          </w:tcPr>
          <w:p w14:paraId="43FA2713" w14:textId="77777777" w:rsidR="00860F8E" w:rsidRPr="005D646B" w:rsidRDefault="00860F8E" w:rsidP="005D646B">
            <w:pPr>
              <w:pStyle w:val="TableText"/>
              <w:rPr>
                <w:b/>
              </w:rPr>
            </w:pPr>
            <w:r w:rsidRPr="005D646B">
              <w:rPr>
                <w:b/>
              </w:rPr>
              <w:t>23</w:t>
            </w:r>
          </w:p>
        </w:tc>
        <w:tc>
          <w:tcPr>
            <w:tcW w:w="1443" w:type="dxa"/>
          </w:tcPr>
          <w:p w14:paraId="6EB9E96D" w14:textId="77777777" w:rsidR="00860F8E" w:rsidRPr="005D646B" w:rsidRDefault="00860F8E" w:rsidP="005D646B">
            <w:pPr>
              <w:pStyle w:val="TableText"/>
              <w:rPr>
                <w:b/>
              </w:rPr>
            </w:pPr>
            <w:r w:rsidRPr="005D646B">
              <w:rPr>
                <w:b/>
              </w:rPr>
              <w:t>26</w:t>
            </w:r>
          </w:p>
        </w:tc>
      </w:tr>
    </w:tbl>
    <w:p w14:paraId="58237425" w14:textId="77777777" w:rsidR="00860F8E" w:rsidRPr="00053FD1" w:rsidRDefault="00860F8E" w:rsidP="00860F8E">
      <w:pPr>
        <w:spacing w:after="0"/>
        <w:rPr>
          <w:rFonts w:ascii="Arial Narrow" w:eastAsia="Times New Roman" w:hAnsi="Arial Narrow"/>
          <w:sz w:val="16"/>
          <w:szCs w:val="16"/>
          <w:lang w:eastAsia="en-AU"/>
        </w:rPr>
      </w:pPr>
      <w:r w:rsidRPr="00053FD1">
        <w:rPr>
          <w:rFonts w:ascii="Arial Narrow" w:hAnsi="Arial Narrow"/>
          <w:b/>
          <w:sz w:val="16"/>
          <w:szCs w:val="16"/>
          <w:lang w:eastAsia="en-AU"/>
        </w:rPr>
        <w:t>Note</w:t>
      </w:r>
      <w:r w:rsidRPr="00053FD1">
        <w:rPr>
          <w:rFonts w:ascii="Arial Narrow" w:hAnsi="Arial Narrow"/>
          <w:sz w:val="16"/>
          <w:szCs w:val="16"/>
          <w:lang w:eastAsia="en-AU"/>
        </w:rPr>
        <w:t>: A single application to the Administrative Appeals Tribunal often involves more than one reviewable decision. In such cases, a decision by the tribunal on a particular application may be composed of multiple decisions to affirm, set aside or vary decisions made by CASA. For that reason, some of the figures shown for matters dealt with reflect multiple outcomes arising out of a single application, and the figures shown for total applications dealt with do not reflect the total numbers of decisions affirmed, varied or set aside or matters dismissed.</w:t>
      </w:r>
    </w:p>
    <w:p w14:paraId="632B9FC2" w14:textId="77777777" w:rsidR="00860F8E" w:rsidRPr="00053FD1" w:rsidRDefault="00860F8E" w:rsidP="00860F8E">
      <w:pPr>
        <w:pStyle w:val="TableName"/>
      </w:pPr>
      <w:r w:rsidRPr="00053FD1">
        <w:lastRenderedPageBreak/>
        <w:t>Table B.6</w:t>
      </w:r>
      <w:r w:rsidRPr="00053FD1">
        <w:tab/>
        <w:t xml:space="preserve">Categories of CASA decisions appealed to the Administrative Appeals </w:t>
      </w:r>
      <w:r w:rsidRPr="00053FD1">
        <w:br/>
        <w:t>Tribunal, 2017–18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0"/>
        <w:gridCol w:w="1043"/>
        <w:gridCol w:w="1927"/>
        <w:gridCol w:w="1278"/>
        <w:gridCol w:w="1519"/>
        <w:gridCol w:w="1019"/>
      </w:tblGrid>
      <w:tr w:rsidR="00860F8E" w:rsidRPr="00053FD1" w14:paraId="0E440CFD" w14:textId="77777777" w:rsidTr="00E849B5">
        <w:trPr>
          <w:tblHeader/>
        </w:trPr>
        <w:tc>
          <w:tcPr>
            <w:tcW w:w="2306" w:type="dxa"/>
            <w:tcMar>
              <w:top w:w="0" w:type="dxa"/>
              <w:left w:w="108" w:type="dxa"/>
              <w:bottom w:w="0" w:type="dxa"/>
              <w:right w:w="108" w:type="dxa"/>
            </w:tcMar>
            <w:hideMark/>
          </w:tcPr>
          <w:p w14:paraId="1B9CBA08" w14:textId="77777777" w:rsidR="00860F8E" w:rsidRPr="005D646B" w:rsidRDefault="00860F8E" w:rsidP="005D646B">
            <w:pPr>
              <w:pStyle w:val="TableText"/>
              <w:rPr>
                <w:b/>
              </w:rPr>
            </w:pPr>
            <w:r w:rsidRPr="005D646B">
              <w:rPr>
                <w:b/>
              </w:rPr>
              <w:t>Subject of decision</w:t>
            </w:r>
          </w:p>
        </w:tc>
        <w:tc>
          <w:tcPr>
            <w:tcW w:w="1062" w:type="dxa"/>
            <w:tcMar>
              <w:top w:w="0" w:type="dxa"/>
              <w:left w:w="108" w:type="dxa"/>
              <w:bottom w:w="0" w:type="dxa"/>
              <w:right w:w="108" w:type="dxa"/>
            </w:tcMar>
            <w:hideMark/>
          </w:tcPr>
          <w:p w14:paraId="6699959A" w14:textId="77777777" w:rsidR="00860F8E" w:rsidRPr="005D646B" w:rsidRDefault="00860F8E" w:rsidP="005D646B">
            <w:pPr>
              <w:pStyle w:val="TableText"/>
              <w:rPr>
                <w:b/>
              </w:rPr>
            </w:pPr>
            <w:r w:rsidRPr="005D646B">
              <w:rPr>
                <w:b/>
              </w:rPr>
              <w:t>Refusal to issue</w:t>
            </w:r>
          </w:p>
        </w:tc>
        <w:tc>
          <w:tcPr>
            <w:tcW w:w="1982" w:type="dxa"/>
            <w:tcMar>
              <w:top w:w="0" w:type="dxa"/>
              <w:left w:w="108" w:type="dxa"/>
              <w:bottom w:w="0" w:type="dxa"/>
              <w:right w:w="108" w:type="dxa"/>
            </w:tcMar>
            <w:hideMark/>
          </w:tcPr>
          <w:p w14:paraId="2D0D26D6" w14:textId="77777777" w:rsidR="00860F8E" w:rsidRPr="005D646B" w:rsidRDefault="00860F8E" w:rsidP="005D646B">
            <w:pPr>
              <w:pStyle w:val="TableText"/>
              <w:rPr>
                <w:b/>
              </w:rPr>
            </w:pPr>
            <w:r w:rsidRPr="005D646B">
              <w:rPr>
                <w:b/>
              </w:rPr>
              <w:t>Issue subject to conditions not sought by applicant for the authorisation</w:t>
            </w:r>
          </w:p>
        </w:tc>
        <w:tc>
          <w:tcPr>
            <w:tcW w:w="1281" w:type="dxa"/>
            <w:tcMar>
              <w:top w:w="0" w:type="dxa"/>
              <w:left w:w="108" w:type="dxa"/>
              <w:bottom w:w="0" w:type="dxa"/>
              <w:right w:w="108" w:type="dxa"/>
            </w:tcMar>
            <w:hideMark/>
          </w:tcPr>
          <w:p w14:paraId="6C97BD2D" w14:textId="77777777" w:rsidR="00860F8E" w:rsidRPr="005D646B" w:rsidRDefault="00860F8E" w:rsidP="005D646B">
            <w:pPr>
              <w:pStyle w:val="TableText"/>
              <w:rPr>
                <w:b/>
              </w:rPr>
            </w:pPr>
            <w:r w:rsidRPr="005D646B">
              <w:rPr>
                <w:b/>
              </w:rPr>
              <w:t>Cancellation/</w:t>
            </w:r>
            <w:r w:rsidRPr="005D646B">
              <w:rPr>
                <w:b/>
              </w:rPr>
              <w:br/>
              <w:t>suspension</w:t>
            </w:r>
          </w:p>
        </w:tc>
        <w:tc>
          <w:tcPr>
            <w:tcW w:w="1558" w:type="dxa"/>
            <w:tcMar>
              <w:top w:w="0" w:type="dxa"/>
              <w:left w:w="108" w:type="dxa"/>
              <w:bottom w:w="0" w:type="dxa"/>
              <w:right w:w="108" w:type="dxa"/>
            </w:tcMar>
            <w:hideMark/>
          </w:tcPr>
          <w:p w14:paraId="14415499" w14:textId="77777777" w:rsidR="00860F8E" w:rsidRPr="005D646B" w:rsidRDefault="00860F8E" w:rsidP="005D646B">
            <w:pPr>
              <w:pStyle w:val="TableText"/>
              <w:rPr>
                <w:b/>
              </w:rPr>
            </w:pPr>
            <w:r w:rsidRPr="005D646B">
              <w:rPr>
                <w:b/>
              </w:rPr>
              <w:t>Variation/</w:t>
            </w:r>
            <w:r w:rsidRPr="005D646B">
              <w:rPr>
                <w:b/>
              </w:rPr>
              <w:br/>
              <w:t>imposition of conditions not sought by holder</w:t>
            </w:r>
          </w:p>
        </w:tc>
        <w:tc>
          <w:tcPr>
            <w:tcW w:w="1053" w:type="dxa"/>
            <w:tcMar>
              <w:top w:w="0" w:type="dxa"/>
              <w:left w:w="108" w:type="dxa"/>
              <w:bottom w:w="0" w:type="dxa"/>
              <w:right w:w="108" w:type="dxa"/>
            </w:tcMar>
            <w:hideMark/>
          </w:tcPr>
          <w:p w14:paraId="29571EC4" w14:textId="77777777" w:rsidR="00860F8E" w:rsidRPr="005D646B" w:rsidRDefault="00860F8E" w:rsidP="005D646B">
            <w:pPr>
              <w:pStyle w:val="TableText"/>
              <w:rPr>
                <w:b/>
              </w:rPr>
            </w:pPr>
            <w:r w:rsidRPr="005D646B">
              <w:rPr>
                <w:b/>
              </w:rPr>
              <w:t>Total</w:t>
            </w:r>
          </w:p>
        </w:tc>
      </w:tr>
      <w:tr w:rsidR="00860F8E" w:rsidRPr="00053FD1" w14:paraId="29D953D8" w14:textId="77777777" w:rsidTr="00E849B5">
        <w:tc>
          <w:tcPr>
            <w:tcW w:w="2306" w:type="dxa"/>
            <w:tcMar>
              <w:top w:w="0" w:type="dxa"/>
              <w:left w:w="108" w:type="dxa"/>
              <w:bottom w:w="0" w:type="dxa"/>
              <w:right w:w="108" w:type="dxa"/>
            </w:tcMar>
            <w:hideMark/>
          </w:tcPr>
          <w:p w14:paraId="63B2F9D5" w14:textId="77777777" w:rsidR="00860F8E" w:rsidRPr="00053FD1" w:rsidRDefault="00860F8E" w:rsidP="005D646B">
            <w:pPr>
              <w:pStyle w:val="TableText"/>
            </w:pPr>
            <w:r w:rsidRPr="00053FD1">
              <w:t>Flight crew licence (including ratings and endorsements)</w:t>
            </w:r>
          </w:p>
        </w:tc>
        <w:tc>
          <w:tcPr>
            <w:tcW w:w="1062" w:type="dxa"/>
            <w:tcMar>
              <w:top w:w="0" w:type="dxa"/>
              <w:left w:w="108" w:type="dxa"/>
              <w:bottom w:w="0" w:type="dxa"/>
              <w:right w:w="108" w:type="dxa"/>
            </w:tcMar>
          </w:tcPr>
          <w:p w14:paraId="64275BDC" w14:textId="77777777" w:rsidR="00860F8E" w:rsidRPr="00053FD1" w:rsidRDefault="00860F8E" w:rsidP="005D646B">
            <w:pPr>
              <w:pStyle w:val="TableText"/>
            </w:pPr>
            <w:r w:rsidRPr="00053FD1">
              <w:t>–</w:t>
            </w:r>
          </w:p>
        </w:tc>
        <w:tc>
          <w:tcPr>
            <w:tcW w:w="1982" w:type="dxa"/>
            <w:tcMar>
              <w:top w:w="0" w:type="dxa"/>
              <w:left w:w="108" w:type="dxa"/>
              <w:bottom w:w="0" w:type="dxa"/>
              <w:right w:w="108" w:type="dxa"/>
            </w:tcMar>
            <w:hideMark/>
          </w:tcPr>
          <w:p w14:paraId="54FBEDF3" w14:textId="77777777" w:rsidR="00860F8E" w:rsidRPr="00053FD1" w:rsidRDefault="00860F8E" w:rsidP="005D646B">
            <w:pPr>
              <w:pStyle w:val="TableText"/>
            </w:pPr>
            <w:r w:rsidRPr="00053FD1">
              <w:t>–</w:t>
            </w:r>
          </w:p>
        </w:tc>
        <w:tc>
          <w:tcPr>
            <w:tcW w:w="1281" w:type="dxa"/>
            <w:tcMar>
              <w:top w:w="0" w:type="dxa"/>
              <w:left w:w="108" w:type="dxa"/>
              <w:bottom w:w="0" w:type="dxa"/>
              <w:right w:w="108" w:type="dxa"/>
            </w:tcMar>
            <w:hideMark/>
          </w:tcPr>
          <w:p w14:paraId="5FE453C0" w14:textId="77777777" w:rsidR="00860F8E" w:rsidRPr="00053FD1" w:rsidRDefault="00860F8E" w:rsidP="005D646B">
            <w:pPr>
              <w:pStyle w:val="TableText"/>
            </w:pPr>
            <w:r w:rsidRPr="00053FD1">
              <w:t>4</w:t>
            </w:r>
          </w:p>
        </w:tc>
        <w:tc>
          <w:tcPr>
            <w:tcW w:w="1558" w:type="dxa"/>
            <w:tcMar>
              <w:top w:w="0" w:type="dxa"/>
              <w:left w:w="108" w:type="dxa"/>
              <w:bottom w:w="0" w:type="dxa"/>
              <w:right w:w="108" w:type="dxa"/>
            </w:tcMar>
            <w:hideMark/>
          </w:tcPr>
          <w:p w14:paraId="556DC9BC" w14:textId="77777777" w:rsidR="00860F8E" w:rsidRPr="00053FD1" w:rsidRDefault="00860F8E" w:rsidP="005D646B">
            <w:pPr>
              <w:pStyle w:val="TableText"/>
            </w:pPr>
            <w:r w:rsidRPr="00053FD1">
              <w:t>–</w:t>
            </w:r>
          </w:p>
        </w:tc>
        <w:tc>
          <w:tcPr>
            <w:tcW w:w="1053" w:type="dxa"/>
            <w:tcMar>
              <w:top w:w="0" w:type="dxa"/>
              <w:left w:w="108" w:type="dxa"/>
              <w:bottom w:w="0" w:type="dxa"/>
              <w:right w:w="108" w:type="dxa"/>
            </w:tcMar>
            <w:hideMark/>
          </w:tcPr>
          <w:p w14:paraId="6FE11B18" w14:textId="77777777" w:rsidR="00860F8E" w:rsidRPr="00053FD1" w:rsidRDefault="00860F8E" w:rsidP="005D646B">
            <w:pPr>
              <w:pStyle w:val="TableText"/>
            </w:pPr>
            <w:r w:rsidRPr="00053FD1">
              <w:t>4</w:t>
            </w:r>
          </w:p>
        </w:tc>
      </w:tr>
      <w:tr w:rsidR="00860F8E" w:rsidRPr="00053FD1" w14:paraId="08834088" w14:textId="77777777" w:rsidTr="00E849B5">
        <w:tc>
          <w:tcPr>
            <w:tcW w:w="2306" w:type="dxa"/>
            <w:tcMar>
              <w:top w:w="0" w:type="dxa"/>
              <w:left w:w="108" w:type="dxa"/>
              <w:bottom w:w="0" w:type="dxa"/>
              <w:right w:w="108" w:type="dxa"/>
            </w:tcMar>
            <w:hideMark/>
          </w:tcPr>
          <w:p w14:paraId="11723D25" w14:textId="77777777" w:rsidR="00860F8E" w:rsidRPr="00053FD1" w:rsidRDefault="00860F8E" w:rsidP="005D646B">
            <w:pPr>
              <w:pStyle w:val="TableText"/>
            </w:pPr>
            <w:r w:rsidRPr="00053FD1">
              <w:t>Aviation maintenance licence or authority (including ratings)</w:t>
            </w:r>
          </w:p>
        </w:tc>
        <w:tc>
          <w:tcPr>
            <w:tcW w:w="1062" w:type="dxa"/>
            <w:tcMar>
              <w:top w:w="0" w:type="dxa"/>
              <w:left w:w="108" w:type="dxa"/>
              <w:bottom w:w="0" w:type="dxa"/>
              <w:right w:w="108" w:type="dxa"/>
            </w:tcMar>
            <w:hideMark/>
          </w:tcPr>
          <w:p w14:paraId="66A06657" w14:textId="77777777" w:rsidR="00860F8E" w:rsidRPr="00053FD1" w:rsidRDefault="00860F8E" w:rsidP="005D646B">
            <w:pPr>
              <w:pStyle w:val="TableText"/>
            </w:pPr>
            <w:r w:rsidRPr="00053FD1">
              <w:t>–</w:t>
            </w:r>
          </w:p>
        </w:tc>
        <w:tc>
          <w:tcPr>
            <w:tcW w:w="1982" w:type="dxa"/>
            <w:tcMar>
              <w:top w:w="0" w:type="dxa"/>
              <w:left w:w="108" w:type="dxa"/>
              <w:bottom w:w="0" w:type="dxa"/>
              <w:right w:w="108" w:type="dxa"/>
            </w:tcMar>
            <w:hideMark/>
          </w:tcPr>
          <w:p w14:paraId="328316C3" w14:textId="77777777" w:rsidR="00860F8E" w:rsidRPr="00053FD1" w:rsidRDefault="00860F8E" w:rsidP="005D646B">
            <w:pPr>
              <w:pStyle w:val="TableText"/>
            </w:pPr>
            <w:r w:rsidRPr="00053FD1">
              <w:t>1</w:t>
            </w:r>
          </w:p>
        </w:tc>
        <w:tc>
          <w:tcPr>
            <w:tcW w:w="1281" w:type="dxa"/>
            <w:tcMar>
              <w:top w:w="0" w:type="dxa"/>
              <w:left w:w="108" w:type="dxa"/>
              <w:bottom w:w="0" w:type="dxa"/>
              <w:right w:w="108" w:type="dxa"/>
            </w:tcMar>
            <w:hideMark/>
          </w:tcPr>
          <w:p w14:paraId="6A0CF3AE" w14:textId="77777777" w:rsidR="00860F8E" w:rsidRPr="00053FD1" w:rsidRDefault="00860F8E" w:rsidP="005D646B">
            <w:pPr>
              <w:pStyle w:val="TableText"/>
            </w:pPr>
            <w:r w:rsidRPr="00053FD1">
              <w:t>1</w:t>
            </w:r>
          </w:p>
        </w:tc>
        <w:tc>
          <w:tcPr>
            <w:tcW w:w="1558" w:type="dxa"/>
            <w:tcMar>
              <w:top w:w="0" w:type="dxa"/>
              <w:left w:w="108" w:type="dxa"/>
              <w:bottom w:w="0" w:type="dxa"/>
              <w:right w:w="108" w:type="dxa"/>
            </w:tcMar>
            <w:hideMark/>
          </w:tcPr>
          <w:p w14:paraId="0DED46EF" w14:textId="77777777" w:rsidR="00860F8E" w:rsidRPr="00053FD1" w:rsidRDefault="00860F8E" w:rsidP="005D646B">
            <w:pPr>
              <w:pStyle w:val="TableText"/>
            </w:pPr>
            <w:r w:rsidRPr="00053FD1">
              <w:t>–</w:t>
            </w:r>
          </w:p>
        </w:tc>
        <w:tc>
          <w:tcPr>
            <w:tcW w:w="1053" w:type="dxa"/>
            <w:tcMar>
              <w:top w:w="0" w:type="dxa"/>
              <w:left w:w="108" w:type="dxa"/>
              <w:bottom w:w="0" w:type="dxa"/>
              <w:right w:w="108" w:type="dxa"/>
            </w:tcMar>
            <w:hideMark/>
          </w:tcPr>
          <w:p w14:paraId="62C707CD" w14:textId="77777777" w:rsidR="00860F8E" w:rsidRPr="00053FD1" w:rsidRDefault="00860F8E" w:rsidP="005D646B">
            <w:pPr>
              <w:pStyle w:val="TableText"/>
            </w:pPr>
            <w:r w:rsidRPr="00053FD1">
              <w:t>2</w:t>
            </w:r>
          </w:p>
        </w:tc>
      </w:tr>
      <w:tr w:rsidR="00860F8E" w:rsidRPr="00053FD1" w14:paraId="4984BED4" w14:textId="77777777" w:rsidTr="00E849B5">
        <w:tc>
          <w:tcPr>
            <w:tcW w:w="2306" w:type="dxa"/>
            <w:tcMar>
              <w:top w:w="0" w:type="dxa"/>
              <w:left w:w="108" w:type="dxa"/>
              <w:bottom w:w="0" w:type="dxa"/>
              <w:right w:w="108" w:type="dxa"/>
            </w:tcMar>
            <w:hideMark/>
          </w:tcPr>
          <w:p w14:paraId="2E4F5AF4" w14:textId="77777777" w:rsidR="00860F8E" w:rsidRPr="00053FD1" w:rsidRDefault="00860F8E" w:rsidP="005D646B">
            <w:pPr>
              <w:pStyle w:val="TableText"/>
            </w:pPr>
            <w:r w:rsidRPr="00053FD1">
              <w:t>Medical certificate</w:t>
            </w:r>
          </w:p>
        </w:tc>
        <w:tc>
          <w:tcPr>
            <w:tcW w:w="1062" w:type="dxa"/>
            <w:tcMar>
              <w:top w:w="0" w:type="dxa"/>
              <w:left w:w="108" w:type="dxa"/>
              <w:bottom w:w="0" w:type="dxa"/>
              <w:right w:w="108" w:type="dxa"/>
            </w:tcMar>
            <w:hideMark/>
          </w:tcPr>
          <w:p w14:paraId="3561094D" w14:textId="77777777" w:rsidR="00860F8E" w:rsidRPr="00053FD1" w:rsidRDefault="00860F8E" w:rsidP="005D646B">
            <w:pPr>
              <w:pStyle w:val="TableText"/>
            </w:pPr>
            <w:r w:rsidRPr="00053FD1">
              <w:t>5</w:t>
            </w:r>
          </w:p>
        </w:tc>
        <w:tc>
          <w:tcPr>
            <w:tcW w:w="1982" w:type="dxa"/>
            <w:tcMar>
              <w:top w:w="0" w:type="dxa"/>
              <w:left w:w="108" w:type="dxa"/>
              <w:bottom w:w="0" w:type="dxa"/>
              <w:right w:w="108" w:type="dxa"/>
            </w:tcMar>
            <w:hideMark/>
          </w:tcPr>
          <w:p w14:paraId="66AE8D76" w14:textId="77777777" w:rsidR="00860F8E" w:rsidRPr="00053FD1" w:rsidRDefault="00860F8E" w:rsidP="005D646B">
            <w:pPr>
              <w:pStyle w:val="TableText"/>
            </w:pPr>
            <w:r w:rsidRPr="00053FD1">
              <w:t>3</w:t>
            </w:r>
          </w:p>
        </w:tc>
        <w:tc>
          <w:tcPr>
            <w:tcW w:w="1281" w:type="dxa"/>
            <w:tcMar>
              <w:top w:w="0" w:type="dxa"/>
              <w:left w:w="108" w:type="dxa"/>
              <w:bottom w:w="0" w:type="dxa"/>
              <w:right w:w="108" w:type="dxa"/>
            </w:tcMar>
            <w:hideMark/>
          </w:tcPr>
          <w:p w14:paraId="5175D470" w14:textId="77777777" w:rsidR="00860F8E" w:rsidRPr="00053FD1" w:rsidRDefault="00860F8E" w:rsidP="005D646B">
            <w:pPr>
              <w:pStyle w:val="TableText"/>
            </w:pPr>
            <w:r w:rsidRPr="00053FD1">
              <w:t>2</w:t>
            </w:r>
          </w:p>
        </w:tc>
        <w:tc>
          <w:tcPr>
            <w:tcW w:w="1558" w:type="dxa"/>
            <w:tcMar>
              <w:top w:w="0" w:type="dxa"/>
              <w:left w:w="108" w:type="dxa"/>
              <w:bottom w:w="0" w:type="dxa"/>
              <w:right w:w="108" w:type="dxa"/>
            </w:tcMar>
            <w:hideMark/>
          </w:tcPr>
          <w:p w14:paraId="3063AE18" w14:textId="77777777" w:rsidR="00860F8E" w:rsidRPr="00053FD1" w:rsidRDefault="00860F8E" w:rsidP="005D646B">
            <w:pPr>
              <w:pStyle w:val="TableText"/>
            </w:pPr>
            <w:r w:rsidRPr="00053FD1">
              <w:t>–</w:t>
            </w:r>
          </w:p>
        </w:tc>
        <w:tc>
          <w:tcPr>
            <w:tcW w:w="1053" w:type="dxa"/>
            <w:tcMar>
              <w:top w:w="0" w:type="dxa"/>
              <w:left w:w="108" w:type="dxa"/>
              <w:bottom w:w="0" w:type="dxa"/>
              <w:right w:w="108" w:type="dxa"/>
            </w:tcMar>
            <w:hideMark/>
          </w:tcPr>
          <w:p w14:paraId="7B1AADA6" w14:textId="77777777" w:rsidR="00860F8E" w:rsidRPr="00053FD1" w:rsidRDefault="00860F8E" w:rsidP="005D646B">
            <w:pPr>
              <w:pStyle w:val="TableText"/>
            </w:pPr>
            <w:r w:rsidRPr="00053FD1">
              <w:t>10</w:t>
            </w:r>
          </w:p>
        </w:tc>
      </w:tr>
      <w:tr w:rsidR="00860F8E" w:rsidRPr="00053FD1" w14:paraId="3194F8EC" w14:textId="77777777" w:rsidTr="00E849B5">
        <w:tc>
          <w:tcPr>
            <w:tcW w:w="2306" w:type="dxa"/>
            <w:tcMar>
              <w:top w:w="0" w:type="dxa"/>
              <w:left w:w="108" w:type="dxa"/>
              <w:bottom w:w="0" w:type="dxa"/>
              <w:right w:w="108" w:type="dxa"/>
            </w:tcMar>
            <w:hideMark/>
          </w:tcPr>
          <w:p w14:paraId="049998DF" w14:textId="77777777" w:rsidR="00860F8E" w:rsidRPr="00053FD1" w:rsidRDefault="00860F8E" w:rsidP="005D646B">
            <w:pPr>
              <w:pStyle w:val="TableText"/>
            </w:pPr>
            <w:r w:rsidRPr="00053FD1">
              <w:t>Air operator certificate</w:t>
            </w:r>
          </w:p>
        </w:tc>
        <w:tc>
          <w:tcPr>
            <w:tcW w:w="1062" w:type="dxa"/>
            <w:tcMar>
              <w:top w:w="0" w:type="dxa"/>
              <w:left w:w="108" w:type="dxa"/>
              <w:bottom w:w="0" w:type="dxa"/>
              <w:right w:w="108" w:type="dxa"/>
            </w:tcMar>
            <w:hideMark/>
          </w:tcPr>
          <w:p w14:paraId="138A4BED" w14:textId="77777777" w:rsidR="00860F8E" w:rsidRPr="00053FD1" w:rsidRDefault="00860F8E" w:rsidP="005D646B">
            <w:pPr>
              <w:pStyle w:val="TableText"/>
            </w:pPr>
            <w:r w:rsidRPr="00053FD1">
              <w:t>–</w:t>
            </w:r>
          </w:p>
        </w:tc>
        <w:tc>
          <w:tcPr>
            <w:tcW w:w="1982" w:type="dxa"/>
            <w:tcMar>
              <w:top w:w="0" w:type="dxa"/>
              <w:left w:w="108" w:type="dxa"/>
              <w:bottom w:w="0" w:type="dxa"/>
              <w:right w:w="108" w:type="dxa"/>
            </w:tcMar>
            <w:hideMark/>
          </w:tcPr>
          <w:p w14:paraId="3B8F7D51" w14:textId="77777777" w:rsidR="00860F8E" w:rsidRPr="00053FD1" w:rsidRDefault="00860F8E" w:rsidP="005D646B">
            <w:pPr>
              <w:pStyle w:val="TableText"/>
            </w:pPr>
            <w:r w:rsidRPr="00053FD1">
              <w:t>–</w:t>
            </w:r>
          </w:p>
        </w:tc>
        <w:tc>
          <w:tcPr>
            <w:tcW w:w="1281" w:type="dxa"/>
            <w:tcMar>
              <w:top w:w="0" w:type="dxa"/>
              <w:left w:w="108" w:type="dxa"/>
              <w:bottom w:w="0" w:type="dxa"/>
              <w:right w:w="108" w:type="dxa"/>
            </w:tcMar>
            <w:hideMark/>
          </w:tcPr>
          <w:p w14:paraId="0AC76B70" w14:textId="77777777" w:rsidR="00860F8E" w:rsidRPr="00053FD1" w:rsidRDefault="00860F8E" w:rsidP="005D646B">
            <w:pPr>
              <w:pStyle w:val="TableText"/>
            </w:pPr>
            <w:r w:rsidRPr="00053FD1">
              <w:t>–</w:t>
            </w:r>
          </w:p>
        </w:tc>
        <w:tc>
          <w:tcPr>
            <w:tcW w:w="1558" w:type="dxa"/>
            <w:tcMar>
              <w:top w:w="0" w:type="dxa"/>
              <w:left w:w="108" w:type="dxa"/>
              <w:bottom w:w="0" w:type="dxa"/>
              <w:right w:w="108" w:type="dxa"/>
            </w:tcMar>
            <w:hideMark/>
          </w:tcPr>
          <w:p w14:paraId="1F716774" w14:textId="77777777" w:rsidR="00860F8E" w:rsidRPr="00053FD1" w:rsidRDefault="00860F8E" w:rsidP="005D646B">
            <w:pPr>
              <w:pStyle w:val="TableText"/>
            </w:pPr>
            <w:r w:rsidRPr="00053FD1">
              <w:t>1</w:t>
            </w:r>
          </w:p>
        </w:tc>
        <w:tc>
          <w:tcPr>
            <w:tcW w:w="1053" w:type="dxa"/>
            <w:tcMar>
              <w:top w:w="0" w:type="dxa"/>
              <w:left w:w="108" w:type="dxa"/>
              <w:bottom w:w="0" w:type="dxa"/>
              <w:right w:w="108" w:type="dxa"/>
            </w:tcMar>
            <w:hideMark/>
          </w:tcPr>
          <w:p w14:paraId="5C9A96B8" w14:textId="77777777" w:rsidR="00860F8E" w:rsidRPr="00053FD1" w:rsidRDefault="00860F8E" w:rsidP="005D646B">
            <w:pPr>
              <w:pStyle w:val="TableText"/>
            </w:pPr>
            <w:r w:rsidRPr="00053FD1">
              <w:t>1</w:t>
            </w:r>
          </w:p>
        </w:tc>
      </w:tr>
      <w:tr w:rsidR="00860F8E" w:rsidRPr="00053FD1" w14:paraId="73B5C626" w14:textId="77777777" w:rsidTr="00E849B5">
        <w:tc>
          <w:tcPr>
            <w:tcW w:w="2306" w:type="dxa"/>
            <w:tcMar>
              <w:top w:w="0" w:type="dxa"/>
              <w:left w:w="108" w:type="dxa"/>
              <w:bottom w:w="0" w:type="dxa"/>
              <w:right w:w="108" w:type="dxa"/>
            </w:tcMar>
            <w:hideMark/>
          </w:tcPr>
          <w:p w14:paraId="3B1E34AD" w14:textId="77777777" w:rsidR="00860F8E" w:rsidRPr="00053FD1" w:rsidRDefault="00860F8E" w:rsidP="005D646B">
            <w:pPr>
              <w:pStyle w:val="TableText"/>
            </w:pPr>
            <w:r w:rsidRPr="00053FD1">
              <w:t>Certificate of approval</w:t>
            </w:r>
          </w:p>
        </w:tc>
        <w:tc>
          <w:tcPr>
            <w:tcW w:w="1062" w:type="dxa"/>
            <w:tcMar>
              <w:top w:w="0" w:type="dxa"/>
              <w:left w:w="108" w:type="dxa"/>
              <w:bottom w:w="0" w:type="dxa"/>
              <w:right w:w="108" w:type="dxa"/>
            </w:tcMar>
            <w:hideMark/>
          </w:tcPr>
          <w:p w14:paraId="10D79A81" w14:textId="77777777" w:rsidR="00860F8E" w:rsidRPr="00053FD1" w:rsidRDefault="00860F8E" w:rsidP="005D646B">
            <w:pPr>
              <w:pStyle w:val="TableText"/>
            </w:pPr>
            <w:r w:rsidRPr="00053FD1">
              <w:t>–</w:t>
            </w:r>
          </w:p>
        </w:tc>
        <w:tc>
          <w:tcPr>
            <w:tcW w:w="1982" w:type="dxa"/>
            <w:tcMar>
              <w:top w:w="0" w:type="dxa"/>
              <w:left w:w="108" w:type="dxa"/>
              <w:bottom w:w="0" w:type="dxa"/>
              <w:right w:w="108" w:type="dxa"/>
            </w:tcMar>
            <w:hideMark/>
          </w:tcPr>
          <w:p w14:paraId="3A4F0F8B" w14:textId="77777777" w:rsidR="00860F8E" w:rsidRPr="00053FD1" w:rsidRDefault="00860F8E" w:rsidP="005D646B">
            <w:pPr>
              <w:pStyle w:val="TableText"/>
            </w:pPr>
            <w:r w:rsidRPr="00053FD1">
              <w:t>–</w:t>
            </w:r>
          </w:p>
        </w:tc>
        <w:tc>
          <w:tcPr>
            <w:tcW w:w="1281" w:type="dxa"/>
            <w:tcMar>
              <w:top w:w="0" w:type="dxa"/>
              <w:left w:w="108" w:type="dxa"/>
              <w:bottom w:w="0" w:type="dxa"/>
              <w:right w:w="108" w:type="dxa"/>
            </w:tcMar>
            <w:hideMark/>
          </w:tcPr>
          <w:p w14:paraId="061428AF" w14:textId="77777777" w:rsidR="00860F8E" w:rsidRPr="00053FD1" w:rsidRDefault="00860F8E" w:rsidP="005D646B">
            <w:pPr>
              <w:pStyle w:val="TableText"/>
            </w:pPr>
            <w:r w:rsidRPr="00053FD1">
              <w:t>–</w:t>
            </w:r>
          </w:p>
        </w:tc>
        <w:tc>
          <w:tcPr>
            <w:tcW w:w="1558" w:type="dxa"/>
            <w:tcMar>
              <w:top w:w="0" w:type="dxa"/>
              <w:left w:w="108" w:type="dxa"/>
              <w:bottom w:w="0" w:type="dxa"/>
              <w:right w:w="108" w:type="dxa"/>
            </w:tcMar>
            <w:hideMark/>
          </w:tcPr>
          <w:p w14:paraId="4E69653D" w14:textId="77777777" w:rsidR="00860F8E" w:rsidRPr="00053FD1" w:rsidRDefault="00860F8E" w:rsidP="005D646B">
            <w:pPr>
              <w:pStyle w:val="TableText"/>
            </w:pPr>
            <w:r w:rsidRPr="00053FD1">
              <w:t>–</w:t>
            </w:r>
          </w:p>
        </w:tc>
        <w:tc>
          <w:tcPr>
            <w:tcW w:w="1053" w:type="dxa"/>
            <w:tcMar>
              <w:top w:w="0" w:type="dxa"/>
              <w:left w:w="108" w:type="dxa"/>
              <w:bottom w:w="0" w:type="dxa"/>
              <w:right w:w="108" w:type="dxa"/>
            </w:tcMar>
            <w:hideMark/>
          </w:tcPr>
          <w:p w14:paraId="3C5DC0AF" w14:textId="77777777" w:rsidR="00860F8E" w:rsidRPr="00053FD1" w:rsidRDefault="00860F8E" w:rsidP="005D646B">
            <w:pPr>
              <w:pStyle w:val="TableText"/>
            </w:pPr>
            <w:r w:rsidRPr="00053FD1">
              <w:t>–</w:t>
            </w:r>
          </w:p>
        </w:tc>
      </w:tr>
      <w:tr w:rsidR="00860F8E" w:rsidRPr="00053FD1" w14:paraId="05A7EE9F" w14:textId="77777777" w:rsidTr="00E849B5">
        <w:tc>
          <w:tcPr>
            <w:tcW w:w="2306" w:type="dxa"/>
            <w:tcMar>
              <w:top w:w="0" w:type="dxa"/>
              <w:left w:w="108" w:type="dxa"/>
              <w:bottom w:w="0" w:type="dxa"/>
              <w:right w:w="108" w:type="dxa"/>
            </w:tcMar>
            <w:hideMark/>
          </w:tcPr>
          <w:p w14:paraId="1F7F9213" w14:textId="77777777" w:rsidR="00860F8E" w:rsidRPr="00053FD1" w:rsidRDefault="00860F8E" w:rsidP="005D646B">
            <w:pPr>
              <w:pStyle w:val="TableText"/>
            </w:pPr>
            <w:r w:rsidRPr="00053FD1">
              <w:t>Certificate of registration or airworthiness</w:t>
            </w:r>
          </w:p>
        </w:tc>
        <w:tc>
          <w:tcPr>
            <w:tcW w:w="1062" w:type="dxa"/>
            <w:tcMar>
              <w:top w:w="0" w:type="dxa"/>
              <w:left w:w="108" w:type="dxa"/>
              <w:bottom w:w="0" w:type="dxa"/>
              <w:right w:w="108" w:type="dxa"/>
            </w:tcMar>
            <w:hideMark/>
          </w:tcPr>
          <w:p w14:paraId="7C139686" w14:textId="77777777" w:rsidR="00860F8E" w:rsidRPr="00053FD1" w:rsidRDefault="00860F8E" w:rsidP="005D646B">
            <w:pPr>
              <w:pStyle w:val="TableText"/>
            </w:pPr>
            <w:r w:rsidRPr="00053FD1">
              <w:t>–</w:t>
            </w:r>
          </w:p>
        </w:tc>
        <w:tc>
          <w:tcPr>
            <w:tcW w:w="1982" w:type="dxa"/>
            <w:tcMar>
              <w:top w:w="0" w:type="dxa"/>
              <w:left w:w="108" w:type="dxa"/>
              <w:bottom w:w="0" w:type="dxa"/>
              <w:right w:w="108" w:type="dxa"/>
            </w:tcMar>
            <w:hideMark/>
          </w:tcPr>
          <w:p w14:paraId="168298A8" w14:textId="77777777" w:rsidR="00860F8E" w:rsidRPr="00053FD1" w:rsidRDefault="00860F8E" w:rsidP="005D646B">
            <w:pPr>
              <w:pStyle w:val="TableText"/>
            </w:pPr>
            <w:r w:rsidRPr="00053FD1">
              <w:t>–</w:t>
            </w:r>
          </w:p>
        </w:tc>
        <w:tc>
          <w:tcPr>
            <w:tcW w:w="1281" w:type="dxa"/>
            <w:tcMar>
              <w:top w:w="0" w:type="dxa"/>
              <w:left w:w="108" w:type="dxa"/>
              <w:bottom w:w="0" w:type="dxa"/>
              <w:right w:w="108" w:type="dxa"/>
            </w:tcMar>
            <w:hideMark/>
          </w:tcPr>
          <w:p w14:paraId="2B270FD1" w14:textId="77777777" w:rsidR="00860F8E" w:rsidRPr="00053FD1" w:rsidRDefault="00860F8E" w:rsidP="005D646B">
            <w:pPr>
              <w:pStyle w:val="TableText"/>
            </w:pPr>
            <w:r w:rsidRPr="00053FD1">
              <w:t>–</w:t>
            </w:r>
          </w:p>
        </w:tc>
        <w:tc>
          <w:tcPr>
            <w:tcW w:w="1558" w:type="dxa"/>
            <w:tcMar>
              <w:top w:w="0" w:type="dxa"/>
              <w:left w:w="108" w:type="dxa"/>
              <w:bottom w:w="0" w:type="dxa"/>
              <w:right w:w="108" w:type="dxa"/>
            </w:tcMar>
            <w:hideMark/>
          </w:tcPr>
          <w:p w14:paraId="149693E7" w14:textId="77777777" w:rsidR="00860F8E" w:rsidRPr="00053FD1" w:rsidRDefault="00860F8E" w:rsidP="005D646B">
            <w:pPr>
              <w:pStyle w:val="TableText"/>
            </w:pPr>
            <w:r w:rsidRPr="00053FD1">
              <w:t>–</w:t>
            </w:r>
          </w:p>
        </w:tc>
        <w:tc>
          <w:tcPr>
            <w:tcW w:w="1053" w:type="dxa"/>
            <w:tcMar>
              <w:top w:w="0" w:type="dxa"/>
              <w:left w:w="108" w:type="dxa"/>
              <w:bottom w:w="0" w:type="dxa"/>
              <w:right w:w="108" w:type="dxa"/>
            </w:tcMar>
            <w:hideMark/>
          </w:tcPr>
          <w:p w14:paraId="6FB4C9A0" w14:textId="77777777" w:rsidR="00860F8E" w:rsidRPr="00053FD1" w:rsidRDefault="00860F8E" w:rsidP="005D646B">
            <w:pPr>
              <w:pStyle w:val="TableText"/>
            </w:pPr>
            <w:r w:rsidRPr="00053FD1">
              <w:t>–</w:t>
            </w:r>
          </w:p>
        </w:tc>
      </w:tr>
      <w:tr w:rsidR="00860F8E" w:rsidRPr="00053FD1" w14:paraId="63DB6971" w14:textId="77777777" w:rsidTr="00E849B5">
        <w:tc>
          <w:tcPr>
            <w:tcW w:w="2306" w:type="dxa"/>
            <w:tcMar>
              <w:top w:w="0" w:type="dxa"/>
              <w:left w:w="108" w:type="dxa"/>
              <w:bottom w:w="0" w:type="dxa"/>
              <w:right w:w="108" w:type="dxa"/>
            </w:tcMar>
            <w:hideMark/>
          </w:tcPr>
          <w:p w14:paraId="167A0808" w14:textId="77777777" w:rsidR="00860F8E" w:rsidRPr="00053FD1" w:rsidRDefault="00860F8E" w:rsidP="005D646B">
            <w:pPr>
              <w:pStyle w:val="TableText"/>
            </w:pPr>
            <w:r w:rsidRPr="00053FD1">
              <w:t>Chief pilot approval</w:t>
            </w:r>
          </w:p>
        </w:tc>
        <w:tc>
          <w:tcPr>
            <w:tcW w:w="1062" w:type="dxa"/>
            <w:tcMar>
              <w:top w:w="0" w:type="dxa"/>
              <w:left w:w="108" w:type="dxa"/>
              <w:bottom w:w="0" w:type="dxa"/>
              <w:right w:w="108" w:type="dxa"/>
            </w:tcMar>
            <w:hideMark/>
          </w:tcPr>
          <w:p w14:paraId="6292CC35" w14:textId="77777777" w:rsidR="00860F8E" w:rsidRPr="00053FD1" w:rsidRDefault="00860F8E" w:rsidP="005D646B">
            <w:pPr>
              <w:pStyle w:val="TableText"/>
            </w:pPr>
            <w:r w:rsidRPr="00053FD1">
              <w:t>–</w:t>
            </w:r>
          </w:p>
        </w:tc>
        <w:tc>
          <w:tcPr>
            <w:tcW w:w="1982" w:type="dxa"/>
            <w:tcMar>
              <w:top w:w="0" w:type="dxa"/>
              <w:left w:w="108" w:type="dxa"/>
              <w:bottom w:w="0" w:type="dxa"/>
              <w:right w:w="108" w:type="dxa"/>
            </w:tcMar>
            <w:hideMark/>
          </w:tcPr>
          <w:p w14:paraId="34B0FB06" w14:textId="77777777" w:rsidR="00860F8E" w:rsidRPr="00053FD1" w:rsidRDefault="00860F8E" w:rsidP="005D646B">
            <w:pPr>
              <w:pStyle w:val="TableText"/>
            </w:pPr>
            <w:r w:rsidRPr="00053FD1">
              <w:t>–</w:t>
            </w:r>
          </w:p>
        </w:tc>
        <w:tc>
          <w:tcPr>
            <w:tcW w:w="1281" w:type="dxa"/>
            <w:tcMar>
              <w:top w:w="0" w:type="dxa"/>
              <w:left w:w="108" w:type="dxa"/>
              <w:bottom w:w="0" w:type="dxa"/>
              <w:right w:w="108" w:type="dxa"/>
            </w:tcMar>
            <w:hideMark/>
          </w:tcPr>
          <w:p w14:paraId="049AF2FE" w14:textId="77777777" w:rsidR="00860F8E" w:rsidRPr="00053FD1" w:rsidRDefault="00860F8E" w:rsidP="005D646B">
            <w:pPr>
              <w:pStyle w:val="TableText"/>
            </w:pPr>
            <w:r w:rsidRPr="00053FD1">
              <w:t>1</w:t>
            </w:r>
          </w:p>
        </w:tc>
        <w:tc>
          <w:tcPr>
            <w:tcW w:w="1558" w:type="dxa"/>
            <w:tcMar>
              <w:top w:w="0" w:type="dxa"/>
              <w:left w:w="108" w:type="dxa"/>
              <w:bottom w:w="0" w:type="dxa"/>
              <w:right w:w="108" w:type="dxa"/>
            </w:tcMar>
            <w:hideMark/>
          </w:tcPr>
          <w:p w14:paraId="4768BDA2" w14:textId="77777777" w:rsidR="00860F8E" w:rsidRPr="00053FD1" w:rsidRDefault="00860F8E" w:rsidP="005D646B">
            <w:pPr>
              <w:pStyle w:val="TableText"/>
            </w:pPr>
            <w:r w:rsidRPr="00053FD1">
              <w:t>–</w:t>
            </w:r>
          </w:p>
        </w:tc>
        <w:tc>
          <w:tcPr>
            <w:tcW w:w="1053" w:type="dxa"/>
            <w:tcMar>
              <w:top w:w="0" w:type="dxa"/>
              <w:left w:w="108" w:type="dxa"/>
              <w:bottom w:w="0" w:type="dxa"/>
              <w:right w:w="108" w:type="dxa"/>
            </w:tcMar>
            <w:hideMark/>
          </w:tcPr>
          <w:p w14:paraId="183FD502" w14:textId="77777777" w:rsidR="00860F8E" w:rsidRPr="00053FD1" w:rsidRDefault="00860F8E" w:rsidP="005D646B">
            <w:pPr>
              <w:pStyle w:val="TableText"/>
            </w:pPr>
            <w:r w:rsidRPr="00053FD1">
              <w:t>1</w:t>
            </w:r>
          </w:p>
        </w:tc>
      </w:tr>
      <w:tr w:rsidR="00860F8E" w:rsidRPr="00053FD1" w14:paraId="734B5794" w14:textId="77777777" w:rsidTr="00E849B5">
        <w:tc>
          <w:tcPr>
            <w:tcW w:w="2306" w:type="dxa"/>
            <w:tcMar>
              <w:top w:w="0" w:type="dxa"/>
              <w:left w:w="108" w:type="dxa"/>
              <w:bottom w:w="0" w:type="dxa"/>
              <w:right w:w="108" w:type="dxa"/>
            </w:tcMar>
            <w:hideMark/>
          </w:tcPr>
          <w:p w14:paraId="73690B55" w14:textId="77777777" w:rsidR="00860F8E" w:rsidRPr="00053FD1" w:rsidRDefault="00860F8E" w:rsidP="005D646B">
            <w:pPr>
              <w:pStyle w:val="TableText"/>
            </w:pPr>
            <w:r w:rsidRPr="00053FD1">
              <w:t>Maintenance controller approval</w:t>
            </w:r>
          </w:p>
        </w:tc>
        <w:tc>
          <w:tcPr>
            <w:tcW w:w="1062" w:type="dxa"/>
            <w:tcMar>
              <w:top w:w="0" w:type="dxa"/>
              <w:left w:w="108" w:type="dxa"/>
              <w:bottom w:w="0" w:type="dxa"/>
              <w:right w:w="108" w:type="dxa"/>
            </w:tcMar>
            <w:hideMark/>
          </w:tcPr>
          <w:p w14:paraId="1FE4C2AD" w14:textId="77777777" w:rsidR="00860F8E" w:rsidRPr="00053FD1" w:rsidRDefault="00860F8E" w:rsidP="005D646B">
            <w:pPr>
              <w:pStyle w:val="TableText"/>
            </w:pPr>
            <w:r w:rsidRPr="00053FD1">
              <w:t>–</w:t>
            </w:r>
          </w:p>
        </w:tc>
        <w:tc>
          <w:tcPr>
            <w:tcW w:w="1982" w:type="dxa"/>
            <w:tcMar>
              <w:top w:w="0" w:type="dxa"/>
              <w:left w:w="108" w:type="dxa"/>
              <w:bottom w:w="0" w:type="dxa"/>
              <w:right w:w="108" w:type="dxa"/>
            </w:tcMar>
            <w:hideMark/>
          </w:tcPr>
          <w:p w14:paraId="260D37FF" w14:textId="77777777" w:rsidR="00860F8E" w:rsidRPr="00053FD1" w:rsidRDefault="00860F8E" w:rsidP="005D646B">
            <w:pPr>
              <w:pStyle w:val="TableText"/>
            </w:pPr>
            <w:r w:rsidRPr="00053FD1">
              <w:t>–</w:t>
            </w:r>
          </w:p>
        </w:tc>
        <w:tc>
          <w:tcPr>
            <w:tcW w:w="1281" w:type="dxa"/>
            <w:tcMar>
              <w:top w:w="0" w:type="dxa"/>
              <w:left w:w="108" w:type="dxa"/>
              <w:bottom w:w="0" w:type="dxa"/>
              <w:right w:w="108" w:type="dxa"/>
            </w:tcMar>
            <w:hideMark/>
          </w:tcPr>
          <w:p w14:paraId="642A009C" w14:textId="77777777" w:rsidR="00860F8E" w:rsidRPr="00053FD1" w:rsidRDefault="00860F8E" w:rsidP="005D646B">
            <w:pPr>
              <w:pStyle w:val="TableText"/>
            </w:pPr>
            <w:r w:rsidRPr="00053FD1">
              <w:t>–</w:t>
            </w:r>
          </w:p>
        </w:tc>
        <w:tc>
          <w:tcPr>
            <w:tcW w:w="1558" w:type="dxa"/>
            <w:tcMar>
              <w:top w:w="0" w:type="dxa"/>
              <w:left w:w="108" w:type="dxa"/>
              <w:bottom w:w="0" w:type="dxa"/>
              <w:right w:w="108" w:type="dxa"/>
            </w:tcMar>
            <w:hideMark/>
          </w:tcPr>
          <w:p w14:paraId="3A664BBF" w14:textId="77777777" w:rsidR="00860F8E" w:rsidRPr="00053FD1" w:rsidRDefault="00860F8E" w:rsidP="005D646B">
            <w:pPr>
              <w:pStyle w:val="TableText"/>
            </w:pPr>
            <w:r w:rsidRPr="00053FD1">
              <w:t>–</w:t>
            </w:r>
          </w:p>
        </w:tc>
        <w:tc>
          <w:tcPr>
            <w:tcW w:w="1053" w:type="dxa"/>
            <w:tcMar>
              <w:top w:w="0" w:type="dxa"/>
              <w:left w:w="108" w:type="dxa"/>
              <w:bottom w:w="0" w:type="dxa"/>
              <w:right w:w="108" w:type="dxa"/>
            </w:tcMar>
            <w:hideMark/>
          </w:tcPr>
          <w:p w14:paraId="0174A785" w14:textId="77777777" w:rsidR="00860F8E" w:rsidRPr="00053FD1" w:rsidRDefault="00860F8E" w:rsidP="005D646B">
            <w:pPr>
              <w:pStyle w:val="TableText"/>
            </w:pPr>
            <w:r w:rsidRPr="00053FD1">
              <w:t>–</w:t>
            </w:r>
          </w:p>
        </w:tc>
      </w:tr>
      <w:tr w:rsidR="00860F8E" w:rsidRPr="00053FD1" w14:paraId="3AA5A394" w14:textId="77777777" w:rsidTr="00E849B5">
        <w:tc>
          <w:tcPr>
            <w:tcW w:w="2306" w:type="dxa"/>
            <w:tcMar>
              <w:top w:w="0" w:type="dxa"/>
              <w:left w:w="108" w:type="dxa"/>
              <w:bottom w:w="0" w:type="dxa"/>
              <w:right w:w="108" w:type="dxa"/>
            </w:tcMar>
            <w:hideMark/>
          </w:tcPr>
          <w:p w14:paraId="2C6BC6CC" w14:textId="77777777" w:rsidR="00860F8E" w:rsidRPr="00053FD1" w:rsidRDefault="00860F8E" w:rsidP="005D646B">
            <w:pPr>
              <w:pStyle w:val="TableText"/>
            </w:pPr>
            <w:r w:rsidRPr="00053FD1">
              <w:t xml:space="preserve">Exemption </w:t>
            </w:r>
          </w:p>
        </w:tc>
        <w:tc>
          <w:tcPr>
            <w:tcW w:w="1062" w:type="dxa"/>
            <w:tcMar>
              <w:top w:w="0" w:type="dxa"/>
              <w:left w:w="108" w:type="dxa"/>
              <w:bottom w:w="0" w:type="dxa"/>
              <w:right w:w="108" w:type="dxa"/>
            </w:tcMar>
            <w:hideMark/>
          </w:tcPr>
          <w:p w14:paraId="3DB6530E" w14:textId="77777777" w:rsidR="00860F8E" w:rsidRPr="00053FD1" w:rsidRDefault="00860F8E" w:rsidP="005D646B">
            <w:pPr>
              <w:pStyle w:val="TableText"/>
            </w:pPr>
            <w:r w:rsidRPr="00053FD1">
              <w:t>–</w:t>
            </w:r>
          </w:p>
        </w:tc>
        <w:tc>
          <w:tcPr>
            <w:tcW w:w="1982" w:type="dxa"/>
            <w:tcMar>
              <w:top w:w="0" w:type="dxa"/>
              <w:left w:w="108" w:type="dxa"/>
              <w:bottom w:w="0" w:type="dxa"/>
              <w:right w:w="108" w:type="dxa"/>
            </w:tcMar>
            <w:hideMark/>
          </w:tcPr>
          <w:p w14:paraId="169D1CDA" w14:textId="77777777" w:rsidR="00860F8E" w:rsidRPr="00053FD1" w:rsidRDefault="00860F8E" w:rsidP="005D646B">
            <w:pPr>
              <w:pStyle w:val="TableText"/>
            </w:pPr>
            <w:r w:rsidRPr="00053FD1">
              <w:t>–</w:t>
            </w:r>
          </w:p>
        </w:tc>
        <w:tc>
          <w:tcPr>
            <w:tcW w:w="1281" w:type="dxa"/>
            <w:tcMar>
              <w:top w:w="0" w:type="dxa"/>
              <w:left w:w="108" w:type="dxa"/>
              <w:bottom w:w="0" w:type="dxa"/>
              <w:right w:w="108" w:type="dxa"/>
            </w:tcMar>
            <w:hideMark/>
          </w:tcPr>
          <w:p w14:paraId="246885BA" w14:textId="77777777" w:rsidR="00860F8E" w:rsidRPr="00053FD1" w:rsidRDefault="00860F8E" w:rsidP="005D646B">
            <w:pPr>
              <w:pStyle w:val="TableText"/>
            </w:pPr>
            <w:r w:rsidRPr="00053FD1">
              <w:t>–</w:t>
            </w:r>
          </w:p>
        </w:tc>
        <w:tc>
          <w:tcPr>
            <w:tcW w:w="1558" w:type="dxa"/>
            <w:tcMar>
              <w:top w:w="0" w:type="dxa"/>
              <w:left w:w="108" w:type="dxa"/>
              <w:bottom w:w="0" w:type="dxa"/>
              <w:right w:w="108" w:type="dxa"/>
            </w:tcMar>
            <w:hideMark/>
          </w:tcPr>
          <w:p w14:paraId="58DF02B1" w14:textId="77777777" w:rsidR="00860F8E" w:rsidRPr="00053FD1" w:rsidRDefault="00860F8E" w:rsidP="005D646B">
            <w:pPr>
              <w:pStyle w:val="TableText"/>
            </w:pPr>
            <w:r w:rsidRPr="00053FD1">
              <w:t>–</w:t>
            </w:r>
          </w:p>
        </w:tc>
        <w:tc>
          <w:tcPr>
            <w:tcW w:w="1053" w:type="dxa"/>
            <w:tcMar>
              <w:top w:w="0" w:type="dxa"/>
              <w:left w:w="108" w:type="dxa"/>
              <w:bottom w:w="0" w:type="dxa"/>
              <w:right w:w="108" w:type="dxa"/>
            </w:tcMar>
            <w:hideMark/>
          </w:tcPr>
          <w:p w14:paraId="7E771D22" w14:textId="77777777" w:rsidR="00860F8E" w:rsidRPr="00053FD1" w:rsidRDefault="00860F8E" w:rsidP="005D646B">
            <w:pPr>
              <w:pStyle w:val="TableText"/>
            </w:pPr>
            <w:r w:rsidRPr="00053FD1">
              <w:t>–</w:t>
            </w:r>
          </w:p>
        </w:tc>
      </w:tr>
      <w:tr w:rsidR="00860F8E" w:rsidRPr="00053FD1" w14:paraId="3973AC07" w14:textId="77777777" w:rsidTr="00E849B5">
        <w:tc>
          <w:tcPr>
            <w:tcW w:w="2306" w:type="dxa"/>
            <w:tcMar>
              <w:top w:w="0" w:type="dxa"/>
              <w:left w:w="108" w:type="dxa"/>
              <w:bottom w:w="0" w:type="dxa"/>
              <w:right w:w="108" w:type="dxa"/>
            </w:tcMar>
            <w:hideMark/>
          </w:tcPr>
          <w:p w14:paraId="7F8132EA" w14:textId="77777777" w:rsidR="00860F8E" w:rsidRPr="00053FD1" w:rsidRDefault="00860F8E" w:rsidP="005D646B">
            <w:pPr>
              <w:pStyle w:val="TableText"/>
            </w:pPr>
            <w:r w:rsidRPr="00053FD1">
              <w:t xml:space="preserve">Freedom of information </w:t>
            </w:r>
          </w:p>
        </w:tc>
        <w:tc>
          <w:tcPr>
            <w:tcW w:w="1062" w:type="dxa"/>
            <w:tcMar>
              <w:top w:w="0" w:type="dxa"/>
              <w:left w:w="108" w:type="dxa"/>
              <w:bottom w:w="0" w:type="dxa"/>
              <w:right w:w="108" w:type="dxa"/>
            </w:tcMar>
            <w:hideMark/>
          </w:tcPr>
          <w:p w14:paraId="1A8B2628" w14:textId="77777777" w:rsidR="00860F8E" w:rsidRPr="00053FD1" w:rsidRDefault="00860F8E" w:rsidP="005D646B">
            <w:pPr>
              <w:pStyle w:val="TableText"/>
            </w:pPr>
            <w:r w:rsidRPr="00053FD1">
              <w:t>–</w:t>
            </w:r>
          </w:p>
        </w:tc>
        <w:tc>
          <w:tcPr>
            <w:tcW w:w="1982" w:type="dxa"/>
            <w:tcMar>
              <w:top w:w="0" w:type="dxa"/>
              <w:left w:w="108" w:type="dxa"/>
              <w:bottom w:w="0" w:type="dxa"/>
              <w:right w:w="108" w:type="dxa"/>
            </w:tcMar>
            <w:hideMark/>
          </w:tcPr>
          <w:p w14:paraId="67439CC7" w14:textId="77777777" w:rsidR="00860F8E" w:rsidRPr="00053FD1" w:rsidRDefault="00860F8E" w:rsidP="005D646B">
            <w:pPr>
              <w:pStyle w:val="TableText"/>
            </w:pPr>
            <w:r w:rsidRPr="00053FD1">
              <w:t>–</w:t>
            </w:r>
          </w:p>
        </w:tc>
        <w:tc>
          <w:tcPr>
            <w:tcW w:w="1281" w:type="dxa"/>
            <w:tcMar>
              <w:top w:w="0" w:type="dxa"/>
              <w:left w:w="108" w:type="dxa"/>
              <w:bottom w:w="0" w:type="dxa"/>
              <w:right w:w="108" w:type="dxa"/>
            </w:tcMar>
            <w:hideMark/>
          </w:tcPr>
          <w:p w14:paraId="27E26CBD" w14:textId="77777777" w:rsidR="00860F8E" w:rsidRPr="00053FD1" w:rsidRDefault="00860F8E" w:rsidP="005D646B">
            <w:pPr>
              <w:pStyle w:val="TableText"/>
            </w:pPr>
            <w:r w:rsidRPr="00053FD1">
              <w:t>–</w:t>
            </w:r>
          </w:p>
        </w:tc>
        <w:tc>
          <w:tcPr>
            <w:tcW w:w="1558" w:type="dxa"/>
            <w:tcMar>
              <w:top w:w="0" w:type="dxa"/>
              <w:left w:w="108" w:type="dxa"/>
              <w:bottom w:w="0" w:type="dxa"/>
              <w:right w:w="108" w:type="dxa"/>
            </w:tcMar>
            <w:hideMark/>
          </w:tcPr>
          <w:p w14:paraId="34725E76" w14:textId="77777777" w:rsidR="00860F8E" w:rsidRPr="00053FD1" w:rsidRDefault="00860F8E" w:rsidP="005D646B">
            <w:pPr>
              <w:pStyle w:val="TableText"/>
            </w:pPr>
            <w:r w:rsidRPr="00053FD1">
              <w:t>–</w:t>
            </w:r>
          </w:p>
        </w:tc>
        <w:tc>
          <w:tcPr>
            <w:tcW w:w="1053" w:type="dxa"/>
            <w:tcMar>
              <w:top w:w="0" w:type="dxa"/>
              <w:left w:w="108" w:type="dxa"/>
              <w:bottom w:w="0" w:type="dxa"/>
              <w:right w:w="108" w:type="dxa"/>
            </w:tcMar>
            <w:hideMark/>
          </w:tcPr>
          <w:p w14:paraId="229E9981" w14:textId="77777777" w:rsidR="00860F8E" w:rsidRPr="00053FD1" w:rsidRDefault="0044040E" w:rsidP="005D646B">
            <w:pPr>
              <w:pStyle w:val="TableText"/>
            </w:pPr>
            <w:r>
              <w:t>–</w:t>
            </w:r>
          </w:p>
        </w:tc>
      </w:tr>
      <w:tr w:rsidR="00860F8E" w:rsidRPr="00053FD1" w14:paraId="507A538C" w14:textId="77777777" w:rsidTr="00E849B5">
        <w:tc>
          <w:tcPr>
            <w:tcW w:w="2306" w:type="dxa"/>
            <w:tcMar>
              <w:top w:w="0" w:type="dxa"/>
              <w:left w:w="108" w:type="dxa"/>
              <w:bottom w:w="0" w:type="dxa"/>
              <w:right w:w="108" w:type="dxa"/>
            </w:tcMar>
            <w:hideMark/>
          </w:tcPr>
          <w:p w14:paraId="259B4AEE" w14:textId="77777777" w:rsidR="00860F8E" w:rsidRPr="00053FD1" w:rsidRDefault="00860F8E" w:rsidP="005D646B">
            <w:pPr>
              <w:pStyle w:val="TableText"/>
            </w:pPr>
            <w:r w:rsidRPr="00053FD1">
              <w:t>Other matters</w:t>
            </w:r>
          </w:p>
        </w:tc>
        <w:tc>
          <w:tcPr>
            <w:tcW w:w="1062" w:type="dxa"/>
            <w:tcMar>
              <w:top w:w="0" w:type="dxa"/>
              <w:left w:w="108" w:type="dxa"/>
              <w:bottom w:w="0" w:type="dxa"/>
              <w:right w:w="108" w:type="dxa"/>
            </w:tcMar>
            <w:hideMark/>
          </w:tcPr>
          <w:p w14:paraId="519663C0" w14:textId="77777777" w:rsidR="00860F8E" w:rsidRPr="00053FD1" w:rsidRDefault="00860F8E" w:rsidP="005D646B">
            <w:pPr>
              <w:pStyle w:val="TableText"/>
            </w:pPr>
            <w:r w:rsidRPr="00053FD1">
              <w:t>–</w:t>
            </w:r>
          </w:p>
        </w:tc>
        <w:tc>
          <w:tcPr>
            <w:tcW w:w="1982" w:type="dxa"/>
            <w:tcMar>
              <w:top w:w="0" w:type="dxa"/>
              <w:left w:w="108" w:type="dxa"/>
              <w:bottom w:w="0" w:type="dxa"/>
              <w:right w:w="108" w:type="dxa"/>
            </w:tcMar>
            <w:hideMark/>
          </w:tcPr>
          <w:p w14:paraId="117DAE0B" w14:textId="77777777" w:rsidR="00860F8E" w:rsidRPr="00053FD1" w:rsidRDefault="00860F8E" w:rsidP="005D646B">
            <w:pPr>
              <w:pStyle w:val="TableText"/>
            </w:pPr>
            <w:r w:rsidRPr="00053FD1">
              <w:t>–</w:t>
            </w:r>
          </w:p>
        </w:tc>
        <w:tc>
          <w:tcPr>
            <w:tcW w:w="1281" w:type="dxa"/>
            <w:tcMar>
              <w:top w:w="0" w:type="dxa"/>
              <w:left w:w="108" w:type="dxa"/>
              <w:bottom w:w="0" w:type="dxa"/>
              <w:right w:w="108" w:type="dxa"/>
            </w:tcMar>
            <w:hideMark/>
          </w:tcPr>
          <w:p w14:paraId="1D8AA80D" w14:textId="77777777" w:rsidR="00860F8E" w:rsidRPr="00053FD1" w:rsidRDefault="00860F8E" w:rsidP="005D646B">
            <w:pPr>
              <w:pStyle w:val="TableText"/>
            </w:pPr>
            <w:r w:rsidRPr="00053FD1">
              <w:t>–</w:t>
            </w:r>
          </w:p>
        </w:tc>
        <w:tc>
          <w:tcPr>
            <w:tcW w:w="1558" w:type="dxa"/>
            <w:tcMar>
              <w:top w:w="0" w:type="dxa"/>
              <w:left w:w="108" w:type="dxa"/>
              <w:bottom w:w="0" w:type="dxa"/>
              <w:right w:w="108" w:type="dxa"/>
            </w:tcMar>
            <w:hideMark/>
          </w:tcPr>
          <w:p w14:paraId="6B5DBC35" w14:textId="77777777" w:rsidR="00860F8E" w:rsidRPr="00053FD1" w:rsidRDefault="00860F8E" w:rsidP="005D646B">
            <w:pPr>
              <w:pStyle w:val="TableText"/>
            </w:pPr>
            <w:r w:rsidRPr="00053FD1">
              <w:t>–</w:t>
            </w:r>
          </w:p>
        </w:tc>
        <w:tc>
          <w:tcPr>
            <w:tcW w:w="1053" w:type="dxa"/>
            <w:tcMar>
              <w:top w:w="0" w:type="dxa"/>
              <w:left w:w="108" w:type="dxa"/>
              <w:bottom w:w="0" w:type="dxa"/>
              <w:right w:w="108" w:type="dxa"/>
            </w:tcMar>
            <w:hideMark/>
          </w:tcPr>
          <w:p w14:paraId="060A3405" w14:textId="77777777" w:rsidR="00860F8E" w:rsidRPr="00053FD1" w:rsidRDefault="00860F8E" w:rsidP="005D646B">
            <w:pPr>
              <w:pStyle w:val="TableText"/>
            </w:pPr>
            <w:r w:rsidRPr="00053FD1">
              <w:t>–</w:t>
            </w:r>
          </w:p>
        </w:tc>
      </w:tr>
      <w:tr w:rsidR="00860F8E" w:rsidRPr="00053FD1" w14:paraId="3AFA8CC6" w14:textId="77777777" w:rsidTr="00E849B5">
        <w:tc>
          <w:tcPr>
            <w:tcW w:w="2306" w:type="dxa"/>
            <w:tcMar>
              <w:top w:w="0" w:type="dxa"/>
              <w:left w:w="108" w:type="dxa"/>
              <w:bottom w:w="0" w:type="dxa"/>
              <w:right w:w="108" w:type="dxa"/>
            </w:tcMar>
            <w:hideMark/>
          </w:tcPr>
          <w:p w14:paraId="7FE3F061" w14:textId="77777777" w:rsidR="00860F8E" w:rsidRPr="005D646B" w:rsidRDefault="00860F8E" w:rsidP="005D646B">
            <w:pPr>
              <w:pStyle w:val="TableText"/>
              <w:rPr>
                <w:b/>
              </w:rPr>
            </w:pPr>
            <w:r w:rsidRPr="005D646B">
              <w:rPr>
                <w:b/>
              </w:rPr>
              <w:t>Total</w:t>
            </w:r>
          </w:p>
        </w:tc>
        <w:tc>
          <w:tcPr>
            <w:tcW w:w="1062" w:type="dxa"/>
            <w:tcMar>
              <w:top w:w="0" w:type="dxa"/>
              <w:left w:w="108" w:type="dxa"/>
              <w:bottom w:w="0" w:type="dxa"/>
              <w:right w:w="108" w:type="dxa"/>
            </w:tcMar>
            <w:hideMark/>
          </w:tcPr>
          <w:p w14:paraId="6689C73A" w14:textId="77777777" w:rsidR="00860F8E" w:rsidRPr="005D646B" w:rsidRDefault="00860F8E" w:rsidP="005D646B">
            <w:pPr>
              <w:pStyle w:val="TableText"/>
              <w:rPr>
                <w:b/>
              </w:rPr>
            </w:pPr>
            <w:r w:rsidRPr="005D646B">
              <w:rPr>
                <w:b/>
              </w:rPr>
              <w:t>5</w:t>
            </w:r>
          </w:p>
        </w:tc>
        <w:tc>
          <w:tcPr>
            <w:tcW w:w="1982" w:type="dxa"/>
            <w:tcMar>
              <w:top w:w="0" w:type="dxa"/>
              <w:left w:w="108" w:type="dxa"/>
              <w:bottom w:w="0" w:type="dxa"/>
              <w:right w:w="108" w:type="dxa"/>
            </w:tcMar>
            <w:hideMark/>
          </w:tcPr>
          <w:p w14:paraId="4EACDE00" w14:textId="77777777" w:rsidR="00860F8E" w:rsidRPr="005D646B" w:rsidRDefault="00860F8E" w:rsidP="005D646B">
            <w:pPr>
              <w:pStyle w:val="TableText"/>
              <w:rPr>
                <w:b/>
              </w:rPr>
            </w:pPr>
            <w:r w:rsidRPr="005D646B">
              <w:rPr>
                <w:b/>
              </w:rPr>
              <w:t>4</w:t>
            </w:r>
          </w:p>
        </w:tc>
        <w:tc>
          <w:tcPr>
            <w:tcW w:w="1281" w:type="dxa"/>
            <w:tcMar>
              <w:top w:w="0" w:type="dxa"/>
              <w:left w:w="108" w:type="dxa"/>
              <w:bottom w:w="0" w:type="dxa"/>
              <w:right w:w="108" w:type="dxa"/>
            </w:tcMar>
            <w:hideMark/>
          </w:tcPr>
          <w:p w14:paraId="58CD8F59" w14:textId="77777777" w:rsidR="00860F8E" w:rsidRPr="005D646B" w:rsidRDefault="00860F8E" w:rsidP="005D646B">
            <w:pPr>
              <w:pStyle w:val="TableText"/>
              <w:rPr>
                <w:b/>
              </w:rPr>
            </w:pPr>
            <w:r w:rsidRPr="005D646B">
              <w:rPr>
                <w:b/>
              </w:rPr>
              <w:t>8</w:t>
            </w:r>
          </w:p>
        </w:tc>
        <w:tc>
          <w:tcPr>
            <w:tcW w:w="1558" w:type="dxa"/>
            <w:tcMar>
              <w:top w:w="0" w:type="dxa"/>
              <w:left w:w="108" w:type="dxa"/>
              <w:bottom w:w="0" w:type="dxa"/>
              <w:right w:w="108" w:type="dxa"/>
            </w:tcMar>
            <w:hideMark/>
          </w:tcPr>
          <w:p w14:paraId="61013201" w14:textId="77777777" w:rsidR="00860F8E" w:rsidRPr="005D646B" w:rsidRDefault="00860F8E" w:rsidP="005D646B">
            <w:pPr>
              <w:pStyle w:val="TableText"/>
              <w:rPr>
                <w:b/>
              </w:rPr>
            </w:pPr>
            <w:r w:rsidRPr="005D646B">
              <w:rPr>
                <w:b/>
              </w:rPr>
              <w:t>1</w:t>
            </w:r>
          </w:p>
        </w:tc>
        <w:tc>
          <w:tcPr>
            <w:tcW w:w="1053" w:type="dxa"/>
            <w:tcMar>
              <w:top w:w="0" w:type="dxa"/>
              <w:left w:w="108" w:type="dxa"/>
              <w:bottom w:w="0" w:type="dxa"/>
              <w:right w:w="108" w:type="dxa"/>
            </w:tcMar>
            <w:hideMark/>
          </w:tcPr>
          <w:p w14:paraId="05E8470E" w14:textId="77777777" w:rsidR="00860F8E" w:rsidRPr="005D646B" w:rsidRDefault="00860F8E" w:rsidP="005D646B">
            <w:pPr>
              <w:pStyle w:val="TableText"/>
              <w:rPr>
                <w:b/>
              </w:rPr>
            </w:pPr>
            <w:r w:rsidRPr="005D646B">
              <w:rPr>
                <w:b/>
              </w:rPr>
              <w:t>18</w:t>
            </w:r>
          </w:p>
        </w:tc>
      </w:tr>
    </w:tbl>
    <w:p w14:paraId="38F7539C" w14:textId="77777777" w:rsidR="00860F8E" w:rsidRPr="00053FD1" w:rsidRDefault="00860F8E" w:rsidP="00860F8E">
      <w:pPr>
        <w:spacing w:after="0"/>
        <w:rPr>
          <w:rFonts w:ascii="Calibri" w:eastAsia="Times New Roman" w:hAnsi="Calibri"/>
          <w:b/>
          <w:szCs w:val="24"/>
          <w:lang w:eastAsia="en-AU"/>
        </w:rPr>
      </w:pPr>
    </w:p>
    <w:p w14:paraId="034F4CAF" w14:textId="77777777" w:rsidR="00860F8E" w:rsidRPr="00053FD1" w:rsidRDefault="00860F8E" w:rsidP="00860F8E">
      <w:pPr>
        <w:pStyle w:val="TableName"/>
      </w:pPr>
      <w:r w:rsidRPr="00053FD1">
        <w:lastRenderedPageBreak/>
        <w:t>Table B.7</w:t>
      </w:r>
      <w:r w:rsidRPr="00053FD1">
        <w:tab/>
        <w:t>Applications to Federal Court for judicial review of CASA regulatory decisions, 2013–14 to 2017–18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37"/>
        <w:gridCol w:w="658"/>
        <w:gridCol w:w="640"/>
        <w:gridCol w:w="647"/>
        <w:gridCol w:w="640"/>
        <w:gridCol w:w="774"/>
        <w:gridCol w:w="646"/>
        <w:gridCol w:w="777"/>
        <w:gridCol w:w="642"/>
        <w:gridCol w:w="615"/>
      </w:tblGrid>
      <w:tr w:rsidR="00860F8E" w:rsidRPr="00053FD1" w14:paraId="4AE717CF" w14:textId="77777777" w:rsidTr="00E849B5">
        <w:trPr>
          <w:tblHeader/>
        </w:trPr>
        <w:tc>
          <w:tcPr>
            <w:tcW w:w="1298" w:type="pct"/>
          </w:tcPr>
          <w:p w14:paraId="143D9438" w14:textId="77777777" w:rsidR="00860F8E" w:rsidRPr="005D646B" w:rsidRDefault="00860F8E" w:rsidP="005D646B">
            <w:pPr>
              <w:pStyle w:val="TableText"/>
              <w:rPr>
                <w:b/>
              </w:rPr>
            </w:pPr>
          </w:p>
        </w:tc>
        <w:tc>
          <w:tcPr>
            <w:tcW w:w="718" w:type="pct"/>
            <w:gridSpan w:val="2"/>
          </w:tcPr>
          <w:p w14:paraId="196BD621" w14:textId="77777777" w:rsidR="00860F8E" w:rsidRPr="005D646B" w:rsidRDefault="00860F8E" w:rsidP="005D646B">
            <w:pPr>
              <w:pStyle w:val="TableText"/>
              <w:rPr>
                <w:b/>
              </w:rPr>
            </w:pPr>
            <w:r w:rsidRPr="005D646B">
              <w:rPr>
                <w:b/>
              </w:rPr>
              <w:t>2013–14</w:t>
            </w:r>
          </w:p>
        </w:tc>
        <w:tc>
          <w:tcPr>
            <w:tcW w:w="714" w:type="pct"/>
            <w:gridSpan w:val="2"/>
          </w:tcPr>
          <w:p w14:paraId="590279CB" w14:textId="77777777" w:rsidR="00860F8E" w:rsidRPr="005D646B" w:rsidRDefault="00860F8E" w:rsidP="005D646B">
            <w:pPr>
              <w:pStyle w:val="TableText"/>
              <w:rPr>
                <w:b/>
              </w:rPr>
            </w:pPr>
            <w:r w:rsidRPr="005D646B">
              <w:rPr>
                <w:b/>
              </w:rPr>
              <w:t>2014–15</w:t>
            </w:r>
          </w:p>
        </w:tc>
        <w:tc>
          <w:tcPr>
            <w:tcW w:w="784" w:type="pct"/>
            <w:gridSpan w:val="2"/>
          </w:tcPr>
          <w:p w14:paraId="4F07375D" w14:textId="77777777" w:rsidR="00860F8E" w:rsidRPr="005D646B" w:rsidRDefault="00860F8E" w:rsidP="005D646B">
            <w:pPr>
              <w:pStyle w:val="TableText"/>
              <w:rPr>
                <w:b/>
              </w:rPr>
            </w:pPr>
            <w:r w:rsidRPr="005D646B">
              <w:rPr>
                <w:b/>
              </w:rPr>
              <w:t>2015–16</w:t>
            </w:r>
          </w:p>
        </w:tc>
        <w:tc>
          <w:tcPr>
            <w:tcW w:w="789" w:type="pct"/>
            <w:gridSpan w:val="2"/>
          </w:tcPr>
          <w:p w14:paraId="62E3C3B9" w14:textId="77777777" w:rsidR="00860F8E" w:rsidRPr="005D646B" w:rsidRDefault="00860F8E" w:rsidP="005D646B">
            <w:pPr>
              <w:pStyle w:val="TableText"/>
              <w:rPr>
                <w:b/>
              </w:rPr>
            </w:pPr>
            <w:r w:rsidRPr="005D646B">
              <w:rPr>
                <w:b/>
              </w:rPr>
              <w:t>2016–17</w:t>
            </w:r>
          </w:p>
        </w:tc>
        <w:tc>
          <w:tcPr>
            <w:tcW w:w="697" w:type="pct"/>
            <w:gridSpan w:val="2"/>
          </w:tcPr>
          <w:p w14:paraId="56D88159" w14:textId="77777777" w:rsidR="00860F8E" w:rsidRPr="005D646B" w:rsidRDefault="00860F8E" w:rsidP="005D646B">
            <w:pPr>
              <w:pStyle w:val="TableText"/>
              <w:rPr>
                <w:b/>
              </w:rPr>
            </w:pPr>
            <w:r w:rsidRPr="005D646B">
              <w:rPr>
                <w:b/>
              </w:rPr>
              <w:t>2017–18</w:t>
            </w:r>
          </w:p>
        </w:tc>
      </w:tr>
      <w:tr w:rsidR="00860F8E" w:rsidRPr="00053FD1" w14:paraId="18FFEC2D" w14:textId="77777777" w:rsidTr="00E849B5">
        <w:tc>
          <w:tcPr>
            <w:tcW w:w="1298" w:type="pct"/>
          </w:tcPr>
          <w:p w14:paraId="1E89504B" w14:textId="77777777" w:rsidR="00860F8E" w:rsidRPr="00053FD1" w:rsidRDefault="00860F8E" w:rsidP="005D646B">
            <w:pPr>
              <w:pStyle w:val="TableText"/>
              <w:rPr>
                <w:sz w:val="12"/>
                <w:szCs w:val="12"/>
              </w:rPr>
            </w:pPr>
          </w:p>
        </w:tc>
        <w:tc>
          <w:tcPr>
            <w:tcW w:w="353" w:type="pct"/>
          </w:tcPr>
          <w:p w14:paraId="14DA1CE6" w14:textId="77777777" w:rsidR="00860F8E" w:rsidRPr="00053FD1" w:rsidRDefault="00860F8E" w:rsidP="005D646B">
            <w:pPr>
              <w:pStyle w:val="TableText"/>
              <w:rPr>
                <w:sz w:val="12"/>
                <w:szCs w:val="12"/>
              </w:rPr>
            </w:pPr>
            <w:r w:rsidRPr="00053FD1">
              <w:rPr>
                <w:sz w:val="12"/>
                <w:szCs w:val="12"/>
              </w:rPr>
              <w:t xml:space="preserve">Filed by subject person </w:t>
            </w:r>
          </w:p>
        </w:tc>
        <w:tc>
          <w:tcPr>
            <w:tcW w:w="365" w:type="pct"/>
          </w:tcPr>
          <w:p w14:paraId="0E935A41" w14:textId="77777777" w:rsidR="00860F8E" w:rsidRPr="00053FD1" w:rsidRDefault="00860F8E" w:rsidP="005D646B">
            <w:pPr>
              <w:pStyle w:val="TableText"/>
              <w:rPr>
                <w:sz w:val="12"/>
                <w:szCs w:val="12"/>
              </w:rPr>
            </w:pPr>
            <w:r w:rsidRPr="00053FD1">
              <w:rPr>
                <w:sz w:val="12"/>
                <w:szCs w:val="12"/>
              </w:rPr>
              <w:t xml:space="preserve">Filed by CASA </w:t>
            </w:r>
          </w:p>
        </w:tc>
        <w:tc>
          <w:tcPr>
            <w:tcW w:w="355" w:type="pct"/>
          </w:tcPr>
          <w:p w14:paraId="45FA3A04" w14:textId="77777777" w:rsidR="00860F8E" w:rsidRPr="00053FD1" w:rsidRDefault="00860F8E" w:rsidP="005D646B">
            <w:pPr>
              <w:pStyle w:val="TableText"/>
              <w:rPr>
                <w:sz w:val="12"/>
                <w:szCs w:val="12"/>
              </w:rPr>
            </w:pPr>
            <w:r w:rsidRPr="00053FD1">
              <w:rPr>
                <w:sz w:val="12"/>
                <w:szCs w:val="12"/>
              </w:rPr>
              <w:t xml:space="preserve">Filed by subject person </w:t>
            </w:r>
          </w:p>
        </w:tc>
        <w:tc>
          <w:tcPr>
            <w:tcW w:w="359" w:type="pct"/>
          </w:tcPr>
          <w:p w14:paraId="2B909375" w14:textId="77777777" w:rsidR="00860F8E" w:rsidRPr="00053FD1" w:rsidRDefault="00860F8E" w:rsidP="005D646B">
            <w:pPr>
              <w:pStyle w:val="TableText"/>
              <w:rPr>
                <w:sz w:val="12"/>
                <w:szCs w:val="12"/>
              </w:rPr>
            </w:pPr>
            <w:r w:rsidRPr="00053FD1">
              <w:rPr>
                <w:sz w:val="12"/>
                <w:szCs w:val="12"/>
              </w:rPr>
              <w:t xml:space="preserve">Filed by CASA </w:t>
            </w:r>
          </w:p>
        </w:tc>
        <w:tc>
          <w:tcPr>
            <w:tcW w:w="355" w:type="pct"/>
          </w:tcPr>
          <w:p w14:paraId="6475A779" w14:textId="77777777" w:rsidR="00860F8E" w:rsidRPr="00053FD1" w:rsidRDefault="00860F8E" w:rsidP="005D646B">
            <w:pPr>
              <w:pStyle w:val="TableText"/>
              <w:rPr>
                <w:sz w:val="12"/>
                <w:szCs w:val="12"/>
              </w:rPr>
            </w:pPr>
            <w:r w:rsidRPr="00053FD1">
              <w:rPr>
                <w:sz w:val="12"/>
                <w:szCs w:val="12"/>
              </w:rPr>
              <w:t xml:space="preserve">Filed by subject person </w:t>
            </w:r>
          </w:p>
        </w:tc>
        <w:tc>
          <w:tcPr>
            <w:tcW w:w="429" w:type="pct"/>
          </w:tcPr>
          <w:p w14:paraId="10A6C119" w14:textId="77777777" w:rsidR="00860F8E" w:rsidRPr="00053FD1" w:rsidRDefault="00860F8E" w:rsidP="005D646B">
            <w:pPr>
              <w:pStyle w:val="TableText"/>
              <w:rPr>
                <w:sz w:val="12"/>
                <w:szCs w:val="12"/>
              </w:rPr>
            </w:pPr>
            <w:r w:rsidRPr="00053FD1">
              <w:rPr>
                <w:sz w:val="12"/>
                <w:szCs w:val="12"/>
              </w:rPr>
              <w:t xml:space="preserve">Filed by CASA </w:t>
            </w:r>
          </w:p>
        </w:tc>
        <w:tc>
          <w:tcPr>
            <w:tcW w:w="358" w:type="pct"/>
          </w:tcPr>
          <w:p w14:paraId="684AA463" w14:textId="77777777" w:rsidR="00860F8E" w:rsidRPr="00053FD1" w:rsidRDefault="00860F8E" w:rsidP="005D646B">
            <w:pPr>
              <w:pStyle w:val="TableText"/>
              <w:rPr>
                <w:sz w:val="12"/>
                <w:szCs w:val="12"/>
              </w:rPr>
            </w:pPr>
            <w:r w:rsidRPr="00053FD1">
              <w:rPr>
                <w:sz w:val="12"/>
                <w:szCs w:val="12"/>
              </w:rPr>
              <w:t xml:space="preserve">Filed by subject person </w:t>
            </w:r>
          </w:p>
        </w:tc>
        <w:tc>
          <w:tcPr>
            <w:tcW w:w="431" w:type="pct"/>
          </w:tcPr>
          <w:p w14:paraId="12914EAC" w14:textId="77777777" w:rsidR="00860F8E" w:rsidRPr="00053FD1" w:rsidRDefault="00860F8E" w:rsidP="005D646B">
            <w:pPr>
              <w:pStyle w:val="TableText"/>
              <w:rPr>
                <w:sz w:val="12"/>
                <w:szCs w:val="12"/>
              </w:rPr>
            </w:pPr>
            <w:r w:rsidRPr="00053FD1">
              <w:rPr>
                <w:sz w:val="12"/>
                <w:szCs w:val="12"/>
              </w:rPr>
              <w:t xml:space="preserve">Filed by CASA </w:t>
            </w:r>
          </w:p>
        </w:tc>
        <w:tc>
          <w:tcPr>
            <w:tcW w:w="356" w:type="pct"/>
          </w:tcPr>
          <w:p w14:paraId="6B83D4C1" w14:textId="77777777" w:rsidR="00860F8E" w:rsidRPr="00053FD1" w:rsidRDefault="00860F8E" w:rsidP="005D646B">
            <w:pPr>
              <w:pStyle w:val="TableText"/>
              <w:rPr>
                <w:sz w:val="12"/>
                <w:szCs w:val="12"/>
              </w:rPr>
            </w:pPr>
            <w:r w:rsidRPr="00053FD1">
              <w:rPr>
                <w:sz w:val="12"/>
                <w:szCs w:val="12"/>
              </w:rPr>
              <w:t xml:space="preserve">Filed by subject person </w:t>
            </w:r>
          </w:p>
        </w:tc>
        <w:tc>
          <w:tcPr>
            <w:tcW w:w="341" w:type="pct"/>
          </w:tcPr>
          <w:p w14:paraId="3B85D9C3" w14:textId="77777777" w:rsidR="00860F8E" w:rsidRPr="00053FD1" w:rsidRDefault="00860F8E" w:rsidP="005D646B">
            <w:pPr>
              <w:pStyle w:val="TableText"/>
              <w:rPr>
                <w:sz w:val="12"/>
                <w:szCs w:val="12"/>
              </w:rPr>
            </w:pPr>
            <w:r w:rsidRPr="00053FD1">
              <w:rPr>
                <w:sz w:val="12"/>
                <w:szCs w:val="12"/>
              </w:rPr>
              <w:t xml:space="preserve">Filed by CASA </w:t>
            </w:r>
          </w:p>
        </w:tc>
      </w:tr>
      <w:tr w:rsidR="00860F8E" w:rsidRPr="00053FD1" w14:paraId="7E1FBBED" w14:textId="77777777" w:rsidTr="00E849B5">
        <w:tc>
          <w:tcPr>
            <w:tcW w:w="5000" w:type="pct"/>
            <w:gridSpan w:val="11"/>
            <w:shd w:val="clear" w:color="auto" w:fill="D9D9D9"/>
          </w:tcPr>
          <w:p w14:paraId="2D144820" w14:textId="77777777" w:rsidR="00860F8E" w:rsidRPr="00572E09" w:rsidRDefault="00860F8E" w:rsidP="005D646B">
            <w:pPr>
              <w:pStyle w:val="TableText"/>
            </w:pPr>
            <w:r w:rsidRPr="00572E09">
              <w:t>Matters with the court</w:t>
            </w:r>
          </w:p>
        </w:tc>
      </w:tr>
      <w:tr w:rsidR="00860F8E" w:rsidRPr="00053FD1" w14:paraId="5A6BB37C" w14:textId="77777777" w:rsidTr="00E849B5">
        <w:tc>
          <w:tcPr>
            <w:tcW w:w="1298" w:type="pct"/>
          </w:tcPr>
          <w:p w14:paraId="22797E2B" w14:textId="77777777" w:rsidR="00860F8E" w:rsidRPr="00053FD1" w:rsidRDefault="00860F8E" w:rsidP="005D646B">
            <w:pPr>
              <w:pStyle w:val="TableText"/>
            </w:pPr>
            <w:r w:rsidRPr="00053FD1">
              <w:t xml:space="preserve">Applications on hand from the previous year </w:t>
            </w:r>
          </w:p>
        </w:tc>
        <w:tc>
          <w:tcPr>
            <w:tcW w:w="353" w:type="pct"/>
          </w:tcPr>
          <w:p w14:paraId="29E9EFE5" w14:textId="77777777" w:rsidR="00860F8E" w:rsidRPr="00053FD1" w:rsidRDefault="00860F8E" w:rsidP="005D646B">
            <w:pPr>
              <w:pStyle w:val="TableText"/>
            </w:pPr>
            <w:r w:rsidRPr="00053FD1">
              <w:t>_</w:t>
            </w:r>
          </w:p>
        </w:tc>
        <w:tc>
          <w:tcPr>
            <w:tcW w:w="365" w:type="pct"/>
          </w:tcPr>
          <w:p w14:paraId="0EA4E77B" w14:textId="77777777" w:rsidR="00860F8E" w:rsidRPr="00053FD1" w:rsidRDefault="00860F8E" w:rsidP="005D646B">
            <w:pPr>
              <w:pStyle w:val="TableText"/>
            </w:pPr>
            <w:r w:rsidRPr="00053FD1">
              <w:t>_</w:t>
            </w:r>
          </w:p>
        </w:tc>
        <w:tc>
          <w:tcPr>
            <w:tcW w:w="355" w:type="pct"/>
          </w:tcPr>
          <w:p w14:paraId="67511181" w14:textId="77777777" w:rsidR="00860F8E" w:rsidRPr="00053FD1" w:rsidRDefault="00860F8E" w:rsidP="005D646B">
            <w:pPr>
              <w:pStyle w:val="TableText"/>
            </w:pPr>
            <w:r w:rsidRPr="00053FD1">
              <w:t>3</w:t>
            </w:r>
          </w:p>
        </w:tc>
        <w:tc>
          <w:tcPr>
            <w:tcW w:w="359" w:type="pct"/>
          </w:tcPr>
          <w:p w14:paraId="2C196811" w14:textId="77777777" w:rsidR="00860F8E" w:rsidRPr="00053FD1" w:rsidRDefault="00860F8E" w:rsidP="005D646B">
            <w:pPr>
              <w:pStyle w:val="TableText"/>
            </w:pPr>
            <w:r w:rsidRPr="00053FD1">
              <w:t>_</w:t>
            </w:r>
          </w:p>
        </w:tc>
        <w:tc>
          <w:tcPr>
            <w:tcW w:w="355" w:type="pct"/>
          </w:tcPr>
          <w:p w14:paraId="65BA24B9" w14:textId="77777777" w:rsidR="00860F8E" w:rsidRPr="00053FD1" w:rsidRDefault="00860F8E" w:rsidP="005D646B">
            <w:pPr>
              <w:pStyle w:val="TableText"/>
            </w:pPr>
            <w:r w:rsidRPr="00053FD1">
              <w:t>_</w:t>
            </w:r>
          </w:p>
        </w:tc>
        <w:tc>
          <w:tcPr>
            <w:tcW w:w="429" w:type="pct"/>
          </w:tcPr>
          <w:p w14:paraId="311FB12A" w14:textId="77777777" w:rsidR="00860F8E" w:rsidRPr="00053FD1" w:rsidRDefault="00860F8E" w:rsidP="005D646B">
            <w:pPr>
              <w:pStyle w:val="TableText"/>
            </w:pPr>
            <w:r w:rsidRPr="00053FD1">
              <w:t>_</w:t>
            </w:r>
          </w:p>
        </w:tc>
        <w:tc>
          <w:tcPr>
            <w:tcW w:w="358" w:type="pct"/>
          </w:tcPr>
          <w:p w14:paraId="27DC5793" w14:textId="77777777" w:rsidR="00860F8E" w:rsidRPr="00053FD1" w:rsidRDefault="00860F8E" w:rsidP="005D646B">
            <w:pPr>
              <w:pStyle w:val="TableText"/>
            </w:pPr>
            <w:r w:rsidRPr="00053FD1">
              <w:t>_</w:t>
            </w:r>
          </w:p>
        </w:tc>
        <w:tc>
          <w:tcPr>
            <w:tcW w:w="431" w:type="pct"/>
          </w:tcPr>
          <w:p w14:paraId="4B186889" w14:textId="77777777" w:rsidR="00860F8E" w:rsidRPr="00053FD1" w:rsidRDefault="00860F8E" w:rsidP="005D646B">
            <w:pPr>
              <w:pStyle w:val="TableText"/>
            </w:pPr>
            <w:r w:rsidRPr="00053FD1">
              <w:t>_</w:t>
            </w:r>
          </w:p>
        </w:tc>
        <w:tc>
          <w:tcPr>
            <w:tcW w:w="356" w:type="pct"/>
          </w:tcPr>
          <w:p w14:paraId="026F2A36" w14:textId="77777777" w:rsidR="00860F8E" w:rsidRPr="00053FD1" w:rsidRDefault="00860F8E" w:rsidP="005D646B">
            <w:pPr>
              <w:pStyle w:val="TableText"/>
            </w:pPr>
            <w:r w:rsidRPr="00053FD1">
              <w:t>_</w:t>
            </w:r>
          </w:p>
        </w:tc>
        <w:tc>
          <w:tcPr>
            <w:tcW w:w="341" w:type="pct"/>
          </w:tcPr>
          <w:p w14:paraId="7DB3164E" w14:textId="77777777" w:rsidR="00860F8E" w:rsidRPr="00053FD1" w:rsidRDefault="00860F8E" w:rsidP="005D646B">
            <w:pPr>
              <w:pStyle w:val="TableText"/>
            </w:pPr>
            <w:r w:rsidRPr="00053FD1">
              <w:t>1</w:t>
            </w:r>
          </w:p>
        </w:tc>
      </w:tr>
      <w:tr w:rsidR="00860F8E" w:rsidRPr="00053FD1" w14:paraId="14F1DC2F" w14:textId="77777777" w:rsidTr="00E849B5">
        <w:tc>
          <w:tcPr>
            <w:tcW w:w="1298" w:type="pct"/>
          </w:tcPr>
          <w:p w14:paraId="70D18445" w14:textId="77777777" w:rsidR="00860F8E" w:rsidRPr="00053FD1" w:rsidRDefault="00860F8E" w:rsidP="005D646B">
            <w:pPr>
              <w:pStyle w:val="TableText"/>
            </w:pPr>
            <w:r w:rsidRPr="00053FD1">
              <w:t xml:space="preserve">Applications filed during the year </w:t>
            </w:r>
          </w:p>
        </w:tc>
        <w:tc>
          <w:tcPr>
            <w:tcW w:w="353" w:type="pct"/>
          </w:tcPr>
          <w:p w14:paraId="30CC3E4F" w14:textId="77777777" w:rsidR="00860F8E" w:rsidRPr="00053FD1" w:rsidRDefault="00860F8E" w:rsidP="005D646B">
            <w:pPr>
              <w:pStyle w:val="TableText"/>
            </w:pPr>
            <w:r w:rsidRPr="00053FD1">
              <w:t>5</w:t>
            </w:r>
          </w:p>
        </w:tc>
        <w:tc>
          <w:tcPr>
            <w:tcW w:w="365" w:type="pct"/>
          </w:tcPr>
          <w:p w14:paraId="267F1E43" w14:textId="77777777" w:rsidR="00860F8E" w:rsidRPr="00053FD1" w:rsidRDefault="00860F8E" w:rsidP="005D646B">
            <w:pPr>
              <w:pStyle w:val="TableText"/>
            </w:pPr>
            <w:r w:rsidRPr="00053FD1">
              <w:t>1</w:t>
            </w:r>
          </w:p>
        </w:tc>
        <w:tc>
          <w:tcPr>
            <w:tcW w:w="355" w:type="pct"/>
          </w:tcPr>
          <w:p w14:paraId="75B8C7B4" w14:textId="77777777" w:rsidR="00860F8E" w:rsidRPr="00053FD1" w:rsidRDefault="00860F8E" w:rsidP="005D646B">
            <w:pPr>
              <w:pStyle w:val="TableText"/>
            </w:pPr>
            <w:r w:rsidRPr="00053FD1">
              <w:t>1</w:t>
            </w:r>
          </w:p>
        </w:tc>
        <w:tc>
          <w:tcPr>
            <w:tcW w:w="359" w:type="pct"/>
          </w:tcPr>
          <w:p w14:paraId="4CD23CA6" w14:textId="77777777" w:rsidR="00860F8E" w:rsidRPr="00053FD1" w:rsidRDefault="00860F8E" w:rsidP="005D646B">
            <w:pPr>
              <w:pStyle w:val="TableText"/>
            </w:pPr>
            <w:r w:rsidRPr="00053FD1">
              <w:t>1</w:t>
            </w:r>
          </w:p>
        </w:tc>
        <w:tc>
          <w:tcPr>
            <w:tcW w:w="355" w:type="pct"/>
          </w:tcPr>
          <w:p w14:paraId="386D9AAD" w14:textId="77777777" w:rsidR="00860F8E" w:rsidRPr="00053FD1" w:rsidRDefault="00860F8E" w:rsidP="005D646B">
            <w:pPr>
              <w:pStyle w:val="TableText"/>
            </w:pPr>
            <w:r w:rsidRPr="00053FD1">
              <w:t>1</w:t>
            </w:r>
          </w:p>
        </w:tc>
        <w:tc>
          <w:tcPr>
            <w:tcW w:w="429" w:type="pct"/>
          </w:tcPr>
          <w:p w14:paraId="5FD3A7AD" w14:textId="77777777" w:rsidR="00860F8E" w:rsidRPr="00053FD1" w:rsidRDefault="00860F8E" w:rsidP="005D646B">
            <w:pPr>
              <w:pStyle w:val="TableText"/>
            </w:pPr>
            <w:r w:rsidRPr="00053FD1">
              <w:t>_</w:t>
            </w:r>
          </w:p>
        </w:tc>
        <w:tc>
          <w:tcPr>
            <w:tcW w:w="358" w:type="pct"/>
          </w:tcPr>
          <w:p w14:paraId="55D486F7" w14:textId="77777777" w:rsidR="00860F8E" w:rsidRPr="00053FD1" w:rsidRDefault="00860F8E" w:rsidP="005D646B">
            <w:pPr>
              <w:pStyle w:val="TableText"/>
            </w:pPr>
            <w:r w:rsidRPr="00053FD1">
              <w:t>1</w:t>
            </w:r>
          </w:p>
        </w:tc>
        <w:tc>
          <w:tcPr>
            <w:tcW w:w="431" w:type="pct"/>
          </w:tcPr>
          <w:p w14:paraId="554A99E1" w14:textId="77777777" w:rsidR="00860F8E" w:rsidRPr="00053FD1" w:rsidRDefault="00860F8E" w:rsidP="005D646B">
            <w:pPr>
              <w:pStyle w:val="TableText"/>
            </w:pPr>
            <w:r w:rsidRPr="00053FD1">
              <w:t>3</w:t>
            </w:r>
          </w:p>
        </w:tc>
        <w:tc>
          <w:tcPr>
            <w:tcW w:w="356" w:type="pct"/>
          </w:tcPr>
          <w:p w14:paraId="29FE3903" w14:textId="77777777" w:rsidR="00860F8E" w:rsidRPr="00053FD1" w:rsidRDefault="00860F8E" w:rsidP="005D646B">
            <w:pPr>
              <w:pStyle w:val="TableText"/>
            </w:pPr>
            <w:r w:rsidRPr="00053FD1">
              <w:t>_</w:t>
            </w:r>
          </w:p>
        </w:tc>
        <w:tc>
          <w:tcPr>
            <w:tcW w:w="341" w:type="pct"/>
          </w:tcPr>
          <w:p w14:paraId="18DDEDA0" w14:textId="77777777" w:rsidR="00860F8E" w:rsidRPr="00053FD1" w:rsidRDefault="00860F8E" w:rsidP="005D646B">
            <w:pPr>
              <w:pStyle w:val="TableText"/>
            </w:pPr>
            <w:r w:rsidRPr="00053FD1">
              <w:t>_</w:t>
            </w:r>
          </w:p>
        </w:tc>
      </w:tr>
      <w:tr w:rsidR="00860F8E" w:rsidRPr="00053FD1" w14:paraId="54B913E9" w14:textId="77777777" w:rsidTr="00E849B5">
        <w:tc>
          <w:tcPr>
            <w:tcW w:w="1298" w:type="pct"/>
          </w:tcPr>
          <w:p w14:paraId="1D98AE60" w14:textId="77777777" w:rsidR="00860F8E" w:rsidRPr="004E257D" w:rsidRDefault="00860F8E" w:rsidP="005D646B">
            <w:pPr>
              <w:pStyle w:val="TableText"/>
            </w:pPr>
            <w:r w:rsidRPr="004E257D">
              <w:t xml:space="preserve">Total </w:t>
            </w:r>
          </w:p>
        </w:tc>
        <w:tc>
          <w:tcPr>
            <w:tcW w:w="353" w:type="pct"/>
          </w:tcPr>
          <w:p w14:paraId="05664E4E" w14:textId="77777777" w:rsidR="00860F8E" w:rsidRPr="004E257D" w:rsidRDefault="00860F8E" w:rsidP="005D646B">
            <w:pPr>
              <w:pStyle w:val="TableText"/>
            </w:pPr>
            <w:r w:rsidRPr="004E257D">
              <w:t>5</w:t>
            </w:r>
          </w:p>
        </w:tc>
        <w:tc>
          <w:tcPr>
            <w:tcW w:w="365" w:type="pct"/>
          </w:tcPr>
          <w:p w14:paraId="40D6A701" w14:textId="77777777" w:rsidR="00860F8E" w:rsidRPr="004E257D" w:rsidRDefault="00860F8E" w:rsidP="005D646B">
            <w:pPr>
              <w:pStyle w:val="TableText"/>
            </w:pPr>
            <w:r w:rsidRPr="004E257D">
              <w:t>1</w:t>
            </w:r>
          </w:p>
        </w:tc>
        <w:tc>
          <w:tcPr>
            <w:tcW w:w="355" w:type="pct"/>
          </w:tcPr>
          <w:p w14:paraId="05D1B2B3" w14:textId="77777777" w:rsidR="00860F8E" w:rsidRPr="004E257D" w:rsidRDefault="00860F8E" w:rsidP="005D646B">
            <w:pPr>
              <w:pStyle w:val="TableText"/>
            </w:pPr>
            <w:r w:rsidRPr="004E257D">
              <w:t>4</w:t>
            </w:r>
          </w:p>
        </w:tc>
        <w:tc>
          <w:tcPr>
            <w:tcW w:w="359" w:type="pct"/>
          </w:tcPr>
          <w:p w14:paraId="58C12EA1" w14:textId="77777777" w:rsidR="00860F8E" w:rsidRPr="004E257D" w:rsidRDefault="00860F8E" w:rsidP="005D646B">
            <w:pPr>
              <w:pStyle w:val="TableText"/>
            </w:pPr>
            <w:r w:rsidRPr="004E257D">
              <w:t>1</w:t>
            </w:r>
          </w:p>
        </w:tc>
        <w:tc>
          <w:tcPr>
            <w:tcW w:w="355" w:type="pct"/>
          </w:tcPr>
          <w:p w14:paraId="0626B9C6" w14:textId="77777777" w:rsidR="00860F8E" w:rsidRPr="004E257D" w:rsidRDefault="00860F8E" w:rsidP="005D646B">
            <w:pPr>
              <w:pStyle w:val="TableText"/>
            </w:pPr>
            <w:r w:rsidRPr="004E257D">
              <w:t>1</w:t>
            </w:r>
          </w:p>
        </w:tc>
        <w:tc>
          <w:tcPr>
            <w:tcW w:w="429" w:type="pct"/>
          </w:tcPr>
          <w:p w14:paraId="16B187E5" w14:textId="77777777" w:rsidR="00860F8E" w:rsidRPr="004E257D" w:rsidRDefault="00860F8E" w:rsidP="005D646B">
            <w:pPr>
              <w:pStyle w:val="TableText"/>
            </w:pPr>
            <w:r w:rsidRPr="004E257D">
              <w:t>_</w:t>
            </w:r>
          </w:p>
        </w:tc>
        <w:tc>
          <w:tcPr>
            <w:tcW w:w="358" w:type="pct"/>
          </w:tcPr>
          <w:p w14:paraId="33B7210D" w14:textId="77777777" w:rsidR="00860F8E" w:rsidRPr="004E257D" w:rsidRDefault="00860F8E" w:rsidP="005D646B">
            <w:pPr>
              <w:pStyle w:val="TableText"/>
            </w:pPr>
            <w:r w:rsidRPr="004E257D">
              <w:t>1</w:t>
            </w:r>
          </w:p>
        </w:tc>
        <w:tc>
          <w:tcPr>
            <w:tcW w:w="431" w:type="pct"/>
          </w:tcPr>
          <w:p w14:paraId="137BC6CB" w14:textId="77777777" w:rsidR="00860F8E" w:rsidRPr="004E257D" w:rsidRDefault="00860F8E" w:rsidP="005D646B">
            <w:pPr>
              <w:pStyle w:val="TableText"/>
            </w:pPr>
            <w:r w:rsidRPr="004E257D">
              <w:t>3</w:t>
            </w:r>
          </w:p>
        </w:tc>
        <w:tc>
          <w:tcPr>
            <w:tcW w:w="356" w:type="pct"/>
          </w:tcPr>
          <w:p w14:paraId="0E860FC6" w14:textId="77777777" w:rsidR="00860F8E" w:rsidRPr="004E257D" w:rsidRDefault="00860F8E" w:rsidP="005D646B">
            <w:pPr>
              <w:pStyle w:val="TableText"/>
            </w:pPr>
            <w:r w:rsidRPr="004E257D">
              <w:t>_</w:t>
            </w:r>
          </w:p>
        </w:tc>
        <w:tc>
          <w:tcPr>
            <w:tcW w:w="341" w:type="pct"/>
          </w:tcPr>
          <w:p w14:paraId="4817D0FB" w14:textId="77777777" w:rsidR="00860F8E" w:rsidRPr="004E257D" w:rsidRDefault="00860F8E" w:rsidP="005D646B">
            <w:pPr>
              <w:pStyle w:val="TableText"/>
            </w:pPr>
            <w:r w:rsidRPr="004E257D">
              <w:t>1</w:t>
            </w:r>
          </w:p>
        </w:tc>
      </w:tr>
      <w:tr w:rsidR="00860F8E" w:rsidRPr="00053FD1" w14:paraId="6813A3C7" w14:textId="77777777" w:rsidTr="00E849B5">
        <w:tc>
          <w:tcPr>
            <w:tcW w:w="5000" w:type="pct"/>
            <w:gridSpan w:val="11"/>
            <w:shd w:val="clear" w:color="auto" w:fill="D9D9D9"/>
          </w:tcPr>
          <w:p w14:paraId="5B3DAC9B" w14:textId="77777777" w:rsidR="00860F8E" w:rsidRPr="00572E09" w:rsidRDefault="00860F8E" w:rsidP="005D646B">
            <w:pPr>
              <w:pStyle w:val="TableText"/>
            </w:pPr>
            <w:r w:rsidRPr="00572E09">
              <w:t>Matters dealt with</w:t>
            </w:r>
          </w:p>
        </w:tc>
      </w:tr>
      <w:tr w:rsidR="00860F8E" w:rsidRPr="00053FD1" w14:paraId="2F299BA6" w14:textId="77777777" w:rsidTr="00E849B5">
        <w:tc>
          <w:tcPr>
            <w:tcW w:w="1298" w:type="pct"/>
          </w:tcPr>
          <w:p w14:paraId="547EF198" w14:textId="77777777" w:rsidR="00860F8E" w:rsidRPr="00053FD1" w:rsidRDefault="00860F8E" w:rsidP="005D646B">
            <w:pPr>
              <w:pStyle w:val="TableText"/>
            </w:pPr>
            <w:r w:rsidRPr="00053FD1">
              <w:t>Applications granted</w:t>
            </w:r>
          </w:p>
        </w:tc>
        <w:tc>
          <w:tcPr>
            <w:tcW w:w="353" w:type="pct"/>
          </w:tcPr>
          <w:p w14:paraId="25072811" w14:textId="77777777" w:rsidR="00860F8E" w:rsidRPr="00053FD1" w:rsidRDefault="00860F8E" w:rsidP="005D646B">
            <w:pPr>
              <w:pStyle w:val="TableText"/>
            </w:pPr>
            <w:r w:rsidRPr="00053FD1">
              <w:t>_</w:t>
            </w:r>
          </w:p>
        </w:tc>
        <w:tc>
          <w:tcPr>
            <w:tcW w:w="365" w:type="pct"/>
          </w:tcPr>
          <w:p w14:paraId="1E98D178" w14:textId="77777777" w:rsidR="00860F8E" w:rsidRPr="00053FD1" w:rsidRDefault="00860F8E" w:rsidP="005D646B">
            <w:pPr>
              <w:pStyle w:val="TableText"/>
            </w:pPr>
            <w:r w:rsidRPr="00053FD1">
              <w:t>_</w:t>
            </w:r>
          </w:p>
        </w:tc>
        <w:tc>
          <w:tcPr>
            <w:tcW w:w="355" w:type="pct"/>
          </w:tcPr>
          <w:p w14:paraId="67A8B265" w14:textId="77777777" w:rsidR="00860F8E" w:rsidRPr="00053FD1" w:rsidRDefault="00860F8E" w:rsidP="005D646B">
            <w:pPr>
              <w:pStyle w:val="TableText"/>
            </w:pPr>
            <w:r w:rsidRPr="00053FD1">
              <w:t>2</w:t>
            </w:r>
          </w:p>
        </w:tc>
        <w:tc>
          <w:tcPr>
            <w:tcW w:w="359" w:type="pct"/>
          </w:tcPr>
          <w:p w14:paraId="4DD0C9AC" w14:textId="77777777" w:rsidR="00860F8E" w:rsidRPr="00053FD1" w:rsidRDefault="00860F8E" w:rsidP="005D646B">
            <w:pPr>
              <w:pStyle w:val="TableText"/>
            </w:pPr>
            <w:r w:rsidRPr="00053FD1">
              <w:t>1</w:t>
            </w:r>
          </w:p>
        </w:tc>
        <w:tc>
          <w:tcPr>
            <w:tcW w:w="355" w:type="pct"/>
          </w:tcPr>
          <w:p w14:paraId="5DD5A46C" w14:textId="77777777" w:rsidR="00860F8E" w:rsidRPr="00053FD1" w:rsidRDefault="00860F8E" w:rsidP="005D646B">
            <w:pPr>
              <w:pStyle w:val="TableText"/>
            </w:pPr>
            <w:r w:rsidRPr="00053FD1">
              <w:t>_</w:t>
            </w:r>
          </w:p>
        </w:tc>
        <w:tc>
          <w:tcPr>
            <w:tcW w:w="429" w:type="pct"/>
          </w:tcPr>
          <w:p w14:paraId="6811B460" w14:textId="77777777" w:rsidR="00860F8E" w:rsidRPr="00053FD1" w:rsidRDefault="00860F8E" w:rsidP="005D646B">
            <w:pPr>
              <w:pStyle w:val="TableText"/>
            </w:pPr>
            <w:r w:rsidRPr="00053FD1">
              <w:t>_</w:t>
            </w:r>
          </w:p>
        </w:tc>
        <w:tc>
          <w:tcPr>
            <w:tcW w:w="358" w:type="pct"/>
          </w:tcPr>
          <w:p w14:paraId="0A41AB5C" w14:textId="77777777" w:rsidR="00860F8E" w:rsidRPr="00053FD1" w:rsidRDefault="00860F8E" w:rsidP="005D646B">
            <w:pPr>
              <w:pStyle w:val="TableText"/>
            </w:pPr>
            <w:r w:rsidRPr="00053FD1">
              <w:t>_</w:t>
            </w:r>
          </w:p>
        </w:tc>
        <w:tc>
          <w:tcPr>
            <w:tcW w:w="431" w:type="pct"/>
          </w:tcPr>
          <w:p w14:paraId="14578BCB" w14:textId="77777777" w:rsidR="00860F8E" w:rsidRPr="00053FD1" w:rsidRDefault="00860F8E" w:rsidP="005D646B">
            <w:pPr>
              <w:pStyle w:val="TableText"/>
            </w:pPr>
            <w:r w:rsidRPr="00053FD1">
              <w:t>1</w:t>
            </w:r>
          </w:p>
        </w:tc>
        <w:tc>
          <w:tcPr>
            <w:tcW w:w="356" w:type="pct"/>
          </w:tcPr>
          <w:p w14:paraId="7D9A9407" w14:textId="77777777" w:rsidR="00860F8E" w:rsidRPr="00053FD1" w:rsidRDefault="00860F8E" w:rsidP="005D646B">
            <w:pPr>
              <w:pStyle w:val="TableText"/>
            </w:pPr>
            <w:r w:rsidRPr="00053FD1">
              <w:t>_</w:t>
            </w:r>
          </w:p>
        </w:tc>
        <w:tc>
          <w:tcPr>
            <w:tcW w:w="341" w:type="pct"/>
          </w:tcPr>
          <w:p w14:paraId="2E2DD3F8" w14:textId="77777777" w:rsidR="00860F8E" w:rsidRPr="00053FD1" w:rsidRDefault="00860F8E" w:rsidP="005D646B">
            <w:pPr>
              <w:pStyle w:val="TableText"/>
            </w:pPr>
            <w:r w:rsidRPr="00053FD1">
              <w:t>1</w:t>
            </w:r>
          </w:p>
        </w:tc>
      </w:tr>
      <w:tr w:rsidR="00860F8E" w:rsidRPr="00053FD1" w14:paraId="5028CCAA" w14:textId="77777777" w:rsidTr="00E849B5">
        <w:tc>
          <w:tcPr>
            <w:tcW w:w="1298" w:type="pct"/>
          </w:tcPr>
          <w:p w14:paraId="6A44FEE0" w14:textId="77777777" w:rsidR="00860F8E" w:rsidRPr="00053FD1" w:rsidRDefault="00860F8E" w:rsidP="005D646B">
            <w:pPr>
              <w:pStyle w:val="TableText"/>
            </w:pPr>
            <w:r w:rsidRPr="00053FD1">
              <w:t xml:space="preserve">Matters dismissed </w:t>
            </w:r>
          </w:p>
        </w:tc>
        <w:tc>
          <w:tcPr>
            <w:tcW w:w="353" w:type="pct"/>
          </w:tcPr>
          <w:p w14:paraId="73F2D3D4" w14:textId="77777777" w:rsidR="00860F8E" w:rsidRPr="00053FD1" w:rsidRDefault="00860F8E" w:rsidP="005D646B">
            <w:pPr>
              <w:pStyle w:val="TableText"/>
            </w:pPr>
            <w:r w:rsidRPr="00053FD1">
              <w:t>2</w:t>
            </w:r>
          </w:p>
        </w:tc>
        <w:tc>
          <w:tcPr>
            <w:tcW w:w="365" w:type="pct"/>
          </w:tcPr>
          <w:p w14:paraId="45B560E7" w14:textId="77777777" w:rsidR="00860F8E" w:rsidRPr="00053FD1" w:rsidRDefault="00860F8E" w:rsidP="005D646B">
            <w:pPr>
              <w:pStyle w:val="TableText"/>
            </w:pPr>
            <w:r w:rsidRPr="00053FD1">
              <w:t>_</w:t>
            </w:r>
          </w:p>
        </w:tc>
        <w:tc>
          <w:tcPr>
            <w:tcW w:w="355" w:type="pct"/>
          </w:tcPr>
          <w:p w14:paraId="5A53658B" w14:textId="77777777" w:rsidR="00860F8E" w:rsidRPr="00053FD1" w:rsidRDefault="00860F8E" w:rsidP="005D646B">
            <w:pPr>
              <w:pStyle w:val="TableText"/>
            </w:pPr>
            <w:r w:rsidRPr="00053FD1">
              <w:t>1</w:t>
            </w:r>
          </w:p>
        </w:tc>
        <w:tc>
          <w:tcPr>
            <w:tcW w:w="359" w:type="pct"/>
          </w:tcPr>
          <w:p w14:paraId="4C6B675A" w14:textId="77777777" w:rsidR="00860F8E" w:rsidRPr="00053FD1" w:rsidRDefault="00860F8E" w:rsidP="005D646B">
            <w:pPr>
              <w:pStyle w:val="TableText"/>
            </w:pPr>
            <w:r w:rsidRPr="00053FD1">
              <w:t>_</w:t>
            </w:r>
          </w:p>
        </w:tc>
        <w:tc>
          <w:tcPr>
            <w:tcW w:w="355" w:type="pct"/>
          </w:tcPr>
          <w:p w14:paraId="4F68CA13" w14:textId="77777777" w:rsidR="00860F8E" w:rsidRPr="00053FD1" w:rsidRDefault="00860F8E" w:rsidP="005D646B">
            <w:pPr>
              <w:pStyle w:val="TableText"/>
            </w:pPr>
            <w:r w:rsidRPr="00053FD1">
              <w:t>_</w:t>
            </w:r>
          </w:p>
        </w:tc>
        <w:tc>
          <w:tcPr>
            <w:tcW w:w="429" w:type="pct"/>
          </w:tcPr>
          <w:p w14:paraId="021D27B4" w14:textId="77777777" w:rsidR="00860F8E" w:rsidRPr="00053FD1" w:rsidRDefault="00860F8E" w:rsidP="005D646B">
            <w:pPr>
              <w:pStyle w:val="TableText"/>
            </w:pPr>
            <w:r w:rsidRPr="00053FD1">
              <w:t>_</w:t>
            </w:r>
          </w:p>
        </w:tc>
        <w:tc>
          <w:tcPr>
            <w:tcW w:w="358" w:type="pct"/>
          </w:tcPr>
          <w:p w14:paraId="3388CDFA" w14:textId="77777777" w:rsidR="00860F8E" w:rsidRPr="00053FD1" w:rsidRDefault="00860F8E" w:rsidP="005D646B">
            <w:pPr>
              <w:pStyle w:val="TableText"/>
            </w:pPr>
            <w:r w:rsidRPr="00053FD1">
              <w:t>_</w:t>
            </w:r>
          </w:p>
        </w:tc>
        <w:tc>
          <w:tcPr>
            <w:tcW w:w="431" w:type="pct"/>
          </w:tcPr>
          <w:p w14:paraId="2252C265" w14:textId="77777777" w:rsidR="00860F8E" w:rsidRPr="00053FD1" w:rsidRDefault="00860F8E" w:rsidP="005D646B">
            <w:pPr>
              <w:pStyle w:val="TableText"/>
            </w:pPr>
            <w:r w:rsidRPr="00053FD1">
              <w:t>_</w:t>
            </w:r>
          </w:p>
        </w:tc>
        <w:tc>
          <w:tcPr>
            <w:tcW w:w="356" w:type="pct"/>
          </w:tcPr>
          <w:p w14:paraId="5BF86D9D" w14:textId="77777777" w:rsidR="00860F8E" w:rsidRPr="00053FD1" w:rsidRDefault="00860F8E" w:rsidP="005D646B">
            <w:pPr>
              <w:pStyle w:val="TableText"/>
            </w:pPr>
            <w:r w:rsidRPr="00053FD1">
              <w:t>_</w:t>
            </w:r>
          </w:p>
        </w:tc>
        <w:tc>
          <w:tcPr>
            <w:tcW w:w="341" w:type="pct"/>
          </w:tcPr>
          <w:p w14:paraId="64920077" w14:textId="77777777" w:rsidR="00860F8E" w:rsidRPr="00053FD1" w:rsidRDefault="00860F8E" w:rsidP="005D646B">
            <w:pPr>
              <w:pStyle w:val="TableText"/>
            </w:pPr>
            <w:r w:rsidRPr="00053FD1">
              <w:t>_</w:t>
            </w:r>
          </w:p>
        </w:tc>
      </w:tr>
      <w:tr w:rsidR="00860F8E" w:rsidRPr="00053FD1" w14:paraId="3E010E10" w14:textId="77777777" w:rsidTr="00E849B5">
        <w:tc>
          <w:tcPr>
            <w:tcW w:w="1298" w:type="pct"/>
          </w:tcPr>
          <w:p w14:paraId="48408421" w14:textId="77777777" w:rsidR="00860F8E" w:rsidRPr="004E257D" w:rsidRDefault="00860F8E" w:rsidP="005D646B">
            <w:pPr>
              <w:pStyle w:val="TableText"/>
            </w:pPr>
            <w:r w:rsidRPr="004E257D">
              <w:t xml:space="preserve">Total </w:t>
            </w:r>
          </w:p>
        </w:tc>
        <w:tc>
          <w:tcPr>
            <w:tcW w:w="353" w:type="pct"/>
          </w:tcPr>
          <w:p w14:paraId="6E19AED1" w14:textId="77777777" w:rsidR="00860F8E" w:rsidRPr="004E257D" w:rsidRDefault="00860F8E" w:rsidP="005D646B">
            <w:pPr>
              <w:pStyle w:val="TableText"/>
            </w:pPr>
            <w:r w:rsidRPr="004E257D">
              <w:t>2</w:t>
            </w:r>
          </w:p>
        </w:tc>
        <w:tc>
          <w:tcPr>
            <w:tcW w:w="365" w:type="pct"/>
          </w:tcPr>
          <w:p w14:paraId="6A54770B" w14:textId="77777777" w:rsidR="00860F8E" w:rsidRPr="004E257D" w:rsidRDefault="00860F8E" w:rsidP="005D646B">
            <w:pPr>
              <w:pStyle w:val="TableText"/>
            </w:pPr>
            <w:r w:rsidRPr="004E257D">
              <w:t>_</w:t>
            </w:r>
          </w:p>
        </w:tc>
        <w:tc>
          <w:tcPr>
            <w:tcW w:w="355" w:type="pct"/>
          </w:tcPr>
          <w:p w14:paraId="4567C939" w14:textId="77777777" w:rsidR="00860F8E" w:rsidRPr="004E257D" w:rsidRDefault="00860F8E" w:rsidP="005D646B">
            <w:pPr>
              <w:pStyle w:val="TableText"/>
            </w:pPr>
            <w:r w:rsidRPr="004E257D">
              <w:t>3</w:t>
            </w:r>
          </w:p>
        </w:tc>
        <w:tc>
          <w:tcPr>
            <w:tcW w:w="359" w:type="pct"/>
          </w:tcPr>
          <w:p w14:paraId="399F5C96" w14:textId="77777777" w:rsidR="00860F8E" w:rsidRPr="004E257D" w:rsidRDefault="00860F8E" w:rsidP="005D646B">
            <w:pPr>
              <w:pStyle w:val="TableText"/>
            </w:pPr>
            <w:r w:rsidRPr="004E257D">
              <w:t>1</w:t>
            </w:r>
          </w:p>
        </w:tc>
        <w:tc>
          <w:tcPr>
            <w:tcW w:w="355" w:type="pct"/>
          </w:tcPr>
          <w:p w14:paraId="31AFA7E8" w14:textId="77777777" w:rsidR="00860F8E" w:rsidRPr="004E257D" w:rsidRDefault="00860F8E" w:rsidP="005D646B">
            <w:pPr>
              <w:pStyle w:val="TableText"/>
            </w:pPr>
            <w:r w:rsidRPr="004E257D">
              <w:t>_</w:t>
            </w:r>
          </w:p>
        </w:tc>
        <w:tc>
          <w:tcPr>
            <w:tcW w:w="429" w:type="pct"/>
          </w:tcPr>
          <w:p w14:paraId="3AC938B6" w14:textId="77777777" w:rsidR="00860F8E" w:rsidRPr="004E257D" w:rsidRDefault="00860F8E" w:rsidP="005D646B">
            <w:pPr>
              <w:pStyle w:val="TableText"/>
            </w:pPr>
            <w:r w:rsidRPr="004E257D">
              <w:t>_</w:t>
            </w:r>
          </w:p>
        </w:tc>
        <w:tc>
          <w:tcPr>
            <w:tcW w:w="358" w:type="pct"/>
          </w:tcPr>
          <w:p w14:paraId="54917841" w14:textId="77777777" w:rsidR="00860F8E" w:rsidRPr="004E257D" w:rsidRDefault="00860F8E" w:rsidP="005D646B">
            <w:pPr>
              <w:pStyle w:val="TableText"/>
            </w:pPr>
            <w:r w:rsidRPr="004E257D">
              <w:t>_</w:t>
            </w:r>
          </w:p>
        </w:tc>
        <w:tc>
          <w:tcPr>
            <w:tcW w:w="431" w:type="pct"/>
          </w:tcPr>
          <w:p w14:paraId="6BBF4328" w14:textId="77777777" w:rsidR="00860F8E" w:rsidRPr="004E257D" w:rsidRDefault="00860F8E" w:rsidP="005D646B">
            <w:pPr>
              <w:pStyle w:val="TableText"/>
            </w:pPr>
            <w:r w:rsidRPr="004E257D">
              <w:t>1</w:t>
            </w:r>
          </w:p>
        </w:tc>
        <w:tc>
          <w:tcPr>
            <w:tcW w:w="356" w:type="pct"/>
          </w:tcPr>
          <w:p w14:paraId="238044CD" w14:textId="77777777" w:rsidR="00860F8E" w:rsidRPr="004E257D" w:rsidRDefault="00860F8E" w:rsidP="005D646B">
            <w:pPr>
              <w:pStyle w:val="TableText"/>
            </w:pPr>
            <w:r w:rsidRPr="004E257D">
              <w:t>_</w:t>
            </w:r>
          </w:p>
        </w:tc>
        <w:tc>
          <w:tcPr>
            <w:tcW w:w="341" w:type="pct"/>
          </w:tcPr>
          <w:p w14:paraId="0ADC3C46" w14:textId="77777777" w:rsidR="00860F8E" w:rsidRPr="004E257D" w:rsidRDefault="00860F8E" w:rsidP="005D646B">
            <w:pPr>
              <w:pStyle w:val="TableText"/>
            </w:pPr>
            <w:r w:rsidRPr="004E257D">
              <w:t>1</w:t>
            </w:r>
          </w:p>
        </w:tc>
      </w:tr>
      <w:tr w:rsidR="00860F8E" w:rsidRPr="00053FD1" w14:paraId="1D671FFF" w14:textId="77777777" w:rsidTr="00E849B5">
        <w:tc>
          <w:tcPr>
            <w:tcW w:w="5000" w:type="pct"/>
            <w:gridSpan w:val="11"/>
            <w:shd w:val="clear" w:color="auto" w:fill="D9D9D9"/>
          </w:tcPr>
          <w:p w14:paraId="49856456" w14:textId="77777777" w:rsidR="00860F8E" w:rsidRPr="00572E09" w:rsidRDefault="00860F8E" w:rsidP="005D646B">
            <w:pPr>
              <w:pStyle w:val="TableText"/>
            </w:pPr>
            <w:r w:rsidRPr="00572E09">
              <w:t>Other matters</w:t>
            </w:r>
          </w:p>
        </w:tc>
      </w:tr>
      <w:tr w:rsidR="00860F8E" w:rsidRPr="00053FD1" w14:paraId="617462C1" w14:textId="77777777" w:rsidTr="00E849B5">
        <w:tc>
          <w:tcPr>
            <w:tcW w:w="1298" w:type="pct"/>
          </w:tcPr>
          <w:p w14:paraId="18432A91" w14:textId="77777777" w:rsidR="00860F8E" w:rsidRPr="00053FD1" w:rsidRDefault="00860F8E" w:rsidP="005D646B">
            <w:pPr>
              <w:pStyle w:val="TableText"/>
            </w:pPr>
            <w:r w:rsidRPr="00053FD1">
              <w:t xml:space="preserve">Proceedings discontinued </w:t>
            </w:r>
          </w:p>
        </w:tc>
        <w:tc>
          <w:tcPr>
            <w:tcW w:w="353" w:type="pct"/>
          </w:tcPr>
          <w:p w14:paraId="63C4C79A" w14:textId="77777777" w:rsidR="00860F8E" w:rsidRPr="00053FD1" w:rsidRDefault="00860F8E" w:rsidP="005D646B">
            <w:pPr>
              <w:pStyle w:val="TableText"/>
            </w:pPr>
            <w:r w:rsidRPr="00053FD1">
              <w:t>1</w:t>
            </w:r>
          </w:p>
        </w:tc>
        <w:tc>
          <w:tcPr>
            <w:tcW w:w="365" w:type="pct"/>
          </w:tcPr>
          <w:p w14:paraId="0F2A515D" w14:textId="77777777" w:rsidR="00860F8E" w:rsidRPr="00053FD1" w:rsidRDefault="00860F8E" w:rsidP="005D646B">
            <w:pPr>
              <w:pStyle w:val="TableText"/>
            </w:pPr>
            <w:r w:rsidRPr="00053FD1">
              <w:t>_</w:t>
            </w:r>
          </w:p>
        </w:tc>
        <w:tc>
          <w:tcPr>
            <w:tcW w:w="355" w:type="pct"/>
          </w:tcPr>
          <w:p w14:paraId="65801E45" w14:textId="77777777" w:rsidR="00860F8E" w:rsidRPr="00053FD1" w:rsidRDefault="00860F8E" w:rsidP="005D646B">
            <w:pPr>
              <w:pStyle w:val="TableText"/>
            </w:pPr>
            <w:r w:rsidRPr="00053FD1">
              <w:t>1</w:t>
            </w:r>
          </w:p>
        </w:tc>
        <w:tc>
          <w:tcPr>
            <w:tcW w:w="359" w:type="pct"/>
          </w:tcPr>
          <w:p w14:paraId="7F1633D3" w14:textId="77777777" w:rsidR="00860F8E" w:rsidRPr="00053FD1" w:rsidRDefault="00860F8E" w:rsidP="005D646B">
            <w:pPr>
              <w:pStyle w:val="TableText"/>
            </w:pPr>
            <w:r w:rsidRPr="00053FD1">
              <w:t>_</w:t>
            </w:r>
          </w:p>
        </w:tc>
        <w:tc>
          <w:tcPr>
            <w:tcW w:w="355" w:type="pct"/>
          </w:tcPr>
          <w:p w14:paraId="11CF2209" w14:textId="77777777" w:rsidR="00860F8E" w:rsidRPr="00053FD1" w:rsidRDefault="00860F8E" w:rsidP="005D646B">
            <w:pPr>
              <w:pStyle w:val="TableText"/>
            </w:pPr>
            <w:r w:rsidRPr="00053FD1">
              <w:t>1</w:t>
            </w:r>
          </w:p>
        </w:tc>
        <w:tc>
          <w:tcPr>
            <w:tcW w:w="429" w:type="pct"/>
          </w:tcPr>
          <w:p w14:paraId="52597AD3" w14:textId="77777777" w:rsidR="00860F8E" w:rsidRPr="00053FD1" w:rsidRDefault="00860F8E" w:rsidP="005D646B">
            <w:pPr>
              <w:pStyle w:val="TableText"/>
            </w:pPr>
            <w:r w:rsidRPr="00053FD1">
              <w:t>_</w:t>
            </w:r>
          </w:p>
        </w:tc>
        <w:tc>
          <w:tcPr>
            <w:tcW w:w="358" w:type="pct"/>
          </w:tcPr>
          <w:p w14:paraId="4DC9DC66" w14:textId="77777777" w:rsidR="00860F8E" w:rsidRPr="00053FD1" w:rsidRDefault="00860F8E" w:rsidP="005D646B">
            <w:pPr>
              <w:pStyle w:val="TableText"/>
            </w:pPr>
            <w:r w:rsidRPr="00053FD1">
              <w:t>1</w:t>
            </w:r>
          </w:p>
        </w:tc>
        <w:tc>
          <w:tcPr>
            <w:tcW w:w="431" w:type="pct"/>
          </w:tcPr>
          <w:p w14:paraId="54191689" w14:textId="77777777" w:rsidR="00860F8E" w:rsidRPr="00053FD1" w:rsidRDefault="00860F8E" w:rsidP="005D646B">
            <w:pPr>
              <w:pStyle w:val="TableText"/>
            </w:pPr>
            <w:r w:rsidRPr="00053FD1">
              <w:t>1</w:t>
            </w:r>
          </w:p>
        </w:tc>
        <w:tc>
          <w:tcPr>
            <w:tcW w:w="356" w:type="pct"/>
          </w:tcPr>
          <w:p w14:paraId="61826BAC" w14:textId="77777777" w:rsidR="00860F8E" w:rsidRPr="00053FD1" w:rsidRDefault="00860F8E" w:rsidP="005D646B">
            <w:pPr>
              <w:pStyle w:val="TableText"/>
            </w:pPr>
            <w:r w:rsidRPr="00053FD1">
              <w:t>_</w:t>
            </w:r>
          </w:p>
        </w:tc>
        <w:tc>
          <w:tcPr>
            <w:tcW w:w="341" w:type="pct"/>
          </w:tcPr>
          <w:p w14:paraId="63698085" w14:textId="77777777" w:rsidR="00860F8E" w:rsidRPr="00053FD1" w:rsidRDefault="00860F8E" w:rsidP="005D646B">
            <w:pPr>
              <w:pStyle w:val="TableText"/>
            </w:pPr>
            <w:r w:rsidRPr="00053FD1">
              <w:t>_</w:t>
            </w:r>
          </w:p>
        </w:tc>
      </w:tr>
      <w:tr w:rsidR="00860F8E" w:rsidRPr="00053FD1" w14:paraId="3EC07496" w14:textId="77777777" w:rsidTr="00E849B5">
        <w:tc>
          <w:tcPr>
            <w:tcW w:w="1298" w:type="pct"/>
          </w:tcPr>
          <w:p w14:paraId="48FD6A4B" w14:textId="77777777" w:rsidR="00860F8E" w:rsidRPr="00053FD1" w:rsidRDefault="00860F8E" w:rsidP="005D646B">
            <w:pPr>
              <w:pStyle w:val="TableText"/>
            </w:pPr>
            <w:r w:rsidRPr="00053FD1">
              <w:t>Applications on hand at 30 June</w:t>
            </w:r>
          </w:p>
        </w:tc>
        <w:tc>
          <w:tcPr>
            <w:tcW w:w="353" w:type="pct"/>
          </w:tcPr>
          <w:p w14:paraId="3CE39377" w14:textId="77777777" w:rsidR="00860F8E" w:rsidRPr="00053FD1" w:rsidRDefault="00860F8E" w:rsidP="005D646B">
            <w:pPr>
              <w:pStyle w:val="TableText"/>
            </w:pPr>
            <w:r w:rsidRPr="00053FD1">
              <w:t>2</w:t>
            </w:r>
          </w:p>
        </w:tc>
        <w:tc>
          <w:tcPr>
            <w:tcW w:w="365" w:type="pct"/>
          </w:tcPr>
          <w:p w14:paraId="019D1C5E" w14:textId="77777777" w:rsidR="00860F8E" w:rsidRPr="00053FD1" w:rsidRDefault="00860F8E" w:rsidP="005D646B">
            <w:pPr>
              <w:pStyle w:val="TableText"/>
            </w:pPr>
            <w:r w:rsidRPr="00053FD1">
              <w:t>1</w:t>
            </w:r>
          </w:p>
        </w:tc>
        <w:tc>
          <w:tcPr>
            <w:tcW w:w="355" w:type="pct"/>
          </w:tcPr>
          <w:p w14:paraId="0355F75A" w14:textId="77777777" w:rsidR="00860F8E" w:rsidRPr="00053FD1" w:rsidRDefault="00860F8E" w:rsidP="005D646B">
            <w:pPr>
              <w:pStyle w:val="TableText"/>
            </w:pPr>
            <w:r w:rsidRPr="00053FD1">
              <w:t>_</w:t>
            </w:r>
          </w:p>
        </w:tc>
        <w:tc>
          <w:tcPr>
            <w:tcW w:w="359" w:type="pct"/>
          </w:tcPr>
          <w:p w14:paraId="13FEE9D4" w14:textId="77777777" w:rsidR="00860F8E" w:rsidRPr="00053FD1" w:rsidRDefault="00860F8E" w:rsidP="005D646B">
            <w:pPr>
              <w:pStyle w:val="TableText"/>
            </w:pPr>
            <w:r w:rsidRPr="00053FD1">
              <w:t>_</w:t>
            </w:r>
          </w:p>
        </w:tc>
        <w:tc>
          <w:tcPr>
            <w:tcW w:w="355" w:type="pct"/>
          </w:tcPr>
          <w:p w14:paraId="355D167B" w14:textId="77777777" w:rsidR="00860F8E" w:rsidRPr="00053FD1" w:rsidRDefault="00860F8E" w:rsidP="005D646B">
            <w:pPr>
              <w:pStyle w:val="TableText"/>
            </w:pPr>
            <w:r w:rsidRPr="00053FD1">
              <w:t>_</w:t>
            </w:r>
          </w:p>
        </w:tc>
        <w:tc>
          <w:tcPr>
            <w:tcW w:w="429" w:type="pct"/>
          </w:tcPr>
          <w:p w14:paraId="4F344A8D" w14:textId="77777777" w:rsidR="00860F8E" w:rsidRPr="00053FD1" w:rsidRDefault="00860F8E" w:rsidP="005D646B">
            <w:pPr>
              <w:pStyle w:val="TableText"/>
            </w:pPr>
            <w:r w:rsidRPr="00053FD1">
              <w:t>_</w:t>
            </w:r>
          </w:p>
        </w:tc>
        <w:tc>
          <w:tcPr>
            <w:tcW w:w="358" w:type="pct"/>
          </w:tcPr>
          <w:p w14:paraId="241CD56C" w14:textId="77777777" w:rsidR="00860F8E" w:rsidRPr="00053FD1" w:rsidRDefault="00860F8E" w:rsidP="005D646B">
            <w:pPr>
              <w:pStyle w:val="TableText"/>
            </w:pPr>
            <w:r w:rsidRPr="00053FD1">
              <w:t>_</w:t>
            </w:r>
          </w:p>
        </w:tc>
        <w:tc>
          <w:tcPr>
            <w:tcW w:w="431" w:type="pct"/>
          </w:tcPr>
          <w:p w14:paraId="01344DAE" w14:textId="77777777" w:rsidR="00860F8E" w:rsidRPr="00053FD1" w:rsidRDefault="00860F8E" w:rsidP="005D646B">
            <w:pPr>
              <w:pStyle w:val="TableText"/>
            </w:pPr>
            <w:r w:rsidRPr="00053FD1">
              <w:t>1</w:t>
            </w:r>
          </w:p>
        </w:tc>
        <w:tc>
          <w:tcPr>
            <w:tcW w:w="356" w:type="pct"/>
          </w:tcPr>
          <w:p w14:paraId="4E94BD97" w14:textId="77777777" w:rsidR="00860F8E" w:rsidRPr="00053FD1" w:rsidRDefault="00860F8E" w:rsidP="005D646B">
            <w:pPr>
              <w:pStyle w:val="TableText"/>
            </w:pPr>
            <w:r w:rsidRPr="00053FD1">
              <w:t>_</w:t>
            </w:r>
          </w:p>
        </w:tc>
        <w:tc>
          <w:tcPr>
            <w:tcW w:w="341" w:type="pct"/>
          </w:tcPr>
          <w:p w14:paraId="3B3A183B" w14:textId="77777777" w:rsidR="00860F8E" w:rsidRPr="00053FD1" w:rsidRDefault="00860F8E" w:rsidP="005D646B">
            <w:pPr>
              <w:pStyle w:val="TableText"/>
            </w:pPr>
            <w:r w:rsidRPr="00053FD1">
              <w:t>_</w:t>
            </w:r>
          </w:p>
        </w:tc>
      </w:tr>
      <w:tr w:rsidR="00860F8E" w:rsidRPr="00053FD1" w14:paraId="28D547F1" w14:textId="77777777" w:rsidTr="00E849B5">
        <w:tc>
          <w:tcPr>
            <w:tcW w:w="1298" w:type="pct"/>
          </w:tcPr>
          <w:p w14:paraId="78458092" w14:textId="77777777" w:rsidR="00860F8E" w:rsidRPr="00053FD1" w:rsidRDefault="00860F8E" w:rsidP="005D646B">
            <w:pPr>
              <w:pStyle w:val="TableText"/>
            </w:pPr>
            <w:r w:rsidRPr="00053FD1">
              <w:t xml:space="preserve">Total </w:t>
            </w:r>
          </w:p>
        </w:tc>
        <w:tc>
          <w:tcPr>
            <w:tcW w:w="353" w:type="pct"/>
          </w:tcPr>
          <w:p w14:paraId="1D625854" w14:textId="77777777" w:rsidR="00860F8E" w:rsidRPr="00053FD1" w:rsidRDefault="00860F8E" w:rsidP="005D646B">
            <w:pPr>
              <w:pStyle w:val="TableText"/>
            </w:pPr>
            <w:r w:rsidRPr="00053FD1">
              <w:t>3</w:t>
            </w:r>
          </w:p>
        </w:tc>
        <w:tc>
          <w:tcPr>
            <w:tcW w:w="365" w:type="pct"/>
          </w:tcPr>
          <w:p w14:paraId="60E34895" w14:textId="77777777" w:rsidR="00860F8E" w:rsidRPr="00053FD1" w:rsidRDefault="00860F8E" w:rsidP="005D646B">
            <w:pPr>
              <w:pStyle w:val="TableText"/>
            </w:pPr>
            <w:r w:rsidRPr="00053FD1">
              <w:t>1</w:t>
            </w:r>
          </w:p>
        </w:tc>
        <w:tc>
          <w:tcPr>
            <w:tcW w:w="355" w:type="pct"/>
          </w:tcPr>
          <w:p w14:paraId="0A647391" w14:textId="77777777" w:rsidR="00860F8E" w:rsidRPr="00053FD1" w:rsidRDefault="00860F8E" w:rsidP="005D646B">
            <w:pPr>
              <w:pStyle w:val="TableText"/>
            </w:pPr>
            <w:r w:rsidRPr="00053FD1">
              <w:t>1</w:t>
            </w:r>
          </w:p>
        </w:tc>
        <w:tc>
          <w:tcPr>
            <w:tcW w:w="359" w:type="pct"/>
          </w:tcPr>
          <w:p w14:paraId="4AB249AE" w14:textId="77777777" w:rsidR="00860F8E" w:rsidRPr="004E257D" w:rsidRDefault="00860F8E" w:rsidP="005D646B">
            <w:pPr>
              <w:pStyle w:val="TableText"/>
            </w:pPr>
            <w:r w:rsidRPr="004E257D">
              <w:t>_</w:t>
            </w:r>
          </w:p>
        </w:tc>
        <w:tc>
          <w:tcPr>
            <w:tcW w:w="355" w:type="pct"/>
          </w:tcPr>
          <w:p w14:paraId="34C18768" w14:textId="77777777" w:rsidR="00860F8E" w:rsidRPr="00053FD1" w:rsidRDefault="00860F8E" w:rsidP="005D646B">
            <w:pPr>
              <w:pStyle w:val="TableText"/>
            </w:pPr>
            <w:r w:rsidRPr="00053FD1">
              <w:t>1</w:t>
            </w:r>
          </w:p>
        </w:tc>
        <w:tc>
          <w:tcPr>
            <w:tcW w:w="429" w:type="pct"/>
          </w:tcPr>
          <w:p w14:paraId="7F746988" w14:textId="77777777" w:rsidR="00860F8E" w:rsidRPr="00053FD1" w:rsidRDefault="00860F8E" w:rsidP="005D646B">
            <w:pPr>
              <w:pStyle w:val="TableText"/>
            </w:pPr>
            <w:r w:rsidRPr="00053FD1">
              <w:t>_</w:t>
            </w:r>
          </w:p>
        </w:tc>
        <w:tc>
          <w:tcPr>
            <w:tcW w:w="358" w:type="pct"/>
          </w:tcPr>
          <w:p w14:paraId="300194EC" w14:textId="77777777" w:rsidR="00860F8E" w:rsidRPr="00053FD1" w:rsidRDefault="00860F8E" w:rsidP="005D646B">
            <w:pPr>
              <w:pStyle w:val="TableText"/>
            </w:pPr>
            <w:r w:rsidRPr="00053FD1">
              <w:t>1</w:t>
            </w:r>
          </w:p>
        </w:tc>
        <w:tc>
          <w:tcPr>
            <w:tcW w:w="431" w:type="pct"/>
          </w:tcPr>
          <w:p w14:paraId="47BAE7CB" w14:textId="77777777" w:rsidR="00860F8E" w:rsidRPr="00053FD1" w:rsidRDefault="00860F8E" w:rsidP="005D646B">
            <w:pPr>
              <w:pStyle w:val="TableText"/>
            </w:pPr>
            <w:r w:rsidRPr="00053FD1">
              <w:t>2</w:t>
            </w:r>
          </w:p>
        </w:tc>
        <w:tc>
          <w:tcPr>
            <w:tcW w:w="356" w:type="pct"/>
          </w:tcPr>
          <w:p w14:paraId="685B2A37" w14:textId="77777777" w:rsidR="00860F8E" w:rsidRPr="00053FD1" w:rsidRDefault="00860F8E" w:rsidP="005D646B">
            <w:pPr>
              <w:pStyle w:val="TableText"/>
            </w:pPr>
            <w:r w:rsidRPr="00053FD1">
              <w:t>_</w:t>
            </w:r>
          </w:p>
        </w:tc>
        <w:tc>
          <w:tcPr>
            <w:tcW w:w="341" w:type="pct"/>
          </w:tcPr>
          <w:p w14:paraId="0C6F6729" w14:textId="77777777" w:rsidR="00860F8E" w:rsidRPr="00053FD1" w:rsidRDefault="00860F8E" w:rsidP="005D646B">
            <w:pPr>
              <w:pStyle w:val="TableText"/>
            </w:pPr>
            <w:r w:rsidRPr="00053FD1">
              <w:t>_</w:t>
            </w:r>
          </w:p>
        </w:tc>
      </w:tr>
      <w:tr w:rsidR="00860F8E" w:rsidRPr="00053FD1" w14:paraId="636B317F" w14:textId="77777777" w:rsidTr="00E849B5">
        <w:tc>
          <w:tcPr>
            <w:tcW w:w="1298" w:type="pct"/>
            <w:shd w:val="clear" w:color="auto" w:fill="D9D9D9"/>
          </w:tcPr>
          <w:p w14:paraId="1935BD4C" w14:textId="77777777" w:rsidR="00860F8E" w:rsidRPr="00572E09" w:rsidRDefault="00860F8E" w:rsidP="005D646B">
            <w:pPr>
              <w:pStyle w:val="TableText"/>
            </w:pPr>
            <w:r w:rsidRPr="00572E09">
              <w:t xml:space="preserve">Decisions arising from Administrative Appeals Tribunal decision </w:t>
            </w:r>
          </w:p>
        </w:tc>
        <w:tc>
          <w:tcPr>
            <w:tcW w:w="353" w:type="pct"/>
            <w:shd w:val="clear" w:color="auto" w:fill="D9D9D9"/>
          </w:tcPr>
          <w:p w14:paraId="3DABD0CB" w14:textId="77777777" w:rsidR="00860F8E" w:rsidRPr="00053FD1" w:rsidRDefault="00860F8E" w:rsidP="005D646B">
            <w:pPr>
              <w:pStyle w:val="TableText"/>
            </w:pPr>
            <w:r w:rsidRPr="00053FD1">
              <w:t>3</w:t>
            </w:r>
          </w:p>
        </w:tc>
        <w:tc>
          <w:tcPr>
            <w:tcW w:w="365" w:type="pct"/>
            <w:shd w:val="clear" w:color="auto" w:fill="D9D9D9"/>
          </w:tcPr>
          <w:p w14:paraId="0375E0D4" w14:textId="77777777" w:rsidR="00860F8E" w:rsidRPr="00053FD1" w:rsidRDefault="00860F8E" w:rsidP="005D646B">
            <w:pPr>
              <w:pStyle w:val="TableText"/>
            </w:pPr>
            <w:r w:rsidRPr="00053FD1">
              <w:t>1</w:t>
            </w:r>
          </w:p>
        </w:tc>
        <w:tc>
          <w:tcPr>
            <w:tcW w:w="355" w:type="pct"/>
            <w:shd w:val="clear" w:color="auto" w:fill="D9D9D9"/>
          </w:tcPr>
          <w:p w14:paraId="5C3ED9C4" w14:textId="77777777" w:rsidR="00860F8E" w:rsidRPr="00053FD1" w:rsidRDefault="00860F8E" w:rsidP="005D646B">
            <w:pPr>
              <w:pStyle w:val="TableText"/>
            </w:pPr>
            <w:r w:rsidRPr="00053FD1">
              <w:t>4</w:t>
            </w:r>
          </w:p>
        </w:tc>
        <w:tc>
          <w:tcPr>
            <w:tcW w:w="359" w:type="pct"/>
            <w:shd w:val="clear" w:color="auto" w:fill="D9D9D9"/>
          </w:tcPr>
          <w:p w14:paraId="7235093E" w14:textId="77777777" w:rsidR="00860F8E" w:rsidRPr="00053FD1" w:rsidRDefault="00860F8E" w:rsidP="005D646B">
            <w:pPr>
              <w:pStyle w:val="TableText"/>
            </w:pPr>
            <w:r w:rsidRPr="00053FD1">
              <w:t>1</w:t>
            </w:r>
          </w:p>
        </w:tc>
        <w:tc>
          <w:tcPr>
            <w:tcW w:w="355" w:type="pct"/>
            <w:shd w:val="clear" w:color="auto" w:fill="D9D9D9"/>
          </w:tcPr>
          <w:p w14:paraId="77B095F1" w14:textId="77777777" w:rsidR="00860F8E" w:rsidRPr="00053FD1" w:rsidRDefault="00860F8E" w:rsidP="005D646B">
            <w:pPr>
              <w:pStyle w:val="TableText"/>
            </w:pPr>
            <w:r w:rsidRPr="00053FD1">
              <w:t>_</w:t>
            </w:r>
          </w:p>
        </w:tc>
        <w:tc>
          <w:tcPr>
            <w:tcW w:w="429" w:type="pct"/>
            <w:shd w:val="clear" w:color="auto" w:fill="D9D9D9"/>
          </w:tcPr>
          <w:p w14:paraId="4C7539A8" w14:textId="77777777" w:rsidR="00860F8E" w:rsidRPr="00053FD1" w:rsidRDefault="00860F8E" w:rsidP="005D646B">
            <w:pPr>
              <w:pStyle w:val="TableText"/>
            </w:pPr>
            <w:r w:rsidRPr="00053FD1">
              <w:t>_</w:t>
            </w:r>
          </w:p>
        </w:tc>
        <w:tc>
          <w:tcPr>
            <w:tcW w:w="358" w:type="pct"/>
            <w:shd w:val="clear" w:color="auto" w:fill="D9D9D9"/>
          </w:tcPr>
          <w:p w14:paraId="4831CCA7" w14:textId="77777777" w:rsidR="00860F8E" w:rsidRPr="00053FD1" w:rsidRDefault="00860F8E" w:rsidP="005D646B">
            <w:pPr>
              <w:pStyle w:val="TableText"/>
            </w:pPr>
            <w:r w:rsidRPr="00053FD1">
              <w:t>_</w:t>
            </w:r>
          </w:p>
        </w:tc>
        <w:tc>
          <w:tcPr>
            <w:tcW w:w="431" w:type="pct"/>
            <w:shd w:val="clear" w:color="auto" w:fill="D9D9D9"/>
          </w:tcPr>
          <w:p w14:paraId="39850EB7" w14:textId="77777777" w:rsidR="00860F8E" w:rsidRPr="00053FD1" w:rsidRDefault="00860F8E" w:rsidP="005D646B">
            <w:pPr>
              <w:pStyle w:val="TableText"/>
            </w:pPr>
            <w:r w:rsidRPr="00053FD1">
              <w:t>1</w:t>
            </w:r>
          </w:p>
        </w:tc>
        <w:tc>
          <w:tcPr>
            <w:tcW w:w="356" w:type="pct"/>
            <w:shd w:val="clear" w:color="auto" w:fill="D9D9D9"/>
          </w:tcPr>
          <w:p w14:paraId="40925979" w14:textId="77777777" w:rsidR="00860F8E" w:rsidRPr="00053FD1" w:rsidRDefault="00860F8E" w:rsidP="005D646B">
            <w:pPr>
              <w:pStyle w:val="TableText"/>
            </w:pPr>
            <w:r w:rsidRPr="00053FD1">
              <w:t>_</w:t>
            </w:r>
          </w:p>
          <w:p w14:paraId="497F4C60" w14:textId="77777777" w:rsidR="00860F8E" w:rsidRPr="00053FD1" w:rsidRDefault="00860F8E" w:rsidP="005D646B">
            <w:pPr>
              <w:pStyle w:val="TableText"/>
            </w:pPr>
          </w:p>
        </w:tc>
        <w:tc>
          <w:tcPr>
            <w:tcW w:w="341" w:type="pct"/>
            <w:shd w:val="clear" w:color="auto" w:fill="D9D9D9"/>
          </w:tcPr>
          <w:p w14:paraId="33A1DB6A" w14:textId="77777777" w:rsidR="00860F8E" w:rsidRPr="00053FD1" w:rsidRDefault="00860F8E" w:rsidP="005D646B">
            <w:pPr>
              <w:pStyle w:val="TableText"/>
            </w:pPr>
            <w:r w:rsidRPr="00053FD1">
              <w:t>1</w:t>
            </w:r>
          </w:p>
        </w:tc>
      </w:tr>
    </w:tbl>
    <w:p w14:paraId="2256B3A0" w14:textId="77777777" w:rsidR="00860F8E" w:rsidRPr="003D50D4" w:rsidRDefault="00860F8E" w:rsidP="00860F8E">
      <w:pPr>
        <w:spacing w:after="0"/>
      </w:pPr>
    </w:p>
    <w:p w14:paraId="7335B679" w14:textId="77777777" w:rsidR="00860F8E" w:rsidRPr="00053FD1" w:rsidRDefault="00860F8E" w:rsidP="00860F8E">
      <w:pPr>
        <w:pStyle w:val="Heading2"/>
      </w:pPr>
      <w:r w:rsidRPr="00053FD1">
        <w:t xml:space="preserve">External scrutiny </w:t>
      </w:r>
    </w:p>
    <w:p w14:paraId="6EA62662" w14:textId="77777777" w:rsidR="00860F8E" w:rsidRPr="00053FD1" w:rsidRDefault="00860F8E" w:rsidP="00860F8E">
      <w:pPr>
        <w:pStyle w:val="TableName"/>
      </w:pPr>
      <w:r w:rsidRPr="00053FD1">
        <w:t>Table B.8</w:t>
      </w:r>
      <w:r w:rsidRPr="00053FD1">
        <w:tab/>
        <w:t xml:space="preserve">Coronial inquiries, 2013–14 to 2017–18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1155"/>
        <w:gridCol w:w="1154"/>
        <w:gridCol w:w="1154"/>
        <w:gridCol w:w="1154"/>
        <w:gridCol w:w="1154"/>
      </w:tblGrid>
      <w:tr w:rsidR="00860F8E" w:rsidRPr="00053FD1" w14:paraId="5137E4DA" w14:textId="77777777" w:rsidTr="00E849B5">
        <w:trPr>
          <w:tblHeader/>
        </w:trPr>
        <w:tc>
          <w:tcPr>
            <w:tcW w:w="3677" w:type="dxa"/>
          </w:tcPr>
          <w:p w14:paraId="771B6320" w14:textId="77777777" w:rsidR="00860F8E" w:rsidRPr="005D646B" w:rsidRDefault="00860F8E" w:rsidP="005D646B">
            <w:pPr>
              <w:pStyle w:val="TableText"/>
              <w:rPr>
                <w:b/>
              </w:rPr>
            </w:pPr>
          </w:p>
        </w:tc>
        <w:tc>
          <w:tcPr>
            <w:tcW w:w="1252" w:type="dxa"/>
          </w:tcPr>
          <w:p w14:paraId="70B6C79F" w14:textId="77777777" w:rsidR="00860F8E" w:rsidRPr="005D646B" w:rsidRDefault="00860F8E" w:rsidP="005D646B">
            <w:pPr>
              <w:pStyle w:val="TableText"/>
              <w:rPr>
                <w:b/>
              </w:rPr>
            </w:pPr>
            <w:r w:rsidRPr="005D646B">
              <w:rPr>
                <w:b/>
              </w:rPr>
              <w:t>2013–14</w:t>
            </w:r>
          </w:p>
        </w:tc>
        <w:tc>
          <w:tcPr>
            <w:tcW w:w="1252" w:type="dxa"/>
          </w:tcPr>
          <w:p w14:paraId="2F15087D" w14:textId="77777777" w:rsidR="00860F8E" w:rsidRPr="005D646B" w:rsidRDefault="00860F8E" w:rsidP="005D646B">
            <w:pPr>
              <w:pStyle w:val="TableText"/>
              <w:rPr>
                <w:b/>
              </w:rPr>
            </w:pPr>
            <w:r w:rsidRPr="005D646B">
              <w:rPr>
                <w:b/>
              </w:rPr>
              <w:t>2014–15</w:t>
            </w:r>
          </w:p>
        </w:tc>
        <w:tc>
          <w:tcPr>
            <w:tcW w:w="1252" w:type="dxa"/>
          </w:tcPr>
          <w:p w14:paraId="54F36246" w14:textId="77777777" w:rsidR="00860F8E" w:rsidRPr="005D646B" w:rsidRDefault="00860F8E" w:rsidP="005D646B">
            <w:pPr>
              <w:pStyle w:val="TableText"/>
              <w:rPr>
                <w:b/>
              </w:rPr>
            </w:pPr>
            <w:r w:rsidRPr="005D646B">
              <w:rPr>
                <w:b/>
              </w:rPr>
              <w:t>2015–16</w:t>
            </w:r>
          </w:p>
        </w:tc>
        <w:tc>
          <w:tcPr>
            <w:tcW w:w="1252" w:type="dxa"/>
          </w:tcPr>
          <w:p w14:paraId="180E007B" w14:textId="77777777" w:rsidR="00860F8E" w:rsidRPr="005D646B" w:rsidRDefault="00860F8E" w:rsidP="005D646B">
            <w:pPr>
              <w:pStyle w:val="TableText"/>
              <w:rPr>
                <w:b/>
              </w:rPr>
            </w:pPr>
            <w:r w:rsidRPr="005D646B">
              <w:rPr>
                <w:b/>
              </w:rPr>
              <w:t>2016–17</w:t>
            </w:r>
          </w:p>
        </w:tc>
        <w:tc>
          <w:tcPr>
            <w:tcW w:w="1252" w:type="dxa"/>
          </w:tcPr>
          <w:p w14:paraId="6C353B7C" w14:textId="77777777" w:rsidR="00860F8E" w:rsidRPr="005D646B" w:rsidRDefault="00860F8E" w:rsidP="005D646B">
            <w:pPr>
              <w:pStyle w:val="TableText"/>
              <w:rPr>
                <w:b/>
              </w:rPr>
            </w:pPr>
            <w:r w:rsidRPr="005D646B">
              <w:rPr>
                <w:b/>
              </w:rPr>
              <w:t>2017–18</w:t>
            </w:r>
          </w:p>
        </w:tc>
      </w:tr>
      <w:tr w:rsidR="00860F8E" w:rsidRPr="00053FD1" w14:paraId="52303FE0" w14:textId="77777777" w:rsidTr="00E849B5">
        <w:tc>
          <w:tcPr>
            <w:tcW w:w="3677" w:type="dxa"/>
          </w:tcPr>
          <w:p w14:paraId="6853731B" w14:textId="77777777" w:rsidR="00860F8E" w:rsidRPr="00053FD1" w:rsidRDefault="00860F8E" w:rsidP="005D646B">
            <w:pPr>
              <w:pStyle w:val="TableText"/>
            </w:pPr>
            <w:r w:rsidRPr="00053FD1">
              <w:t xml:space="preserve">Inquiries on hand from previous year </w:t>
            </w:r>
          </w:p>
        </w:tc>
        <w:tc>
          <w:tcPr>
            <w:tcW w:w="1252" w:type="dxa"/>
          </w:tcPr>
          <w:p w14:paraId="6473D2EF" w14:textId="77777777" w:rsidR="00860F8E" w:rsidRPr="00053FD1" w:rsidRDefault="00860F8E" w:rsidP="005D646B">
            <w:pPr>
              <w:pStyle w:val="TableText"/>
            </w:pPr>
            <w:r w:rsidRPr="00053FD1">
              <w:t>3</w:t>
            </w:r>
          </w:p>
        </w:tc>
        <w:tc>
          <w:tcPr>
            <w:tcW w:w="1252" w:type="dxa"/>
          </w:tcPr>
          <w:p w14:paraId="4A700BE4" w14:textId="77777777" w:rsidR="00860F8E" w:rsidRPr="00053FD1" w:rsidRDefault="00860F8E" w:rsidP="005D646B">
            <w:pPr>
              <w:pStyle w:val="TableText"/>
            </w:pPr>
            <w:r w:rsidRPr="00053FD1">
              <w:t>2</w:t>
            </w:r>
          </w:p>
        </w:tc>
        <w:tc>
          <w:tcPr>
            <w:tcW w:w="1252" w:type="dxa"/>
          </w:tcPr>
          <w:p w14:paraId="47850757" w14:textId="77777777" w:rsidR="00860F8E" w:rsidRPr="00053FD1" w:rsidRDefault="00860F8E" w:rsidP="005D646B">
            <w:pPr>
              <w:pStyle w:val="TableText"/>
            </w:pPr>
            <w:r w:rsidRPr="00053FD1">
              <w:t>1</w:t>
            </w:r>
          </w:p>
        </w:tc>
        <w:tc>
          <w:tcPr>
            <w:tcW w:w="1252" w:type="dxa"/>
          </w:tcPr>
          <w:p w14:paraId="55776274" w14:textId="77777777" w:rsidR="00860F8E" w:rsidRPr="00053FD1" w:rsidRDefault="00860F8E" w:rsidP="005D646B">
            <w:pPr>
              <w:pStyle w:val="TableText"/>
            </w:pPr>
            <w:r w:rsidRPr="00053FD1">
              <w:t>2</w:t>
            </w:r>
          </w:p>
        </w:tc>
        <w:tc>
          <w:tcPr>
            <w:tcW w:w="1252" w:type="dxa"/>
          </w:tcPr>
          <w:p w14:paraId="6008F1C7" w14:textId="77777777" w:rsidR="00860F8E" w:rsidRPr="00053FD1" w:rsidRDefault="00860F8E" w:rsidP="005D646B">
            <w:pPr>
              <w:pStyle w:val="TableText"/>
            </w:pPr>
            <w:r w:rsidRPr="00053FD1">
              <w:t>1</w:t>
            </w:r>
          </w:p>
        </w:tc>
      </w:tr>
      <w:tr w:rsidR="00860F8E" w:rsidRPr="00053FD1" w14:paraId="4E4F902A" w14:textId="77777777" w:rsidTr="00E849B5">
        <w:tc>
          <w:tcPr>
            <w:tcW w:w="3677" w:type="dxa"/>
          </w:tcPr>
          <w:p w14:paraId="200F5363" w14:textId="77777777" w:rsidR="00860F8E" w:rsidRPr="00053FD1" w:rsidRDefault="00860F8E" w:rsidP="005D646B">
            <w:pPr>
              <w:pStyle w:val="TableText"/>
            </w:pPr>
            <w:r w:rsidRPr="00053FD1">
              <w:t xml:space="preserve">New inquiries </w:t>
            </w:r>
          </w:p>
        </w:tc>
        <w:tc>
          <w:tcPr>
            <w:tcW w:w="1252" w:type="dxa"/>
          </w:tcPr>
          <w:p w14:paraId="06FEBCBC" w14:textId="77777777" w:rsidR="00860F8E" w:rsidRPr="00053FD1" w:rsidRDefault="00860F8E" w:rsidP="005D646B">
            <w:pPr>
              <w:pStyle w:val="TableText"/>
            </w:pPr>
            <w:r w:rsidRPr="00053FD1">
              <w:t>2</w:t>
            </w:r>
          </w:p>
        </w:tc>
        <w:tc>
          <w:tcPr>
            <w:tcW w:w="1252" w:type="dxa"/>
          </w:tcPr>
          <w:p w14:paraId="759B1B83" w14:textId="77777777" w:rsidR="00860F8E" w:rsidRPr="00053FD1" w:rsidRDefault="00860F8E" w:rsidP="005D646B">
            <w:pPr>
              <w:pStyle w:val="TableText"/>
            </w:pPr>
            <w:r w:rsidRPr="00053FD1">
              <w:t>–</w:t>
            </w:r>
          </w:p>
        </w:tc>
        <w:tc>
          <w:tcPr>
            <w:tcW w:w="1252" w:type="dxa"/>
          </w:tcPr>
          <w:p w14:paraId="5A7B58AA" w14:textId="77777777" w:rsidR="00860F8E" w:rsidRPr="00053FD1" w:rsidRDefault="00860F8E" w:rsidP="005D646B">
            <w:pPr>
              <w:pStyle w:val="TableText"/>
            </w:pPr>
            <w:r w:rsidRPr="00053FD1">
              <w:t>1</w:t>
            </w:r>
          </w:p>
        </w:tc>
        <w:tc>
          <w:tcPr>
            <w:tcW w:w="1252" w:type="dxa"/>
          </w:tcPr>
          <w:p w14:paraId="49055723" w14:textId="77777777" w:rsidR="00860F8E" w:rsidRPr="00053FD1" w:rsidRDefault="00860F8E" w:rsidP="005D646B">
            <w:pPr>
              <w:pStyle w:val="TableText"/>
            </w:pPr>
            <w:r w:rsidRPr="00053FD1">
              <w:t>3</w:t>
            </w:r>
          </w:p>
        </w:tc>
        <w:tc>
          <w:tcPr>
            <w:tcW w:w="1252" w:type="dxa"/>
          </w:tcPr>
          <w:p w14:paraId="6CECAA56" w14:textId="77777777" w:rsidR="00860F8E" w:rsidRPr="00053FD1" w:rsidRDefault="00860F8E" w:rsidP="005D646B">
            <w:pPr>
              <w:pStyle w:val="TableText"/>
            </w:pPr>
            <w:r w:rsidRPr="00053FD1">
              <w:t>1</w:t>
            </w:r>
          </w:p>
        </w:tc>
      </w:tr>
      <w:tr w:rsidR="00860F8E" w:rsidRPr="00053FD1" w14:paraId="0E842808" w14:textId="77777777" w:rsidTr="00E849B5">
        <w:tc>
          <w:tcPr>
            <w:tcW w:w="3677" w:type="dxa"/>
          </w:tcPr>
          <w:p w14:paraId="5D5A7CE3" w14:textId="77777777" w:rsidR="00860F8E" w:rsidRPr="00053FD1" w:rsidRDefault="00860F8E" w:rsidP="005D646B">
            <w:pPr>
              <w:pStyle w:val="TableText"/>
            </w:pPr>
            <w:r w:rsidRPr="00053FD1">
              <w:t xml:space="preserve">Total </w:t>
            </w:r>
          </w:p>
        </w:tc>
        <w:tc>
          <w:tcPr>
            <w:tcW w:w="1252" w:type="dxa"/>
          </w:tcPr>
          <w:p w14:paraId="7376044D" w14:textId="77777777" w:rsidR="00860F8E" w:rsidRPr="00053FD1" w:rsidRDefault="00860F8E" w:rsidP="005D646B">
            <w:pPr>
              <w:pStyle w:val="TableText"/>
            </w:pPr>
            <w:r w:rsidRPr="00053FD1">
              <w:t>5</w:t>
            </w:r>
          </w:p>
        </w:tc>
        <w:tc>
          <w:tcPr>
            <w:tcW w:w="1252" w:type="dxa"/>
          </w:tcPr>
          <w:p w14:paraId="118FF723" w14:textId="77777777" w:rsidR="00860F8E" w:rsidRPr="00053FD1" w:rsidRDefault="00860F8E" w:rsidP="005D646B">
            <w:pPr>
              <w:pStyle w:val="TableText"/>
            </w:pPr>
            <w:r w:rsidRPr="00053FD1">
              <w:t>2</w:t>
            </w:r>
          </w:p>
        </w:tc>
        <w:tc>
          <w:tcPr>
            <w:tcW w:w="1252" w:type="dxa"/>
          </w:tcPr>
          <w:p w14:paraId="5B08A240" w14:textId="77777777" w:rsidR="00860F8E" w:rsidRPr="00053FD1" w:rsidRDefault="00860F8E" w:rsidP="005D646B">
            <w:pPr>
              <w:pStyle w:val="TableText"/>
            </w:pPr>
            <w:r w:rsidRPr="00053FD1">
              <w:t>2</w:t>
            </w:r>
          </w:p>
        </w:tc>
        <w:tc>
          <w:tcPr>
            <w:tcW w:w="1252" w:type="dxa"/>
          </w:tcPr>
          <w:p w14:paraId="7545555A" w14:textId="77777777" w:rsidR="00860F8E" w:rsidRPr="00053FD1" w:rsidRDefault="00860F8E" w:rsidP="005D646B">
            <w:pPr>
              <w:pStyle w:val="TableText"/>
            </w:pPr>
            <w:r w:rsidRPr="00053FD1">
              <w:t>5</w:t>
            </w:r>
          </w:p>
        </w:tc>
        <w:tc>
          <w:tcPr>
            <w:tcW w:w="1252" w:type="dxa"/>
          </w:tcPr>
          <w:p w14:paraId="7FE8514E" w14:textId="77777777" w:rsidR="00860F8E" w:rsidRPr="00053FD1" w:rsidRDefault="00860F8E" w:rsidP="005D646B">
            <w:pPr>
              <w:pStyle w:val="TableText"/>
            </w:pPr>
            <w:r w:rsidRPr="00053FD1">
              <w:t>2</w:t>
            </w:r>
          </w:p>
        </w:tc>
      </w:tr>
      <w:tr w:rsidR="00860F8E" w:rsidRPr="00053FD1" w14:paraId="43CD2FDA" w14:textId="77777777" w:rsidTr="00E849B5">
        <w:tc>
          <w:tcPr>
            <w:tcW w:w="3677" w:type="dxa"/>
          </w:tcPr>
          <w:p w14:paraId="7F0076C5" w14:textId="77777777" w:rsidR="00860F8E" w:rsidRPr="00053FD1" w:rsidRDefault="00860F8E" w:rsidP="005D646B">
            <w:pPr>
              <w:pStyle w:val="TableText"/>
            </w:pPr>
            <w:r w:rsidRPr="00053FD1">
              <w:t xml:space="preserve">Conclusions handed down </w:t>
            </w:r>
          </w:p>
        </w:tc>
        <w:tc>
          <w:tcPr>
            <w:tcW w:w="1252" w:type="dxa"/>
          </w:tcPr>
          <w:p w14:paraId="4FD968CA" w14:textId="77777777" w:rsidR="00860F8E" w:rsidRPr="00053FD1" w:rsidRDefault="00860F8E" w:rsidP="005D646B">
            <w:pPr>
              <w:pStyle w:val="TableText"/>
            </w:pPr>
            <w:r w:rsidRPr="00053FD1">
              <w:t>2</w:t>
            </w:r>
          </w:p>
        </w:tc>
        <w:tc>
          <w:tcPr>
            <w:tcW w:w="1252" w:type="dxa"/>
          </w:tcPr>
          <w:p w14:paraId="6295E5B9" w14:textId="77777777" w:rsidR="00860F8E" w:rsidRPr="00053FD1" w:rsidRDefault="00860F8E" w:rsidP="005D646B">
            <w:pPr>
              <w:pStyle w:val="TableText"/>
            </w:pPr>
            <w:r w:rsidRPr="00053FD1">
              <w:t>1</w:t>
            </w:r>
          </w:p>
        </w:tc>
        <w:tc>
          <w:tcPr>
            <w:tcW w:w="1252" w:type="dxa"/>
          </w:tcPr>
          <w:p w14:paraId="2B9AC9F8" w14:textId="77777777" w:rsidR="00860F8E" w:rsidRPr="00053FD1" w:rsidRDefault="00860F8E" w:rsidP="005D646B">
            <w:pPr>
              <w:pStyle w:val="TableText"/>
            </w:pPr>
            <w:r w:rsidRPr="00053FD1">
              <w:t>–</w:t>
            </w:r>
          </w:p>
        </w:tc>
        <w:tc>
          <w:tcPr>
            <w:tcW w:w="1252" w:type="dxa"/>
          </w:tcPr>
          <w:p w14:paraId="6C42E7D0" w14:textId="77777777" w:rsidR="00860F8E" w:rsidRPr="00053FD1" w:rsidRDefault="00860F8E" w:rsidP="005D646B">
            <w:pPr>
              <w:pStyle w:val="TableText"/>
            </w:pPr>
            <w:r w:rsidRPr="00053FD1">
              <w:t>3</w:t>
            </w:r>
          </w:p>
        </w:tc>
        <w:tc>
          <w:tcPr>
            <w:tcW w:w="1252" w:type="dxa"/>
          </w:tcPr>
          <w:p w14:paraId="5DC403A8" w14:textId="77777777" w:rsidR="00860F8E" w:rsidRPr="00053FD1" w:rsidRDefault="00860F8E" w:rsidP="005D646B">
            <w:pPr>
              <w:pStyle w:val="TableText"/>
            </w:pPr>
            <w:r w:rsidRPr="00053FD1">
              <w:t>1</w:t>
            </w:r>
          </w:p>
        </w:tc>
      </w:tr>
      <w:tr w:rsidR="00860F8E" w:rsidRPr="00053FD1" w14:paraId="3B2D8F3F" w14:textId="77777777" w:rsidTr="00E849B5">
        <w:tc>
          <w:tcPr>
            <w:tcW w:w="3677" w:type="dxa"/>
          </w:tcPr>
          <w:p w14:paraId="31B1A6A6" w14:textId="77777777" w:rsidR="00860F8E" w:rsidRPr="00053FD1" w:rsidRDefault="00860F8E" w:rsidP="005D646B">
            <w:pPr>
              <w:pStyle w:val="TableText"/>
            </w:pPr>
            <w:r w:rsidRPr="00053FD1">
              <w:t xml:space="preserve">Inquiries remaining in progress at 30 June </w:t>
            </w:r>
          </w:p>
        </w:tc>
        <w:tc>
          <w:tcPr>
            <w:tcW w:w="1252" w:type="dxa"/>
          </w:tcPr>
          <w:p w14:paraId="0752E9BA" w14:textId="77777777" w:rsidR="00860F8E" w:rsidRPr="00053FD1" w:rsidRDefault="00860F8E" w:rsidP="005D646B">
            <w:pPr>
              <w:pStyle w:val="TableText"/>
            </w:pPr>
            <w:r w:rsidRPr="00053FD1">
              <w:t>2</w:t>
            </w:r>
          </w:p>
        </w:tc>
        <w:tc>
          <w:tcPr>
            <w:tcW w:w="1252" w:type="dxa"/>
          </w:tcPr>
          <w:p w14:paraId="12DD399F" w14:textId="77777777" w:rsidR="00860F8E" w:rsidRPr="00053FD1" w:rsidRDefault="00860F8E" w:rsidP="005D646B">
            <w:pPr>
              <w:pStyle w:val="TableText"/>
            </w:pPr>
            <w:r w:rsidRPr="00053FD1">
              <w:t>1</w:t>
            </w:r>
          </w:p>
        </w:tc>
        <w:tc>
          <w:tcPr>
            <w:tcW w:w="1252" w:type="dxa"/>
          </w:tcPr>
          <w:p w14:paraId="4BF85351" w14:textId="77777777" w:rsidR="00860F8E" w:rsidRPr="00053FD1" w:rsidRDefault="00860F8E" w:rsidP="005D646B">
            <w:pPr>
              <w:pStyle w:val="TableText"/>
            </w:pPr>
            <w:r w:rsidRPr="00053FD1">
              <w:t>2</w:t>
            </w:r>
          </w:p>
        </w:tc>
        <w:tc>
          <w:tcPr>
            <w:tcW w:w="1252" w:type="dxa"/>
          </w:tcPr>
          <w:p w14:paraId="10A11A01" w14:textId="77777777" w:rsidR="00860F8E" w:rsidRPr="00053FD1" w:rsidRDefault="00860F8E" w:rsidP="005D646B">
            <w:pPr>
              <w:pStyle w:val="TableText"/>
            </w:pPr>
            <w:r w:rsidRPr="00053FD1">
              <w:t>2</w:t>
            </w:r>
          </w:p>
        </w:tc>
        <w:tc>
          <w:tcPr>
            <w:tcW w:w="1252" w:type="dxa"/>
          </w:tcPr>
          <w:p w14:paraId="0F6F4819" w14:textId="77777777" w:rsidR="00860F8E" w:rsidRPr="00053FD1" w:rsidRDefault="00860F8E" w:rsidP="005D646B">
            <w:pPr>
              <w:pStyle w:val="TableText"/>
            </w:pPr>
            <w:r w:rsidRPr="00053FD1">
              <w:t>1</w:t>
            </w:r>
          </w:p>
        </w:tc>
      </w:tr>
    </w:tbl>
    <w:p w14:paraId="5DDD2526" w14:textId="77777777" w:rsidR="00860F8E" w:rsidRPr="00053FD1" w:rsidRDefault="00860F8E" w:rsidP="00860F8E"/>
    <w:p w14:paraId="07E704AA" w14:textId="77777777" w:rsidR="00860F8E" w:rsidRPr="00053FD1" w:rsidRDefault="00860F8E" w:rsidP="00860F8E">
      <w:pPr>
        <w:pStyle w:val="Heading2"/>
      </w:pPr>
      <w:r w:rsidRPr="00053FD1">
        <w:lastRenderedPageBreak/>
        <w:t>Enforcement</w:t>
      </w:r>
    </w:p>
    <w:p w14:paraId="44AAA9C7" w14:textId="77777777" w:rsidR="00860F8E" w:rsidRPr="00053FD1" w:rsidRDefault="00860F8E" w:rsidP="00860F8E">
      <w:pPr>
        <w:keepNext/>
        <w:spacing w:before="180" w:after="240"/>
        <w:ind w:left="1440" w:hanging="1440"/>
        <w:rPr>
          <w:rFonts w:ascii="Arial Narrow" w:hAnsi="Arial Narrow"/>
          <w:b/>
          <w:color w:val="0099CC"/>
          <w:sz w:val="22"/>
          <w:szCs w:val="22"/>
          <w:u w:color="0099CC"/>
        </w:rPr>
      </w:pPr>
      <w:r w:rsidRPr="00053FD1">
        <w:rPr>
          <w:rFonts w:ascii="Arial Narrow" w:hAnsi="Arial Narrow"/>
          <w:b/>
          <w:color w:val="0099CC"/>
          <w:sz w:val="22"/>
          <w:szCs w:val="22"/>
          <w:u w:color="0099CC"/>
        </w:rPr>
        <w:t>Table B.9</w:t>
      </w:r>
      <w:r w:rsidRPr="00053FD1">
        <w:rPr>
          <w:rFonts w:ascii="Arial Narrow" w:hAnsi="Arial Narrow"/>
          <w:b/>
          <w:color w:val="0099CC"/>
          <w:sz w:val="22"/>
          <w:szCs w:val="22"/>
          <w:u w:color="0099CC"/>
        </w:rPr>
        <w:tab/>
        <w:t>Medical certificate cancellations and suspensions, 2013–14 to 2017–18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956"/>
        <w:gridCol w:w="624"/>
        <w:gridCol w:w="629"/>
        <w:gridCol w:w="624"/>
        <w:gridCol w:w="629"/>
        <w:gridCol w:w="624"/>
        <w:gridCol w:w="628"/>
        <w:gridCol w:w="626"/>
        <w:gridCol w:w="628"/>
        <w:gridCol w:w="1026"/>
        <w:gridCol w:w="1022"/>
      </w:tblGrid>
      <w:tr w:rsidR="00860F8E" w:rsidRPr="00053FD1" w14:paraId="4AABEC90" w14:textId="77777777" w:rsidTr="00E849B5">
        <w:tc>
          <w:tcPr>
            <w:tcW w:w="1085" w:type="pct"/>
            <w:vAlign w:val="bottom"/>
          </w:tcPr>
          <w:p w14:paraId="623FFDB9" w14:textId="77777777" w:rsidR="00860F8E" w:rsidRPr="005D646B" w:rsidRDefault="00860F8E" w:rsidP="005D646B">
            <w:pPr>
              <w:pStyle w:val="TableText"/>
              <w:rPr>
                <w:b/>
              </w:rPr>
            </w:pPr>
            <w:r w:rsidRPr="005D646B">
              <w:rPr>
                <w:b/>
              </w:rPr>
              <w:t>Certificate</w:t>
            </w:r>
          </w:p>
        </w:tc>
        <w:tc>
          <w:tcPr>
            <w:tcW w:w="695" w:type="pct"/>
            <w:gridSpan w:val="2"/>
          </w:tcPr>
          <w:p w14:paraId="4BF59885" w14:textId="77777777" w:rsidR="00860F8E" w:rsidRPr="005D646B" w:rsidRDefault="00860F8E" w:rsidP="005D646B">
            <w:pPr>
              <w:pStyle w:val="TableText"/>
              <w:rPr>
                <w:b/>
              </w:rPr>
            </w:pPr>
            <w:r w:rsidRPr="005D646B">
              <w:rPr>
                <w:b/>
              </w:rPr>
              <w:t>2013–14</w:t>
            </w:r>
          </w:p>
        </w:tc>
        <w:tc>
          <w:tcPr>
            <w:tcW w:w="695" w:type="pct"/>
            <w:gridSpan w:val="2"/>
          </w:tcPr>
          <w:p w14:paraId="27E8F8E4" w14:textId="77777777" w:rsidR="00860F8E" w:rsidRPr="005D646B" w:rsidRDefault="00860F8E" w:rsidP="005D646B">
            <w:pPr>
              <w:pStyle w:val="TableText"/>
              <w:rPr>
                <w:b/>
              </w:rPr>
            </w:pPr>
            <w:r w:rsidRPr="005D646B">
              <w:rPr>
                <w:b/>
              </w:rPr>
              <w:t>2014–15</w:t>
            </w:r>
          </w:p>
        </w:tc>
        <w:tc>
          <w:tcPr>
            <w:tcW w:w="694" w:type="pct"/>
            <w:gridSpan w:val="2"/>
          </w:tcPr>
          <w:p w14:paraId="2FA0FCC0" w14:textId="77777777" w:rsidR="00860F8E" w:rsidRPr="005D646B" w:rsidRDefault="00860F8E" w:rsidP="005D646B">
            <w:pPr>
              <w:pStyle w:val="TableText"/>
              <w:rPr>
                <w:b/>
              </w:rPr>
            </w:pPr>
            <w:r w:rsidRPr="005D646B">
              <w:rPr>
                <w:b/>
              </w:rPr>
              <w:t>2015–16</w:t>
            </w:r>
          </w:p>
        </w:tc>
        <w:tc>
          <w:tcPr>
            <w:tcW w:w="695" w:type="pct"/>
            <w:gridSpan w:val="2"/>
          </w:tcPr>
          <w:p w14:paraId="4E0D14E3" w14:textId="77777777" w:rsidR="00860F8E" w:rsidRPr="005D646B" w:rsidRDefault="00860F8E" w:rsidP="005D646B">
            <w:pPr>
              <w:pStyle w:val="TableText"/>
              <w:rPr>
                <w:b/>
              </w:rPr>
            </w:pPr>
            <w:r w:rsidRPr="005D646B">
              <w:rPr>
                <w:b/>
              </w:rPr>
              <w:t>2016–17</w:t>
            </w:r>
          </w:p>
        </w:tc>
        <w:tc>
          <w:tcPr>
            <w:tcW w:w="1136" w:type="pct"/>
            <w:gridSpan w:val="2"/>
          </w:tcPr>
          <w:p w14:paraId="66E718B6" w14:textId="77777777" w:rsidR="00860F8E" w:rsidRPr="005D646B" w:rsidRDefault="00860F8E" w:rsidP="005D646B">
            <w:pPr>
              <w:pStyle w:val="TableText"/>
              <w:rPr>
                <w:b/>
              </w:rPr>
            </w:pPr>
            <w:r w:rsidRPr="005D646B">
              <w:rPr>
                <w:b/>
              </w:rPr>
              <w:t>2017–18</w:t>
            </w:r>
          </w:p>
        </w:tc>
      </w:tr>
      <w:tr w:rsidR="00860F8E" w:rsidRPr="00053FD1" w14:paraId="711E4F79" w14:textId="77777777" w:rsidTr="00E849B5">
        <w:tc>
          <w:tcPr>
            <w:tcW w:w="1085" w:type="pct"/>
          </w:tcPr>
          <w:p w14:paraId="409F201D" w14:textId="77777777" w:rsidR="00860F8E" w:rsidRPr="00053FD1" w:rsidRDefault="00860F8E" w:rsidP="005D646B">
            <w:pPr>
              <w:pStyle w:val="TableText"/>
            </w:pPr>
          </w:p>
        </w:tc>
        <w:tc>
          <w:tcPr>
            <w:tcW w:w="346" w:type="pct"/>
          </w:tcPr>
          <w:p w14:paraId="339FBD2C" w14:textId="77777777" w:rsidR="00860F8E" w:rsidRPr="00053FD1" w:rsidRDefault="00860F8E" w:rsidP="005D646B">
            <w:pPr>
              <w:pStyle w:val="TableText"/>
            </w:pPr>
            <w:r w:rsidRPr="00053FD1">
              <w:t>C</w:t>
            </w:r>
          </w:p>
        </w:tc>
        <w:tc>
          <w:tcPr>
            <w:tcW w:w="349" w:type="pct"/>
          </w:tcPr>
          <w:p w14:paraId="12290326" w14:textId="77777777" w:rsidR="00860F8E" w:rsidRPr="00053FD1" w:rsidRDefault="00860F8E" w:rsidP="005D646B">
            <w:pPr>
              <w:pStyle w:val="TableText"/>
            </w:pPr>
            <w:r w:rsidRPr="00053FD1">
              <w:t>S</w:t>
            </w:r>
          </w:p>
        </w:tc>
        <w:tc>
          <w:tcPr>
            <w:tcW w:w="346" w:type="pct"/>
          </w:tcPr>
          <w:p w14:paraId="4A6A8B31" w14:textId="77777777" w:rsidR="00860F8E" w:rsidRPr="00053FD1" w:rsidRDefault="00860F8E" w:rsidP="005D646B">
            <w:pPr>
              <w:pStyle w:val="TableText"/>
            </w:pPr>
            <w:r w:rsidRPr="00053FD1">
              <w:t>C</w:t>
            </w:r>
          </w:p>
        </w:tc>
        <w:tc>
          <w:tcPr>
            <w:tcW w:w="349" w:type="pct"/>
          </w:tcPr>
          <w:p w14:paraId="746AAE17" w14:textId="77777777" w:rsidR="00860F8E" w:rsidRPr="00053FD1" w:rsidRDefault="00860F8E" w:rsidP="005D646B">
            <w:pPr>
              <w:pStyle w:val="TableText"/>
            </w:pPr>
            <w:r w:rsidRPr="00053FD1">
              <w:t>S</w:t>
            </w:r>
          </w:p>
        </w:tc>
        <w:tc>
          <w:tcPr>
            <w:tcW w:w="346" w:type="pct"/>
          </w:tcPr>
          <w:p w14:paraId="3BA599A6" w14:textId="77777777" w:rsidR="00860F8E" w:rsidRPr="00053FD1" w:rsidRDefault="00860F8E" w:rsidP="005D646B">
            <w:pPr>
              <w:pStyle w:val="TableText"/>
            </w:pPr>
            <w:r w:rsidRPr="00053FD1">
              <w:t>C</w:t>
            </w:r>
          </w:p>
        </w:tc>
        <w:tc>
          <w:tcPr>
            <w:tcW w:w="348" w:type="pct"/>
          </w:tcPr>
          <w:p w14:paraId="5B04415B" w14:textId="77777777" w:rsidR="00860F8E" w:rsidRPr="00053FD1" w:rsidRDefault="00860F8E" w:rsidP="005D646B">
            <w:pPr>
              <w:pStyle w:val="TableText"/>
            </w:pPr>
            <w:r w:rsidRPr="00053FD1">
              <w:t>S</w:t>
            </w:r>
          </w:p>
        </w:tc>
        <w:tc>
          <w:tcPr>
            <w:tcW w:w="347" w:type="pct"/>
          </w:tcPr>
          <w:p w14:paraId="4D4C27E9" w14:textId="77777777" w:rsidR="00860F8E" w:rsidRPr="00053FD1" w:rsidRDefault="00860F8E" w:rsidP="005D646B">
            <w:pPr>
              <w:pStyle w:val="TableText"/>
            </w:pPr>
            <w:r w:rsidRPr="00053FD1">
              <w:t>C</w:t>
            </w:r>
          </w:p>
        </w:tc>
        <w:tc>
          <w:tcPr>
            <w:tcW w:w="348" w:type="pct"/>
          </w:tcPr>
          <w:p w14:paraId="7DA3E60A" w14:textId="77777777" w:rsidR="00860F8E" w:rsidRPr="00053FD1" w:rsidRDefault="00860F8E" w:rsidP="005D646B">
            <w:pPr>
              <w:pStyle w:val="TableText"/>
            </w:pPr>
            <w:r w:rsidRPr="00053FD1">
              <w:t>S</w:t>
            </w:r>
          </w:p>
        </w:tc>
        <w:tc>
          <w:tcPr>
            <w:tcW w:w="569" w:type="pct"/>
          </w:tcPr>
          <w:p w14:paraId="13BD0A04" w14:textId="77777777" w:rsidR="00860F8E" w:rsidRPr="00053FD1" w:rsidRDefault="00860F8E" w:rsidP="005D646B">
            <w:pPr>
              <w:pStyle w:val="TableText"/>
            </w:pPr>
            <w:r w:rsidRPr="00053FD1">
              <w:t>C</w:t>
            </w:r>
          </w:p>
        </w:tc>
        <w:tc>
          <w:tcPr>
            <w:tcW w:w="567" w:type="pct"/>
          </w:tcPr>
          <w:p w14:paraId="56360302" w14:textId="77777777" w:rsidR="00860F8E" w:rsidRPr="00053FD1" w:rsidRDefault="00860F8E" w:rsidP="005D646B">
            <w:pPr>
              <w:pStyle w:val="TableText"/>
            </w:pPr>
            <w:r w:rsidRPr="00053FD1">
              <w:t>S</w:t>
            </w:r>
          </w:p>
        </w:tc>
      </w:tr>
      <w:tr w:rsidR="00860F8E" w:rsidRPr="00053FD1" w14:paraId="659ABA33" w14:textId="77777777" w:rsidTr="00E849B5">
        <w:tc>
          <w:tcPr>
            <w:tcW w:w="1085" w:type="pct"/>
          </w:tcPr>
          <w:p w14:paraId="32DBB671" w14:textId="77777777" w:rsidR="00860F8E" w:rsidRPr="00053FD1" w:rsidRDefault="00860F8E" w:rsidP="005D646B">
            <w:pPr>
              <w:pStyle w:val="TableText"/>
            </w:pPr>
            <w:r w:rsidRPr="00053FD1">
              <w:t xml:space="preserve">Class 1 </w:t>
            </w:r>
          </w:p>
        </w:tc>
        <w:tc>
          <w:tcPr>
            <w:tcW w:w="346" w:type="pct"/>
          </w:tcPr>
          <w:p w14:paraId="31F2CCAB" w14:textId="77777777" w:rsidR="00860F8E" w:rsidRPr="00053FD1" w:rsidRDefault="00860F8E" w:rsidP="005D646B">
            <w:pPr>
              <w:pStyle w:val="TableText"/>
            </w:pPr>
            <w:r w:rsidRPr="00053FD1">
              <w:t>13</w:t>
            </w:r>
          </w:p>
        </w:tc>
        <w:tc>
          <w:tcPr>
            <w:tcW w:w="349" w:type="pct"/>
          </w:tcPr>
          <w:p w14:paraId="4AA277C4" w14:textId="77777777" w:rsidR="00860F8E" w:rsidRPr="00053FD1" w:rsidRDefault="00860F8E" w:rsidP="005D646B">
            <w:pPr>
              <w:pStyle w:val="TableText"/>
            </w:pPr>
            <w:r w:rsidRPr="00053FD1">
              <w:t>28</w:t>
            </w:r>
          </w:p>
        </w:tc>
        <w:tc>
          <w:tcPr>
            <w:tcW w:w="346" w:type="pct"/>
          </w:tcPr>
          <w:p w14:paraId="55D96428" w14:textId="77777777" w:rsidR="00860F8E" w:rsidRPr="00053FD1" w:rsidRDefault="00860F8E" w:rsidP="005D646B">
            <w:pPr>
              <w:pStyle w:val="TableText"/>
            </w:pPr>
            <w:r w:rsidRPr="00053FD1">
              <w:t>–</w:t>
            </w:r>
          </w:p>
        </w:tc>
        <w:tc>
          <w:tcPr>
            <w:tcW w:w="349" w:type="pct"/>
          </w:tcPr>
          <w:p w14:paraId="0FE43717" w14:textId="77777777" w:rsidR="00860F8E" w:rsidRPr="00053FD1" w:rsidRDefault="00860F8E" w:rsidP="005D646B">
            <w:pPr>
              <w:pStyle w:val="TableText"/>
            </w:pPr>
            <w:r w:rsidRPr="00053FD1">
              <w:t>1</w:t>
            </w:r>
          </w:p>
        </w:tc>
        <w:tc>
          <w:tcPr>
            <w:tcW w:w="346" w:type="pct"/>
          </w:tcPr>
          <w:p w14:paraId="412217B1" w14:textId="77777777" w:rsidR="00860F8E" w:rsidRPr="00053FD1" w:rsidRDefault="00860F8E" w:rsidP="005D646B">
            <w:pPr>
              <w:pStyle w:val="TableText"/>
            </w:pPr>
            <w:r w:rsidRPr="00053FD1">
              <w:t>15</w:t>
            </w:r>
          </w:p>
        </w:tc>
        <w:tc>
          <w:tcPr>
            <w:tcW w:w="348" w:type="pct"/>
          </w:tcPr>
          <w:p w14:paraId="53F3ACD4" w14:textId="77777777" w:rsidR="00860F8E" w:rsidRPr="00053FD1" w:rsidRDefault="00860F8E" w:rsidP="005D646B">
            <w:pPr>
              <w:pStyle w:val="TableText"/>
            </w:pPr>
            <w:r w:rsidRPr="00053FD1">
              <w:t>33</w:t>
            </w:r>
          </w:p>
        </w:tc>
        <w:tc>
          <w:tcPr>
            <w:tcW w:w="347" w:type="pct"/>
          </w:tcPr>
          <w:p w14:paraId="463A1E73" w14:textId="77777777" w:rsidR="00860F8E" w:rsidRPr="00053FD1" w:rsidRDefault="00860F8E" w:rsidP="005D646B">
            <w:pPr>
              <w:pStyle w:val="TableText"/>
            </w:pPr>
            <w:r w:rsidRPr="00053FD1">
              <w:t>12</w:t>
            </w:r>
          </w:p>
        </w:tc>
        <w:tc>
          <w:tcPr>
            <w:tcW w:w="348" w:type="pct"/>
          </w:tcPr>
          <w:p w14:paraId="3EAF0F06" w14:textId="77777777" w:rsidR="00860F8E" w:rsidRPr="00053FD1" w:rsidRDefault="00860F8E" w:rsidP="005D646B">
            <w:pPr>
              <w:pStyle w:val="TableText"/>
            </w:pPr>
            <w:r w:rsidRPr="00053FD1">
              <w:t>41</w:t>
            </w:r>
          </w:p>
        </w:tc>
        <w:tc>
          <w:tcPr>
            <w:tcW w:w="569" w:type="pct"/>
          </w:tcPr>
          <w:p w14:paraId="5CE02C93" w14:textId="77777777" w:rsidR="00860F8E" w:rsidRPr="00053FD1" w:rsidRDefault="00860F8E" w:rsidP="005D646B">
            <w:pPr>
              <w:pStyle w:val="TableText"/>
            </w:pPr>
            <w:r w:rsidRPr="00053FD1">
              <w:t>37</w:t>
            </w:r>
          </w:p>
        </w:tc>
        <w:tc>
          <w:tcPr>
            <w:tcW w:w="567" w:type="pct"/>
          </w:tcPr>
          <w:p w14:paraId="1F1AE39D" w14:textId="77777777" w:rsidR="00860F8E" w:rsidRPr="00053FD1" w:rsidRDefault="00860F8E" w:rsidP="005D646B">
            <w:pPr>
              <w:pStyle w:val="TableText"/>
            </w:pPr>
            <w:r w:rsidRPr="00053FD1">
              <w:t>33</w:t>
            </w:r>
          </w:p>
        </w:tc>
      </w:tr>
      <w:tr w:rsidR="00860F8E" w:rsidRPr="00053FD1" w14:paraId="531849C4" w14:textId="77777777" w:rsidTr="00E849B5">
        <w:tc>
          <w:tcPr>
            <w:tcW w:w="1085" w:type="pct"/>
          </w:tcPr>
          <w:p w14:paraId="7BE63142" w14:textId="77777777" w:rsidR="00860F8E" w:rsidRPr="00053FD1" w:rsidRDefault="00860F8E" w:rsidP="005D646B">
            <w:pPr>
              <w:pStyle w:val="TableText"/>
            </w:pPr>
            <w:r w:rsidRPr="00053FD1">
              <w:t xml:space="preserve">Class 2 </w:t>
            </w:r>
          </w:p>
        </w:tc>
        <w:tc>
          <w:tcPr>
            <w:tcW w:w="346" w:type="pct"/>
          </w:tcPr>
          <w:p w14:paraId="48FC9F0C" w14:textId="77777777" w:rsidR="00860F8E" w:rsidRPr="00053FD1" w:rsidRDefault="00860F8E" w:rsidP="005D646B">
            <w:pPr>
              <w:pStyle w:val="TableText"/>
            </w:pPr>
            <w:r w:rsidRPr="00053FD1">
              <w:t>19</w:t>
            </w:r>
          </w:p>
        </w:tc>
        <w:tc>
          <w:tcPr>
            <w:tcW w:w="349" w:type="pct"/>
          </w:tcPr>
          <w:p w14:paraId="1E6E62C2" w14:textId="77777777" w:rsidR="00860F8E" w:rsidRPr="00053FD1" w:rsidRDefault="00860F8E" w:rsidP="005D646B">
            <w:pPr>
              <w:pStyle w:val="TableText"/>
            </w:pPr>
            <w:r w:rsidRPr="00053FD1">
              <w:t>49</w:t>
            </w:r>
          </w:p>
        </w:tc>
        <w:tc>
          <w:tcPr>
            <w:tcW w:w="346" w:type="pct"/>
          </w:tcPr>
          <w:p w14:paraId="0BCF6653" w14:textId="77777777" w:rsidR="00860F8E" w:rsidRPr="00053FD1" w:rsidRDefault="00860F8E" w:rsidP="005D646B">
            <w:pPr>
              <w:pStyle w:val="TableText"/>
            </w:pPr>
            <w:r w:rsidRPr="00053FD1">
              <w:t>12</w:t>
            </w:r>
          </w:p>
        </w:tc>
        <w:tc>
          <w:tcPr>
            <w:tcW w:w="349" w:type="pct"/>
          </w:tcPr>
          <w:p w14:paraId="2E953A52" w14:textId="77777777" w:rsidR="00860F8E" w:rsidRPr="00053FD1" w:rsidRDefault="00860F8E" w:rsidP="005D646B">
            <w:pPr>
              <w:pStyle w:val="TableText"/>
            </w:pPr>
            <w:r w:rsidRPr="00053FD1">
              <w:t>45</w:t>
            </w:r>
          </w:p>
        </w:tc>
        <w:tc>
          <w:tcPr>
            <w:tcW w:w="346" w:type="pct"/>
          </w:tcPr>
          <w:p w14:paraId="2DEB3029" w14:textId="77777777" w:rsidR="00860F8E" w:rsidRPr="00053FD1" w:rsidRDefault="00860F8E" w:rsidP="005D646B">
            <w:pPr>
              <w:pStyle w:val="TableText"/>
            </w:pPr>
            <w:r w:rsidRPr="00053FD1">
              <w:t>9</w:t>
            </w:r>
          </w:p>
        </w:tc>
        <w:tc>
          <w:tcPr>
            <w:tcW w:w="348" w:type="pct"/>
          </w:tcPr>
          <w:p w14:paraId="32A35C9A" w14:textId="77777777" w:rsidR="00860F8E" w:rsidRPr="00053FD1" w:rsidRDefault="00860F8E" w:rsidP="005D646B">
            <w:pPr>
              <w:pStyle w:val="TableText"/>
            </w:pPr>
            <w:r w:rsidRPr="00053FD1">
              <w:t>21</w:t>
            </w:r>
          </w:p>
        </w:tc>
        <w:tc>
          <w:tcPr>
            <w:tcW w:w="347" w:type="pct"/>
          </w:tcPr>
          <w:p w14:paraId="40245344" w14:textId="77777777" w:rsidR="00860F8E" w:rsidRPr="00053FD1" w:rsidRDefault="00860F8E" w:rsidP="005D646B">
            <w:pPr>
              <w:pStyle w:val="TableText"/>
            </w:pPr>
            <w:r w:rsidRPr="00053FD1">
              <w:t>23</w:t>
            </w:r>
          </w:p>
        </w:tc>
        <w:tc>
          <w:tcPr>
            <w:tcW w:w="348" w:type="pct"/>
          </w:tcPr>
          <w:p w14:paraId="4C9B30F1" w14:textId="77777777" w:rsidR="00860F8E" w:rsidRPr="00053FD1" w:rsidRDefault="00860F8E" w:rsidP="005D646B">
            <w:pPr>
              <w:pStyle w:val="TableText"/>
            </w:pPr>
            <w:r w:rsidRPr="00053FD1">
              <w:t>60</w:t>
            </w:r>
          </w:p>
        </w:tc>
        <w:tc>
          <w:tcPr>
            <w:tcW w:w="569" w:type="pct"/>
          </w:tcPr>
          <w:p w14:paraId="78B17433" w14:textId="77777777" w:rsidR="00860F8E" w:rsidRPr="00053FD1" w:rsidRDefault="00860F8E" w:rsidP="005D646B">
            <w:pPr>
              <w:pStyle w:val="TableText"/>
            </w:pPr>
            <w:r w:rsidRPr="00053FD1">
              <w:t>42</w:t>
            </w:r>
          </w:p>
        </w:tc>
        <w:tc>
          <w:tcPr>
            <w:tcW w:w="567" w:type="pct"/>
          </w:tcPr>
          <w:p w14:paraId="4AC3C2E3" w14:textId="77777777" w:rsidR="00860F8E" w:rsidRPr="00053FD1" w:rsidRDefault="00860F8E" w:rsidP="005D646B">
            <w:pPr>
              <w:pStyle w:val="TableText"/>
            </w:pPr>
            <w:r w:rsidRPr="00053FD1">
              <w:t>28</w:t>
            </w:r>
          </w:p>
        </w:tc>
      </w:tr>
      <w:tr w:rsidR="00860F8E" w:rsidRPr="00053FD1" w14:paraId="5D5DE4C7" w14:textId="77777777" w:rsidTr="00E849B5">
        <w:tc>
          <w:tcPr>
            <w:tcW w:w="1085" w:type="pct"/>
          </w:tcPr>
          <w:p w14:paraId="65D2D318" w14:textId="77777777" w:rsidR="00860F8E" w:rsidRPr="00053FD1" w:rsidRDefault="00860F8E" w:rsidP="005D646B">
            <w:pPr>
              <w:pStyle w:val="TableText"/>
            </w:pPr>
            <w:r w:rsidRPr="00053FD1">
              <w:t>Class 3</w:t>
            </w:r>
          </w:p>
        </w:tc>
        <w:tc>
          <w:tcPr>
            <w:tcW w:w="346" w:type="pct"/>
          </w:tcPr>
          <w:p w14:paraId="63F93953" w14:textId="77777777" w:rsidR="00860F8E" w:rsidRPr="00053FD1" w:rsidRDefault="00860F8E" w:rsidP="005D646B">
            <w:pPr>
              <w:pStyle w:val="TableText"/>
            </w:pPr>
            <w:r w:rsidRPr="00053FD1">
              <w:t>1</w:t>
            </w:r>
          </w:p>
        </w:tc>
        <w:tc>
          <w:tcPr>
            <w:tcW w:w="349" w:type="pct"/>
          </w:tcPr>
          <w:p w14:paraId="6B191DC9" w14:textId="77777777" w:rsidR="00860F8E" w:rsidRPr="00053FD1" w:rsidRDefault="00860F8E" w:rsidP="005D646B">
            <w:pPr>
              <w:pStyle w:val="TableText"/>
            </w:pPr>
            <w:r w:rsidRPr="00053FD1">
              <w:t>4</w:t>
            </w:r>
          </w:p>
        </w:tc>
        <w:tc>
          <w:tcPr>
            <w:tcW w:w="346" w:type="pct"/>
          </w:tcPr>
          <w:p w14:paraId="3D9892CB" w14:textId="77777777" w:rsidR="00860F8E" w:rsidRPr="00053FD1" w:rsidRDefault="00860F8E" w:rsidP="005D646B">
            <w:pPr>
              <w:pStyle w:val="TableText"/>
            </w:pPr>
            <w:r w:rsidRPr="00053FD1">
              <w:t>2</w:t>
            </w:r>
          </w:p>
        </w:tc>
        <w:tc>
          <w:tcPr>
            <w:tcW w:w="349" w:type="pct"/>
          </w:tcPr>
          <w:p w14:paraId="21444971" w14:textId="77777777" w:rsidR="00860F8E" w:rsidRPr="00053FD1" w:rsidRDefault="00860F8E" w:rsidP="005D646B">
            <w:pPr>
              <w:pStyle w:val="TableText"/>
            </w:pPr>
            <w:r w:rsidRPr="00053FD1">
              <w:t>10</w:t>
            </w:r>
          </w:p>
        </w:tc>
        <w:tc>
          <w:tcPr>
            <w:tcW w:w="346" w:type="pct"/>
          </w:tcPr>
          <w:p w14:paraId="53C249C5" w14:textId="77777777" w:rsidR="00860F8E" w:rsidRPr="00053FD1" w:rsidRDefault="00860F8E" w:rsidP="005D646B">
            <w:pPr>
              <w:pStyle w:val="TableText"/>
            </w:pPr>
            <w:r w:rsidRPr="00053FD1">
              <w:t>2</w:t>
            </w:r>
          </w:p>
        </w:tc>
        <w:tc>
          <w:tcPr>
            <w:tcW w:w="348" w:type="pct"/>
          </w:tcPr>
          <w:p w14:paraId="5F94DC9C" w14:textId="77777777" w:rsidR="00860F8E" w:rsidRPr="00053FD1" w:rsidRDefault="00860F8E" w:rsidP="005D646B">
            <w:pPr>
              <w:pStyle w:val="TableText"/>
            </w:pPr>
            <w:r w:rsidRPr="00053FD1">
              <w:t>3</w:t>
            </w:r>
          </w:p>
        </w:tc>
        <w:tc>
          <w:tcPr>
            <w:tcW w:w="347" w:type="pct"/>
          </w:tcPr>
          <w:p w14:paraId="6CE048E7" w14:textId="77777777" w:rsidR="00860F8E" w:rsidRPr="00053FD1" w:rsidRDefault="00860F8E" w:rsidP="005D646B">
            <w:pPr>
              <w:pStyle w:val="TableText"/>
            </w:pPr>
            <w:r w:rsidRPr="00053FD1">
              <w:t>5</w:t>
            </w:r>
          </w:p>
        </w:tc>
        <w:tc>
          <w:tcPr>
            <w:tcW w:w="348" w:type="pct"/>
          </w:tcPr>
          <w:p w14:paraId="7359A5E6" w14:textId="77777777" w:rsidR="00860F8E" w:rsidRPr="00053FD1" w:rsidRDefault="00860F8E" w:rsidP="005D646B">
            <w:pPr>
              <w:pStyle w:val="TableText"/>
            </w:pPr>
            <w:r w:rsidRPr="00053FD1">
              <w:t>7</w:t>
            </w:r>
          </w:p>
        </w:tc>
        <w:tc>
          <w:tcPr>
            <w:tcW w:w="569" w:type="pct"/>
          </w:tcPr>
          <w:p w14:paraId="513E5C9E" w14:textId="77777777" w:rsidR="00860F8E" w:rsidRPr="00053FD1" w:rsidRDefault="00860F8E" w:rsidP="005D646B">
            <w:pPr>
              <w:pStyle w:val="TableText"/>
            </w:pPr>
            <w:r w:rsidRPr="00053FD1">
              <w:t>3</w:t>
            </w:r>
          </w:p>
        </w:tc>
        <w:tc>
          <w:tcPr>
            <w:tcW w:w="567" w:type="pct"/>
          </w:tcPr>
          <w:p w14:paraId="6074012C" w14:textId="77777777" w:rsidR="00860F8E" w:rsidRPr="00053FD1" w:rsidRDefault="00860F8E" w:rsidP="005D646B">
            <w:pPr>
              <w:pStyle w:val="TableText"/>
            </w:pPr>
            <w:r>
              <w:t>4</w:t>
            </w:r>
          </w:p>
        </w:tc>
      </w:tr>
    </w:tbl>
    <w:p w14:paraId="761E806E" w14:textId="77777777" w:rsidR="00860F8E" w:rsidRPr="00053FD1" w:rsidRDefault="00860F8E" w:rsidP="00860F8E">
      <w:pPr>
        <w:keepLines/>
        <w:tabs>
          <w:tab w:val="left" w:pos="284"/>
          <w:tab w:val="left" w:pos="567"/>
        </w:tabs>
        <w:spacing w:before="60"/>
        <w:rPr>
          <w:rFonts w:ascii="Arial Narrow" w:hAnsi="Arial Narrow"/>
          <w:sz w:val="16"/>
        </w:rPr>
      </w:pPr>
      <w:r w:rsidRPr="00053FD1">
        <w:rPr>
          <w:rFonts w:ascii="Arial Narrow" w:hAnsi="Arial Narrow"/>
          <w:sz w:val="16"/>
        </w:rPr>
        <w:t>C = cancelled, S = suspended</w:t>
      </w:r>
    </w:p>
    <w:p w14:paraId="0B31E982" w14:textId="77777777" w:rsidR="00860F8E" w:rsidRPr="00053FD1" w:rsidRDefault="00860F8E" w:rsidP="00860F8E">
      <w:pPr>
        <w:keepLines/>
        <w:tabs>
          <w:tab w:val="left" w:pos="284"/>
          <w:tab w:val="left" w:pos="567"/>
        </w:tabs>
        <w:spacing w:before="60" w:after="360"/>
        <w:rPr>
          <w:rFonts w:ascii="Arial Narrow" w:hAnsi="Arial Narrow"/>
          <w:sz w:val="16"/>
        </w:rPr>
      </w:pPr>
      <w:r w:rsidRPr="00053FD1">
        <w:rPr>
          <w:rFonts w:ascii="Arial Narrow" w:hAnsi="Arial Narrow"/>
          <w:b/>
          <w:sz w:val="16"/>
        </w:rPr>
        <w:t>Note</w:t>
      </w:r>
      <w:r w:rsidRPr="00053FD1">
        <w:rPr>
          <w:rFonts w:ascii="Arial Narrow" w:hAnsi="Arial Narrow"/>
          <w:sz w:val="16"/>
        </w:rPr>
        <w:t>: The certificate classes are 1 Professional pilots and flight engineers, 2 Student and private pilots, and 3 Air traffic control and flight service providers.</w:t>
      </w:r>
    </w:p>
    <w:p w14:paraId="14D7E949" w14:textId="77777777" w:rsidR="00860F8E" w:rsidRPr="00053FD1" w:rsidRDefault="00860F8E" w:rsidP="00860F8E">
      <w:pPr>
        <w:pStyle w:val="TableName"/>
        <w:rPr>
          <w:b w:val="0"/>
          <w:color w:val="FF0000"/>
          <w:sz w:val="20"/>
          <w:szCs w:val="20"/>
        </w:rPr>
      </w:pPr>
      <w:r w:rsidRPr="00053FD1">
        <w:t>Table B.10</w:t>
      </w:r>
      <w:r w:rsidRPr="00053FD1">
        <w:tab/>
        <w:t xml:space="preserve">Licence and certificate actions, 2013–14 to 2017–18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2410"/>
        <w:gridCol w:w="1322"/>
        <w:gridCol w:w="1322"/>
        <w:gridCol w:w="1322"/>
        <w:gridCol w:w="1322"/>
        <w:gridCol w:w="1318"/>
      </w:tblGrid>
      <w:tr w:rsidR="00860F8E" w:rsidRPr="00053FD1" w14:paraId="37E20AEB" w14:textId="77777777" w:rsidTr="00E849B5">
        <w:tc>
          <w:tcPr>
            <w:tcW w:w="1337" w:type="pct"/>
          </w:tcPr>
          <w:p w14:paraId="3A1D4CD1" w14:textId="77777777" w:rsidR="00860F8E" w:rsidRPr="005D646B" w:rsidRDefault="00860F8E" w:rsidP="005D646B">
            <w:pPr>
              <w:pStyle w:val="TableText"/>
              <w:rPr>
                <w:b/>
              </w:rPr>
            </w:pPr>
            <w:r w:rsidRPr="005D646B">
              <w:rPr>
                <w:b/>
              </w:rPr>
              <w:t>Action</w:t>
            </w:r>
          </w:p>
        </w:tc>
        <w:tc>
          <w:tcPr>
            <w:tcW w:w="733" w:type="pct"/>
          </w:tcPr>
          <w:p w14:paraId="1118C9B7" w14:textId="77777777" w:rsidR="00860F8E" w:rsidRPr="005D646B" w:rsidRDefault="00860F8E" w:rsidP="005D646B">
            <w:pPr>
              <w:pStyle w:val="TableText"/>
              <w:rPr>
                <w:b/>
              </w:rPr>
            </w:pPr>
            <w:r w:rsidRPr="005D646B">
              <w:rPr>
                <w:b/>
              </w:rPr>
              <w:t>2013–14</w:t>
            </w:r>
          </w:p>
        </w:tc>
        <w:tc>
          <w:tcPr>
            <w:tcW w:w="733" w:type="pct"/>
          </w:tcPr>
          <w:p w14:paraId="7EFF3882" w14:textId="77777777" w:rsidR="00860F8E" w:rsidRPr="005D646B" w:rsidRDefault="00860F8E" w:rsidP="005D646B">
            <w:pPr>
              <w:pStyle w:val="TableText"/>
              <w:rPr>
                <w:b/>
              </w:rPr>
            </w:pPr>
            <w:r w:rsidRPr="005D646B">
              <w:rPr>
                <w:b/>
              </w:rPr>
              <w:t>2014–15</w:t>
            </w:r>
          </w:p>
        </w:tc>
        <w:tc>
          <w:tcPr>
            <w:tcW w:w="733" w:type="pct"/>
          </w:tcPr>
          <w:p w14:paraId="2027DAED" w14:textId="77777777" w:rsidR="00860F8E" w:rsidRPr="005D646B" w:rsidRDefault="00860F8E" w:rsidP="005D646B">
            <w:pPr>
              <w:pStyle w:val="TableText"/>
              <w:rPr>
                <w:b/>
              </w:rPr>
            </w:pPr>
            <w:r w:rsidRPr="005D646B">
              <w:rPr>
                <w:b/>
              </w:rPr>
              <w:t>2015–16</w:t>
            </w:r>
          </w:p>
        </w:tc>
        <w:tc>
          <w:tcPr>
            <w:tcW w:w="733" w:type="pct"/>
          </w:tcPr>
          <w:p w14:paraId="340667C7" w14:textId="77777777" w:rsidR="00860F8E" w:rsidRPr="005D646B" w:rsidRDefault="00860F8E" w:rsidP="005D646B">
            <w:pPr>
              <w:pStyle w:val="TableText"/>
              <w:rPr>
                <w:b/>
              </w:rPr>
            </w:pPr>
            <w:r w:rsidRPr="005D646B">
              <w:rPr>
                <w:b/>
              </w:rPr>
              <w:t>2016–17</w:t>
            </w:r>
          </w:p>
        </w:tc>
        <w:tc>
          <w:tcPr>
            <w:tcW w:w="731" w:type="pct"/>
          </w:tcPr>
          <w:p w14:paraId="74C8012D" w14:textId="77777777" w:rsidR="00860F8E" w:rsidRPr="005D646B" w:rsidRDefault="00860F8E" w:rsidP="005D646B">
            <w:pPr>
              <w:pStyle w:val="TableText"/>
              <w:rPr>
                <w:b/>
              </w:rPr>
            </w:pPr>
            <w:r w:rsidRPr="005D646B">
              <w:rPr>
                <w:b/>
              </w:rPr>
              <w:t>2017–18</w:t>
            </w:r>
          </w:p>
        </w:tc>
      </w:tr>
      <w:tr w:rsidR="00860F8E" w:rsidRPr="00053FD1" w14:paraId="518971D9" w14:textId="77777777" w:rsidTr="00E849B5">
        <w:tc>
          <w:tcPr>
            <w:tcW w:w="1337" w:type="pct"/>
          </w:tcPr>
          <w:p w14:paraId="75C99EAD" w14:textId="77777777" w:rsidR="00860F8E" w:rsidRPr="00053FD1" w:rsidRDefault="00860F8E" w:rsidP="005D646B">
            <w:pPr>
              <w:pStyle w:val="TableText"/>
            </w:pPr>
            <w:r w:rsidRPr="00053FD1">
              <w:t xml:space="preserve">Show cause notices issued </w:t>
            </w:r>
          </w:p>
        </w:tc>
        <w:tc>
          <w:tcPr>
            <w:tcW w:w="733" w:type="pct"/>
          </w:tcPr>
          <w:p w14:paraId="52D953B9" w14:textId="77777777" w:rsidR="00860F8E" w:rsidRPr="00053FD1" w:rsidRDefault="00860F8E" w:rsidP="005D646B">
            <w:pPr>
              <w:pStyle w:val="TableText"/>
            </w:pPr>
            <w:r w:rsidRPr="00053FD1">
              <w:t>30</w:t>
            </w:r>
          </w:p>
        </w:tc>
        <w:tc>
          <w:tcPr>
            <w:tcW w:w="733" w:type="pct"/>
          </w:tcPr>
          <w:p w14:paraId="766DCA3A" w14:textId="77777777" w:rsidR="00860F8E" w:rsidRPr="00053FD1" w:rsidRDefault="00860F8E" w:rsidP="005D646B">
            <w:pPr>
              <w:pStyle w:val="TableText"/>
            </w:pPr>
            <w:r w:rsidRPr="00053FD1">
              <w:t>19</w:t>
            </w:r>
          </w:p>
        </w:tc>
        <w:tc>
          <w:tcPr>
            <w:tcW w:w="733" w:type="pct"/>
          </w:tcPr>
          <w:p w14:paraId="6CF41418" w14:textId="77777777" w:rsidR="00860F8E" w:rsidRPr="00053FD1" w:rsidRDefault="00860F8E" w:rsidP="005D646B">
            <w:pPr>
              <w:pStyle w:val="TableText"/>
            </w:pPr>
            <w:r w:rsidRPr="00053FD1">
              <w:t>27</w:t>
            </w:r>
          </w:p>
        </w:tc>
        <w:tc>
          <w:tcPr>
            <w:tcW w:w="733" w:type="pct"/>
          </w:tcPr>
          <w:p w14:paraId="6AB3D4D4" w14:textId="77777777" w:rsidR="00860F8E" w:rsidRPr="00053FD1" w:rsidRDefault="00860F8E" w:rsidP="005D646B">
            <w:pPr>
              <w:pStyle w:val="TableText"/>
            </w:pPr>
            <w:r w:rsidRPr="00053FD1">
              <w:t>35</w:t>
            </w:r>
          </w:p>
        </w:tc>
        <w:tc>
          <w:tcPr>
            <w:tcW w:w="731" w:type="pct"/>
          </w:tcPr>
          <w:p w14:paraId="0FF8A974" w14:textId="77777777" w:rsidR="00860F8E" w:rsidRPr="00053FD1" w:rsidRDefault="00860F8E" w:rsidP="005D646B">
            <w:pPr>
              <w:pStyle w:val="TableText"/>
            </w:pPr>
            <w:r w:rsidRPr="00053FD1">
              <w:t>42</w:t>
            </w:r>
          </w:p>
        </w:tc>
      </w:tr>
      <w:tr w:rsidR="00860F8E" w:rsidRPr="00053FD1" w14:paraId="45E6D63C" w14:textId="77777777" w:rsidTr="00E849B5">
        <w:tc>
          <w:tcPr>
            <w:tcW w:w="1337" w:type="pct"/>
          </w:tcPr>
          <w:p w14:paraId="20E18034" w14:textId="77777777" w:rsidR="00860F8E" w:rsidRPr="00053FD1" w:rsidRDefault="00860F8E" w:rsidP="005D646B">
            <w:pPr>
              <w:pStyle w:val="TableText"/>
            </w:pPr>
            <w:r w:rsidRPr="00053FD1">
              <w:t xml:space="preserve">Variations </w:t>
            </w:r>
          </w:p>
        </w:tc>
        <w:tc>
          <w:tcPr>
            <w:tcW w:w="733" w:type="pct"/>
          </w:tcPr>
          <w:p w14:paraId="060013BA" w14:textId="77777777" w:rsidR="00860F8E" w:rsidRPr="00053FD1" w:rsidRDefault="00860F8E" w:rsidP="005D646B">
            <w:pPr>
              <w:pStyle w:val="TableText"/>
            </w:pPr>
            <w:r w:rsidRPr="00053FD1">
              <w:t>6</w:t>
            </w:r>
          </w:p>
        </w:tc>
        <w:tc>
          <w:tcPr>
            <w:tcW w:w="733" w:type="pct"/>
          </w:tcPr>
          <w:p w14:paraId="4C0168F6" w14:textId="77777777" w:rsidR="00860F8E" w:rsidRPr="00053FD1" w:rsidRDefault="00860F8E" w:rsidP="005D646B">
            <w:pPr>
              <w:pStyle w:val="TableText"/>
            </w:pPr>
            <w:r w:rsidRPr="00053FD1">
              <w:t>2</w:t>
            </w:r>
          </w:p>
        </w:tc>
        <w:tc>
          <w:tcPr>
            <w:tcW w:w="733" w:type="pct"/>
          </w:tcPr>
          <w:p w14:paraId="6D248D84" w14:textId="77777777" w:rsidR="00860F8E" w:rsidRPr="00053FD1" w:rsidRDefault="00860F8E" w:rsidP="005D646B">
            <w:pPr>
              <w:pStyle w:val="TableText"/>
            </w:pPr>
            <w:r w:rsidRPr="00053FD1">
              <w:t>4</w:t>
            </w:r>
          </w:p>
        </w:tc>
        <w:tc>
          <w:tcPr>
            <w:tcW w:w="733" w:type="pct"/>
          </w:tcPr>
          <w:p w14:paraId="2E55ED3A" w14:textId="77777777" w:rsidR="00860F8E" w:rsidRPr="00053FD1" w:rsidRDefault="00860F8E" w:rsidP="005D646B">
            <w:pPr>
              <w:pStyle w:val="TableText"/>
            </w:pPr>
            <w:r w:rsidRPr="00053FD1">
              <w:t>5</w:t>
            </w:r>
          </w:p>
        </w:tc>
        <w:tc>
          <w:tcPr>
            <w:tcW w:w="731" w:type="pct"/>
          </w:tcPr>
          <w:p w14:paraId="317A8FAE" w14:textId="77777777" w:rsidR="00860F8E" w:rsidRPr="00053FD1" w:rsidRDefault="00860F8E" w:rsidP="005D646B">
            <w:pPr>
              <w:pStyle w:val="TableText"/>
            </w:pPr>
            <w:r w:rsidRPr="00053FD1">
              <w:t>1</w:t>
            </w:r>
          </w:p>
        </w:tc>
      </w:tr>
      <w:tr w:rsidR="00860F8E" w:rsidRPr="00053FD1" w14:paraId="0781F46C" w14:textId="77777777" w:rsidTr="00E849B5">
        <w:tc>
          <w:tcPr>
            <w:tcW w:w="1337" w:type="pct"/>
          </w:tcPr>
          <w:p w14:paraId="43B59556" w14:textId="77777777" w:rsidR="00860F8E" w:rsidRPr="00053FD1" w:rsidRDefault="00860F8E" w:rsidP="005D646B">
            <w:pPr>
              <w:pStyle w:val="TableText"/>
            </w:pPr>
            <w:r w:rsidRPr="00053FD1">
              <w:t>Suspensions</w:t>
            </w:r>
            <w:r w:rsidRPr="00053FD1">
              <w:rPr>
                <w:vertAlign w:val="superscript"/>
              </w:rPr>
              <w:t>a</w:t>
            </w:r>
          </w:p>
        </w:tc>
        <w:tc>
          <w:tcPr>
            <w:tcW w:w="733" w:type="pct"/>
          </w:tcPr>
          <w:p w14:paraId="282EE068" w14:textId="77777777" w:rsidR="00860F8E" w:rsidRPr="00053FD1" w:rsidRDefault="00860F8E" w:rsidP="005D646B">
            <w:pPr>
              <w:pStyle w:val="TableText"/>
            </w:pPr>
            <w:r w:rsidRPr="00053FD1">
              <w:t>9</w:t>
            </w:r>
          </w:p>
        </w:tc>
        <w:tc>
          <w:tcPr>
            <w:tcW w:w="733" w:type="pct"/>
          </w:tcPr>
          <w:p w14:paraId="2963B94B" w14:textId="77777777" w:rsidR="00860F8E" w:rsidRPr="00053FD1" w:rsidRDefault="00860F8E" w:rsidP="005D646B">
            <w:pPr>
              <w:pStyle w:val="TableText"/>
            </w:pPr>
            <w:r w:rsidRPr="00053FD1">
              <w:t>10</w:t>
            </w:r>
          </w:p>
        </w:tc>
        <w:tc>
          <w:tcPr>
            <w:tcW w:w="733" w:type="pct"/>
          </w:tcPr>
          <w:p w14:paraId="71C83EF8" w14:textId="77777777" w:rsidR="00860F8E" w:rsidRPr="00053FD1" w:rsidRDefault="00860F8E" w:rsidP="005D646B">
            <w:pPr>
              <w:pStyle w:val="TableText"/>
            </w:pPr>
            <w:r w:rsidRPr="00053FD1">
              <w:t>9</w:t>
            </w:r>
          </w:p>
        </w:tc>
        <w:tc>
          <w:tcPr>
            <w:tcW w:w="733" w:type="pct"/>
          </w:tcPr>
          <w:p w14:paraId="2A24B04C" w14:textId="77777777" w:rsidR="00860F8E" w:rsidRPr="00053FD1" w:rsidRDefault="00860F8E" w:rsidP="005D646B">
            <w:pPr>
              <w:pStyle w:val="TableText"/>
            </w:pPr>
            <w:r w:rsidRPr="00053FD1">
              <w:t>10</w:t>
            </w:r>
          </w:p>
        </w:tc>
        <w:tc>
          <w:tcPr>
            <w:tcW w:w="731" w:type="pct"/>
          </w:tcPr>
          <w:p w14:paraId="5C8C255B" w14:textId="77777777" w:rsidR="00860F8E" w:rsidRPr="00053FD1" w:rsidRDefault="00860F8E" w:rsidP="005D646B">
            <w:pPr>
              <w:pStyle w:val="TableText"/>
            </w:pPr>
            <w:r w:rsidRPr="00053FD1">
              <w:t>16</w:t>
            </w:r>
          </w:p>
        </w:tc>
      </w:tr>
      <w:tr w:rsidR="00860F8E" w:rsidRPr="00053FD1" w14:paraId="37E34384" w14:textId="77777777" w:rsidTr="00E849B5">
        <w:tc>
          <w:tcPr>
            <w:tcW w:w="1337" w:type="pct"/>
          </w:tcPr>
          <w:p w14:paraId="1F8A76FA" w14:textId="77777777" w:rsidR="00860F8E" w:rsidRPr="00053FD1" w:rsidRDefault="00860F8E" w:rsidP="005D646B">
            <w:pPr>
              <w:pStyle w:val="TableText"/>
            </w:pPr>
            <w:r w:rsidRPr="00053FD1">
              <w:t xml:space="preserve">Cancellations </w:t>
            </w:r>
          </w:p>
        </w:tc>
        <w:tc>
          <w:tcPr>
            <w:tcW w:w="733" w:type="pct"/>
          </w:tcPr>
          <w:p w14:paraId="1E0320F3" w14:textId="77777777" w:rsidR="00860F8E" w:rsidRPr="00053FD1" w:rsidRDefault="00860F8E" w:rsidP="005D646B">
            <w:pPr>
              <w:pStyle w:val="TableText"/>
            </w:pPr>
            <w:r w:rsidRPr="00053FD1">
              <w:t>20</w:t>
            </w:r>
          </w:p>
        </w:tc>
        <w:tc>
          <w:tcPr>
            <w:tcW w:w="733" w:type="pct"/>
          </w:tcPr>
          <w:p w14:paraId="7913D2BB" w14:textId="77777777" w:rsidR="00860F8E" w:rsidRPr="00053FD1" w:rsidRDefault="00860F8E" w:rsidP="005D646B">
            <w:pPr>
              <w:pStyle w:val="TableText"/>
            </w:pPr>
            <w:r w:rsidRPr="00053FD1">
              <w:t>6</w:t>
            </w:r>
          </w:p>
        </w:tc>
        <w:tc>
          <w:tcPr>
            <w:tcW w:w="733" w:type="pct"/>
          </w:tcPr>
          <w:p w14:paraId="08884294" w14:textId="77777777" w:rsidR="00860F8E" w:rsidRPr="00053FD1" w:rsidRDefault="00860F8E" w:rsidP="005D646B">
            <w:pPr>
              <w:pStyle w:val="TableText"/>
            </w:pPr>
            <w:r w:rsidRPr="00053FD1">
              <w:t>7</w:t>
            </w:r>
          </w:p>
        </w:tc>
        <w:tc>
          <w:tcPr>
            <w:tcW w:w="733" w:type="pct"/>
          </w:tcPr>
          <w:p w14:paraId="6E6ED7F1" w14:textId="77777777" w:rsidR="00860F8E" w:rsidRPr="00053FD1" w:rsidRDefault="00860F8E" w:rsidP="005D646B">
            <w:pPr>
              <w:pStyle w:val="TableText"/>
            </w:pPr>
            <w:r w:rsidRPr="00053FD1">
              <w:t>8</w:t>
            </w:r>
          </w:p>
        </w:tc>
        <w:tc>
          <w:tcPr>
            <w:tcW w:w="731" w:type="pct"/>
          </w:tcPr>
          <w:p w14:paraId="2D5F30E3" w14:textId="77777777" w:rsidR="00860F8E" w:rsidRPr="00053FD1" w:rsidRDefault="00860F8E" w:rsidP="005D646B">
            <w:pPr>
              <w:pStyle w:val="TableText"/>
            </w:pPr>
            <w:r w:rsidRPr="00053FD1">
              <w:t>9</w:t>
            </w:r>
          </w:p>
        </w:tc>
      </w:tr>
    </w:tbl>
    <w:p w14:paraId="24A1EAA2" w14:textId="77777777" w:rsidR="00860F8E" w:rsidRPr="00053FD1" w:rsidRDefault="00860F8E" w:rsidP="00860F8E">
      <w:pPr>
        <w:keepLines/>
        <w:tabs>
          <w:tab w:val="left" w:pos="284"/>
          <w:tab w:val="left" w:pos="567"/>
        </w:tabs>
        <w:spacing w:before="60"/>
        <w:rPr>
          <w:rFonts w:ascii="Arial Narrow" w:hAnsi="Arial Narrow"/>
          <w:sz w:val="16"/>
        </w:rPr>
      </w:pPr>
      <w:r w:rsidRPr="00053FD1">
        <w:rPr>
          <w:rFonts w:ascii="Arial Narrow" w:hAnsi="Arial Narrow"/>
          <w:b/>
          <w:sz w:val="16"/>
        </w:rPr>
        <w:t>Note</w:t>
      </w:r>
      <w:r w:rsidRPr="00053FD1">
        <w:rPr>
          <w:rFonts w:ascii="Arial Narrow" w:hAnsi="Arial Narrow"/>
          <w:sz w:val="16"/>
        </w:rPr>
        <w:t>: These figures do not include action taken in relation to Civil Aviation Safety Regulations Part 99 offences in relation to medical certificates (see Table B.9) or variations processed by the CASA Service Centre.</w:t>
      </w:r>
    </w:p>
    <w:p w14:paraId="72B30DDC" w14:textId="77777777" w:rsidR="00860F8E" w:rsidRPr="00053FD1" w:rsidRDefault="00860F8E" w:rsidP="00860F8E">
      <w:pPr>
        <w:pStyle w:val="TableNotesHangLast"/>
      </w:pPr>
      <w:r w:rsidRPr="00053FD1">
        <w:t>a</w:t>
      </w:r>
      <w:r w:rsidRPr="00053FD1">
        <w:tab/>
        <w:t>These include suspensions under regulations 265 and 269 of the Civil Aviation Regulations 1988.</w:t>
      </w:r>
    </w:p>
    <w:p w14:paraId="5A2795ED" w14:textId="77777777" w:rsidR="00860F8E" w:rsidRPr="00053FD1" w:rsidRDefault="00860F8E" w:rsidP="00860F8E">
      <w:pPr>
        <w:pStyle w:val="TableName"/>
      </w:pPr>
      <w:r w:rsidRPr="00053FD1">
        <w:t>Table B.11</w:t>
      </w:r>
      <w:r w:rsidRPr="00053FD1">
        <w:tab/>
        <w:t xml:space="preserve">Serious and imminent risk suspensions under section 30DC of the </w:t>
      </w:r>
      <w:r w:rsidRPr="00053FD1">
        <w:rPr>
          <w:i/>
        </w:rPr>
        <w:t>Civil Aviation Act 1988</w:t>
      </w:r>
      <w:r w:rsidRPr="00053FD1">
        <w:t xml:space="preserve">, 2013–14 to 2017–18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2411"/>
        <w:gridCol w:w="1322"/>
        <w:gridCol w:w="1322"/>
        <w:gridCol w:w="1322"/>
        <w:gridCol w:w="1322"/>
        <w:gridCol w:w="1321"/>
      </w:tblGrid>
      <w:tr w:rsidR="00860F8E" w:rsidRPr="00053FD1" w14:paraId="3FA06D69" w14:textId="77777777" w:rsidTr="00E849B5">
        <w:tc>
          <w:tcPr>
            <w:tcW w:w="1336" w:type="pct"/>
          </w:tcPr>
          <w:p w14:paraId="3BAF793E" w14:textId="77777777" w:rsidR="00860F8E" w:rsidRPr="005D646B" w:rsidRDefault="00860F8E" w:rsidP="005D646B">
            <w:pPr>
              <w:pStyle w:val="TableText"/>
              <w:rPr>
                <w:b/>
              </w:rPr>
            </w:pPr>
            <w:r w:rsidRPr="005D646B">
              <w:rPr>
                <w:b/>
              </w:rPr>
              <w:t>Action</w:t>
            </w:r>
          </w:p>
        </w:tc>
        <w:tc>
          <w:tcPr>
            <w:tcW w:w="733" w:type="pct"/>
          </w:tcPr>
          <w:p w14:paraId="55CB18B0" w14:textId="77777777" w:rsidR="00860F8E" w:rsidRPr="005D646B" w:rsidRDefault="00860F8E" w:rsidP="005D646B">
            <w:pPr>
              <w:pStyle w:val="TableText"/>
              <w:rPr>
                <w:b/>
              </w:rPr>
            </w:pPr>
            <w:r w:rsidRPr="005D646B">
              <w:rPr>
                <w:b/>
              </w:rPr>
              <w:t>2013–14</w:t>
            </w:r>
          </w:p>
        </w:tc>
        <w:tc>
          <w:tcPr>
            <w:tcW w:w="733" w:type="pct"/>
          </w:tcPr>
          <w:p w14:paraId="6B7EF79E" w14:textId="77777777" w:rsidR="00860F8E" w:rsidRPr="005D646B" w:rsidRDefault="00860F8E" w:rsidP="005D646B">
            <w:pPr>
              <w:pStyle w:val="TableText"/>
              <w:rPr>
                <w:b/>
              </w:rPr>
            </w:pPr>
            <w:r w:rsidRPr="005D646B">
              <w:rPr>
                <w:b/>
              </w:rPr>
              <w:t>2014–15</w:t>
            </w:r>
          </w:p>
        </w:tc>
        <w:tc>
          <w:tcPr>
            <w:tcW w:w="733" w:type="pct"/>
          </w:tcPr>
          <w:p w14:paraId="00EE66E2" w14:textId="77777777" w:rsidR="00860F8E" w:rsidRPr="005D646B" w:rsidRDefault="00860F8E" w:rsidP="005D646B">
            <w:pPr>
              <w:pStyle w:val="TableText"/>
              <w:rPr>
                <w:b/>
              </w:rPr>
            </w:pPr>
            <w:r w:rsidRPr="005D646B">
              <w:rPr>
                <w:b/>
              </w:rPr>
              <w:t>2015–16</w:t>
            </w:r>
          </w:p>
        </w:tc>
        <w:tc>
          <w:tcPr>
            <w:tcW w:w="733" w:type="pct"/>
          </w:tcPr>
          <w:p w14:paraId="54ED9097" w14:textId="77777777" w:rsidR="00860F8E" w:rsidRPr="005D646B" w:rsidRDefault="00860F8E" w:rsidP="005D646B">
            <w:pPr>
              <w:pStyle w:val="TableText"/>
              <w:rPr>
                <w:b/>
              </w:rPr>
            </w:pPr>
            <w:r w:rsidRPr="005D646B">
              <w:rPr>
                <w:b/>
              </w:rPr>
              <w:t>2016–17</w:t>
            </w:r>
          </w:p>
        </w:tc>
        <w:tc>
          <w:tcPr>
            <w:tcW w:w="733" w:type="pct"/>
          </w:tcPr>
          <w:p w14:paraId="38D0DC4E" w14:textId="77777777" w:rsidR="00860F8E" w:rsidRPr="005D646B" w:rsidRDefault="00860F8E" w:rsidP="005D646B">
            <w:pPr>
              <w:pStyle w:val="TableText"/>
              <w:rPr>
                <w:b/>
              </w:rPr>
            </w:pPr>
            <w:r w:rsidRPr="005D646B">
              <w:rPr>
                <w:b/>
              </w:rPr>
              <w:t>2017–18</w:t>
            </w:r>
          </w:p>
        </w:tc>
      </w:tr>
      <w:tr w:rsidR="00860F8E" w:rsidRPr="00053FD1" w14:paraId="70748DDF" w14:textId="77777777" w:rsidTr="00E849B5">
        <w:tc>
          <w:tcPr>
            <w:tcW w:w="1336" w:type="pct"/>
          </w:tcPr>
          <w:p w14:paraId="08921D28" w14:textId="77777777" w:rsidR="00860F8E" w:rsidRPr="00053FD1" w:rsidRDefault="00860F8E" w:rsidP="005D646B">
            <w:pPr>
              <w:pStyle w:val="TableText"/>
            </w:pPr>
            <w:r w:rsidRPr="00053FD1">
              <w:t>Suspensions</w:t>
            </w:r>
          </w:p>
        </w:tc>
        <w:tc>
          <w:tcPr>
            <w:tcW w:w="733" w:type="pct"/>
          </w:tcPr>
          <w:p w14:paraId="687529FF" w14:textId="77777777" w:rsidR="00860F8E" w:rsidRPr="00053FD1" w:rsidRDefault="00860F8E" w:rsidP="005D646B">
            <w:pPr>
              <w:pStyle w:val="TableText"/>
            </w:pPr>
            <w:r w:rsidRPr="00053FD1">
              <w:t>–</w:t>
            </w:r>
          </w:p>
        </w:tc>
        <w:tc>
          <w:tcPr>
            <w:tcW w:w="733" w:type="pct"/>
          </w:tcPr>
          <w:p w14:paraId="71D90AC1" w14:textId="77777777" w:rsidR="00860F8E" w:rsidRPr="00053FD1" w:rsidRDefault="00860F8E" w:rsidP="005D646B">
            <w:pPr>
              <w:pStyle w:val="TableText"/>
            </w:pPr>
            <w:r w:rsidRPr="00053FD1">
              <w:t>1</w:t>
            </w:r>
          </w:p>
        </w:tc>
        <w:tc>
          <w:tcPr>
            <w:tcW w:w="733" w:type="pct"/>
          </w:tcPr>
          <w:p w14:paraId="2E7E7644" w14:textId="77777777" w:rsidR="00860F8E" w:rsidRPr="00053FD1" w:rsidRDefault="00860F8E" w:rsidP="005D646B">
            <w:pPr>
              <w:pStyle w:val="TableText"/>
            </w:pPr>
            <w:r w:rsidRPr="00053FD1">
              <w:t>1</w:t>
            </w:r>
          </w:p>
        </w:tc>
        <w:tc>
          <w:tcPr>
            <w:tcW w:w="733" w:type="pct"/>
          </w:tcPr>
          <w:p w14:paraId="448BD4C3" w14:textId="77777777" w:rsidR="00860F8E" w:rsidRPr="00053FD1" w:rsidRDefault="00860F8E" w:rsidP="005D646B">
            <w:pPr>
              <w:pStyle w:val="TableText"/>
            </w:pPr>
            <w:r w:rsidRPr="00053FD1">
              <w:t>2</w:t>
            </w:r>
          </w:p>
        </w:tc>
        <w:tc>
          <w:tcPr>
            <w:tcW w:w="733" w:type="pct"/>
          </w:tcPr>
          <w:p w14:paraId="436E104F" w14:textId="77777777" w:rsidR="00860F8E" w:rsidRPr="00053FD1" w:rsidRDefault="00860F8E" w:rsidP="005D646B">
            <w:pPr>
              <w:pStyle w:val="TableText"/>
            </w:pPr>
            <w:r w:rsidRPr="00053FD1">
              <w:t>–</w:t>
            </w:r>
          </w:p>
        </w:tc>
      </w:tr>
    </w:tbl>
    <w:p w14:paraId="4273A8C9" w14:textId="77777777" w:rsidR="00860F8E" w:rsidRPr="00053FD1" w:rsidRDefault="00860F8E" w:rsidP="00860F8E"/>
    <w:p w14:paraId="6A1EFBC3" w14:textId="77777777" w:rsidR="00860F8E" w:rsidRPr="00053FD1" w:rsidRDefault="00860F8E" w:rsidP="00860F8E">
      <w:pPr>
        <w:pStyle w:val="TableName"/>
        <w:rPr>
          <w:rFonts w:eastAsia="Times New Roman"/>
        </w:rPr>
      </w:pPr>
      <w:r w:rsidRPr="00053FD1">
        <w:t>Table B.12</w:t>
      </w:r>
      <w:r w:rsidRPr="00053FD1">
        <w:tab/>
        <w:t>Infringement notices and prosecutions, 2013–14 to 2017–18</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2871"/>
        <w:gridCol w:w="1225"/>
        <w:gridCol w:w="1225"/>
        <w:gridCol w:w="1225"/>
        <w:gridCol w:w="1225"/>
        <w:gridCol w:w="1225"/>
      </w:tblGrid>
      <w:tr w:rsidR="00860F8E" w:rsidRPr="00053FD1" w14:paraId="599534AE" w14:textId="77777777" w:rsidTr="00E849B5">
        <w:trPr>
          <w:tblHeader/>
        </w:trPr>
        <w:tc>
          <w:tcPr>
            <w:tcW w:w="1595" w:type="pct"/>
          </w:tcPr>
          <w:p w14:paraId="41AD5263" w14:textId="77777777" w:rsidR="00860F8E" w:rsidRPr="005D646B" w:rsidRDefault="00860F8E" w:rsidP="005D646B">
            <w:pPr>
              <w:pStyle w:val="TableText"/>
              <w:rPr>
                <w:b/>
              </w:rPr>
            </w:pPr>
            <w:r w:rsidRPr="005D646B">
              <w:rPr>
                <w:b/>
              </w:rPr>
              <w:t xml:space="preserve">Action </w:t>
            </w:r>
          </w:p>
        </w:tc>
        <w:tc>
          <w:tcPr>
            <w:tcW w:w="681" w:type="pct"/>
          </w:tcPr>
          <w:p w14:paraId="313E850B" w14:textId="77777777" w:rsidR="00860F8E" w:rsidRPr="005D646B" w:rsidRDefault="00860F8E" w:rsidP="005D646B">
            <w:pPr>
              <w:pStyle w:val="TableText"/>
              <w:rPr>
                <w:b/>
              </w:rPr>
            </w:pPr>
            <w:r w:rsidRPr="005D646B">
              <w:rPr>
                <w:b/>
              </w:rPr>
              <w:t>2013–14</w:t>
            </w:r>
          </w:p>
        </w:tc>
        <w:tc>
          <w:tcPr>
            <w:tcW w:w="681" w:type="pct"/>
          </w:tcPr>
          <w:p w14:paraId="4682D21C" w14:textId="77777777" w:rsidR="00860F8E" w:rsidRPr="005D646B" w:rsidRDefault="00860F8E" w:rsidP="005D646B">
            <w:pPr>
              <w:pStyle w:val="TableText"/>
              <w:rPr>
                <w:b/>
              </w:rPr>
            </w:pPr>
            <w:r w:rsidRPr="005D646B">
              <w:rPr>
                <w:b/>
              </w:rPr>
              <w:t>2014–15</w:t>
            </w:r>
          </w:p>
        </w:tc>
        <w:tc>
          <w:tcPr>
            <w:tcW w:w="681" w:type="pct"/>
          </w:tcPr>
          <w:p w14:paraId="23C35138" w14:textId="77777777" w:rsidR="00860F8E" w:rsidRPr="005D646B" w:rsidRDefault="00860F8E" w:rsidP="005D646B">
            <w:pPr>
              <w:pStyle w:val="TableText"/>
              <w:rPr>
                <w:b/>
              </w:rPr>
            </w:pPr>
            <w:r w:rsidRPr="005D646B">
              <w:rPr>
                <w:b/>
              </w:rPr>
              <w:t>2015–16</w:t>
            </w:r>
          </w:p>
        </w:tc>
        <w:tc>
          <w:tcPr>
            <w:tcW w:w="681" w:type="pct"/>
          </w:tcPr>
          <w:p w14:paraId="170F8B0B" w14:textId="77777777" w:rsidR="00860F8E" w:rsidRPr="005D646B" w:rsidRDefault="00860F8E" w:rsidP="005D646B">
            <w:pPr>
              <w:pStyle w:val="TableText"/>
              <w:rPr>
                <w:b/>
              </w:rPr>
            </w:pPr>
            <w:r w:rsidRPr="005D646B">
              <w:rPr>
                <w:b/>
              </w:rPr>
              <w:t>2016–17</w:t>
            </w:r>
          </w:p>
        </w:tc>
        <w:tc>
          <w:tcPr>
            <w:tcW w:w="681" w:type="pct"/>
          </w:tcPr>
          <w:p w14:paraId="4A55D33A" w14:textId="77777777" w:rsidR="00860F8E" w:rsidRPr="005D646B" w:rsidRDefault="00860F8E" w:rsidP="005D646B">
            <w:pPr>
              <w:pStyle w:val="TableText"/>
              <w:rPr>
                <w:b/>
              </w:rPr>
            </w:pPr>
            <w:r w:rsidRPr="005D646B">
              <w:rPr>
                <w:b/>
              </w:rPr>
              <w:t>2017–18</w:t>
            </w:r>
          </w:p>
        </w:tc>
      </w:tr>
      <w:tr w:rsidR="00860F8E" w:rsidRPr="00053FD1" w14:paraId="5C582AAC" w14:textId="77777777" w:rsidTr="00E849B5">
        <w:tc>
          <w:tcPr>
            <w:tcW w:w="1595" w:type="pct"/>
          </w:tcPr>
          <w:p w14:paraId="4C12E488" w14:textId="77777777" w:rsidR="00860F8E" w:rsidRPr="00053FD1" w:rsidRDefault="00860F8E" w:rsidP="005D646B">
            <w:pPr>
              <w:pStyle w:val="TableText"/>
            </w:pPr>
            <w:r w:rsidRPr="00053FD1">
              <w:t>Infringement notices issued</w:t>
            </w:r>
          </w:p>
        </w:tc>
        <w:tc>
          <w:tcPr>
            <w:tcW w:w="681" w:type="pct"/>
          </w:tcPr>
          <w:p w14:paraId="0BD60FC6" w14:textId="77777777" w:rsidR="00860F8E" w:rsidRPr="00053FD1" w:rsidRDefault="00860F8E" w:rsidP="005D646B">
            <w:pPr>
              <w:pStyle w:val="TableText"/>
            </w:pPr>
            <w:r w:rsidRPr="00053FD1">
              <w:t>181</w:t>
            </w:r>
            <w:r>
              <w:rPr>
                <w:vertAlign w:val="superscript"/>
              </w:rPr>
              <w:t>a</w:t>
            </w:r>
          </w:p>
        </w:tc>
        <w:tc>
          <w:tcPr>
            <w:tcW w:w="681" w:type="pct"/>
          </w:tcPr>
          <w:p w14:paraId="2E27D4A8" w14:textId="77777777" w:rsidR="00860F8E" w:rsidRPr="00053FD1" w:rsidRDefault="00860F8E" w:rsidP="005D646B">
            <w:pPr>
              <w:pStyle w:val="TableText"/>
            </w:pPr>
            <w:r w:rsidRPr="00053FD1">
              <w:t>155</w:t>
            </w:r>
          </w:p>
        </w:tc>
        <w:tc>
          <w:tcPr>
            <w:tcW w:w="681" w:type="pct"/>
          </w:tcPr>
          <w:p w14:paraId="4915ED93" w14:textId="77777777" w:rsidR="00860F8E" w:rsidRPr="00053FD1" w:rsidRDefault="00860F8E" w:rsidP="005D646B">
            <w:pPr>
              <w:pStyle w:val="TableText"/>
            </w:pPr>
            <w:r w:rsidRPr="00053FD1">
              <w:t>132</w:t>
            </w:r>
          </w:p>
        </w:tc>
        <w:tc>
          <w:tcPr>
            <w:tcW w:w="681" w:type="pct"/>
          </w:tcPr>
          <w:p w14:paraId="6947F13F" w14:textId="77777777" w:rsidR="00860F8E" w:rsidRPr="00053FD1" w:rsidRDefault="00860F8E" w:rsidP="005D646B">
            <w:pPr>
              <w:pStyle w:val="TableText"/>
            </w:pPr>
            <w:r w:rsidRPr="00053FD1">
              <w:t>135</w:t>
            </w:r>
          </w:p>
        </w:tc>
        <w:tc>
          <w:tcPr>
            <w:tcW w:w="681" w:type="pct"/>
          </w:tcPr>
          <w:p w14:paraId="07FEFDB8" w14:textId="77777777" w:rsidR="00860F8E" w:rsidRPr="00053FD1" w:rsidRDefault="00860F8E" w:rsidP="005D646B">
            <w:pPr>
              <w:pStyle w:val="TableText"/>
            </w:pPr>
            <w:r w:rsidRPr="00053FD1">
              <w:t>149</w:t>
            </w:r>
          </w:p>
        </w:tc>
      </w:tr>
      <w:tr w:rsidR="00860F8E" w:rsidRPr="00053FD1" w14:paraId="40FA7BE6" w14:textId="77777777" w:rsidTr="00E849B5">
        <w:tc>
          <w:tcPr>
            <w:tcW w:w="1595" w:type="pct"/>
          </w:tcPr>
          <w:p w14:paraId="3D69F67B" w14:textId="77777777" w:rsidR="00860F8E" w:rsidRPr="00053FD1" w:rsidRDefault="00860F8E" w:rsidP="005D646B">
            <w:pPr>
              <w:pStyle w:val="TableText"/>
            </w:pPr>
            <w:r w:rsidRPr="00053FD1">
              <w:t>Matters referred to the Director of Public Prosecutions</w:t>
            </w:r>
          </w:p>
        </w:tc>
        <w:tc>
          <w:tcPr>
            <w:tcW w:w="681" w:type="pct"/>
          </w:tcPr>
          <w:p w14:paraId="2521990A" w14:textId="77777777" w:rsidR="00860F8E" w:rsidRPr="00053FD1" w:rsidRDefault="00860F8E" w:rsidP="005D646B">
            <w:pPr>
              <w:pStyle w:val="TableText"/>
            </w:pPr>
            <w:r w:rsidRPr="00053FD1">
              <w:t>7</w:t>
            </w:r>
          </w:p>
        </w:tc>
        <w:tc>
          <w:tcPr>
            <w:tcW w:w="681" w:type="pct"/>
          </w:tcPr>
          <w:p w14:paraId="14F8CBA2" w14:textId="77777777" w:rsidR="00860F8E" w:rsidRPr="00053FD1" w:rsidRDefault="00860F8E" w:rsidP="005D646B">
            <w:pPr>
              <w:pStyle w:val="TableText"/>
            </w:pPr>
            <w:r w:rsidRPr="00053FD1">
              <w:t>12</w:t>
            </w:r>
          </w:p>
        </w:tc>
        <w:tc>
          <w:tcPr>
            <w:tcW w:w="681" w:type="pct"/>
          </w:tcPr>
          <w:p w14:paraId="27A8C5C4" w14:textId="77777777" w:rsidR="00860F8E" w:rsidRPr="00053FD1" w:rsidRDefault="00860F8E" w:rsidP="005D646B">
            <w:pPr>
              <w:pStyle w:val="TableText"/>
            </w:pPr>
            <w:r w:rsidRPr="00053FD1">
              <w:t>7</w:t>
            </w:r>
          </w:p>
        </w:tc>
        <w:tc>
          <w:tcPr>
            <w:tcW w:w="681" w:type="pct"/>
          </w:tcPr>
          <w:p w14:paraId="10B7C7B9" w14:textId="77777777" w:rsidR="00860F8E" w:rsidRPr="00053FD1" w:rsidRDefault="00860F8E" w:rsidP="005D646B">
            <w:pPr>
              <w:pStyle w:val="TableText"/>
            </w:pPr>
            <w:r w:rsidRPr="00053FD1">
              <w:t>10</w:t>
            </w:r>
          </w:p>
        </w:tc>
        <w:tc>
          <w:tcPr>
            <w:tcW w:w="681" w:type="pct"/>
          </w:tcPr>
          <w:p w14:paraId="7575BDAD" w14:textId="77777777" w:rsidR="00860F8E" w:rsidRPr="00053FD1" w:rsidRDefault="00860F8E" w:rsidP="005D646B">
            <w:pPr>
              <w:pStyle w:val="TableText"/>
            </w:pPr>
            <w:r w:rsidRPr="00053FD1">
              <w:t>5</w:t>
            </w:r>
          </w:p>
        </w:tc>
      </w:tr>
      <w:tr w:rsidR="00860F8E" w:rsidRPr="00053FD1" w14:paraId="401A217D" w14:textId="77777777" w:rsidTr="00E849B5">
        <w:tc>
          <w:tcPr>
            <w:tcW w:w="1595" w:type="pct"/>
          </w:tcPr>
          <w:p w14:paraId="64700FAD" w14:textId="77777777" w:rsidR="00860F8E" w:rsidRPr="00053FD1" w:rsidRDefault="00860F8E" w:rsidP="005D646B">
            <w:pPr>
              <w:pStyle w:val="TableText"/>
            </w:pPr>
            <w:r w:rsidRPr="00053FD1">
              <w:t>Prosecutions finalised</w:t>
            </w:r>
          </w:p>
        </w:tc>
        <w:tc>
          <w:tcPr>
            <w:tcW w:w="681" w:type="pct"/>
          </w:tcPr>
          <w:p w14:paraId="3A1659FB" w14:textId="77777777" w:rsidR="00860F8E" w:rsidRPr="00053FD1" w:rsidRDefault="00860F8E" w:rsidP="005D646B">
            <w:pPr>
              <w:pStyle w:val="TableText"/>
            </w:pPr>
            <w:r w:rsidRPr="00053FD1">
              <w:t>4</w:t>
            </w:r>
          </w:p>
        </w:tc>
        <w:tc>
          <w:tcPr>
            <w:tcW w:w="681" w:type="pct"/>
          </w:tcPr>
          <w:p w14:paraId="0686CEE0" w14:textId="77777777" w:rsidR="00860F8E" w:rsidRPr="00053FD1" w:rsidRDefault="00860F8E" w:rsidP="005D646B">
            <w:pPr>
              <w:pStyle w:val="TableText"/>
            </w:pPr>
            <w:r w:rsidRPr="00053FD1">
              <w:t>9</w:t>
            </w:r>
            <w:r>
              <w:rPr>
                <w:vertAlign w:val="superscript"/>
              </w:rPr>
              <w:t>b</w:t>
            </w:r>
          </w:p>
        </w:tc>
        <w:tc>
          <w:tcPr>
            <w:tcW w:w="681" w:type="pct"/>
          </w:tcPr>
          <w:p w14:paraId="7CBB0EEF" w14:textId="77777777" w:rsidR="00860F8E" w:rsidRPr="00053FD1" w:rsidRDefault="00860F8E" w:rsidP="005D646B">
            <w:pPr>
              <w:pStyle w:val="TableText"/>
            </w:pPr>
            <w:r w:rsidRPr="00053FD1">
              <w:t>10</w:t>
            </w:r>
          </w:p>
        </w:tc>
        <w:tc>
          <w:tcPr>
            <w:tcW w:w="681" w:type="pct"/>
          </w:tcPr>
          <w:p w14:paraId="2F38E36E" w14:textId="77777777" w:rsidR="00860F8E" w:rsidRPr="00053FD1" w:rsidRDefault="00860F8E" w:rsidP="005D646B">
            <w:pPr>
              <w:pStyle w:val="TableText"/>
            </w:pPr>
            <w:r w:rsidRPr="00053FD1">
              <w:t>6</w:t>
            </w:r>
          </w:p>
        </w:tc>
        <w:tc>
          <w:tcPr>
            <w:tcW w:w="681" w:type="pct"/>
          </w:tcPr>
          <w:p w14:paraId="3479CF80" w14:textId="77777777" w:rsidR="00860F8E" w:rsidRPr="00053FD1" w:rsidRDefault="00860F8E" w:rsidP="005D646B">
            <w:pPr>
              <w:pStyle w:val="TableText"/>
            </w:pPr>
            <w:r w:rsidRPr="00053FD1">
              <w:t>6</w:t>
            </w:r>
          </w:p>
        </w:tc>
      </w:tr>
      <w:tr w:rsidR="00860F8E" w:rsidRPr="00053FD1" w14:paraId="26C6DA13" w14:textId="77777777" w:rsidTr="00E849B5">
        <w:tc>
          <w:tcPr>
            <w:tcW w:w="1595" w:type="pct"/>
          </w:tcPr>
          <w:p w14:paraId="458396E5" w14:textId="77777777" w:rsidR="00860F8E" w:rsidRPr="00053FD1" w:rsidRDefault="00860F8E" w:rsidP="005D646B">
            <w:pPr>
              <w:pStyle w:val="TableText"/>
            </w:pPr>
            <w:r w:rsidRPr="00053FD1">
              <w:t>Acquittals</w:t>
            </w:r>
          </w:p>
        </w:tc>
        <w:tc>
          <w:tcPr>
            <w:tcW w:w="681" w:type="pct"/>
          </w:tcPr>
          <w:p w14:paraId="6440AAE7" w14:textId="77777777" w:rsidR="00860F8E" w:rsidRPr="00053FD1" w:rsidRDefault="00860F8E" w:rsidP="005D646B">
            <w:pPr>
              <w:pStyle w:val="TableText"/>
            </w:pPr>
            <w:r w:rsidRPr="00053FD1">
              <w:t>0</w:t>
            </w:r>
          </w:p>
        </w:tc>
        <w:tc>
          <w:tcPr>
            <w:tcW w:w="681" w:type="pct"/>
          </w:tcPr>
          <w:p w14:paraId="1FE94659" w14:textId="77777777" w:rsidR="00860F8E" w:rsidRPr="00053FD1" w:rsidRDefault="00860F8E" w:rsidP="005D646B">
            <w:pPr>
              <w:pStyle w:val="TableText"/>
            </w:pPr>
            <w:r w:rsidRPr="00053FD1">
              <w:t>0</w:t>
            </w:r>
          </w:p>
        </w:tc>
        <w:tc>
          <w:tcPr>
            <w:tcW w:w="681" w:type="pct"/>
          </w:tcPr>
          <w:p w14:paraId="533C836C" w14:textId="77777777" w:rsidR="00860F8E" w:rsidRPr="00053FD1" w:rsidRDefault="00860F8E" w:rsidP="005D646B">
            <w:pPr>
              <w:pStyle w:val="TableText"/>
            </w:pPr>
            <w:r w:rsidRPr="00053FD1">
              <w:t>1</w:t>
            </w:r>
          </w:p>
        </w:tc>
        <w:tc>
          <w:tcPr>
            <w:tcW w:w="681" w:type="pct"/>
          </w:tcPr>
          <w:p w14:paraId="538A9DD3" w14:textId="77777777" w:rsidR="00860F8E" w:rsidRPr="00053FD1" w:rsidRDefault="00860F8E" w:rsidP="005D646B">
            <w:pPr>
              <w:pStyle w:val="TableText"/>
            </w:pPr>
            <w:r w:rsidRPr="00053FD1">
              <w:t>0</w:t>
            </w:r>
          </w:p>
        </w:tc>
        <w:tc>
          <w:tcPr>
            <w:tcW w:w="681" w:type="pct"/>
          </w:tcPr>
          <w:p w14:paraId="07D58E75" w14:textId="77777777" w:rsidR="00860F8E" w:rsidRPr="00053FD1" w:rsidRDefault="00860F8E" w:rsidP="005D646B">
            <w:pPr>
              <w:pStyle w:val="TableText"/>
            </w:pPr>
            <w:r w:rsidRPr="00053FD1">
              <w:t>0</w:t>
            </w:r>
          </w:p>
        </w:tc>
      </w:tr>
      <w:tr w:rsidR="00860F8E" w:rsidRPr="00053FD1" w14:paraId="3E28CFB1" w14:textId="77777777" w:rsidTr="00E849B5">
        <w:tc>
          <w:tcPr>
            <w:tcW w:w="1595" w:type="pct"/>
          </w:tcPr>
          <w:p w14:paraId="35A8CDE4" w14:textId="77777777" w:rsidR="00860F8E" w:rsidRPr="00053FD1" w:rsidRDefault="00860F8E" w:rsidP="005D646B">
            <w:pPr>
              <w:pStyle w:val="TableText"/>
            </w:pPr>
            <w:r w:rsidRPr="00053FD1">
              <w:t>Convictions</w:t>
            </w:r>
          </w:p>
        </w:tc>
        <w:tc>
          <w:tcPr>
            <w:tcW w:w="681" w:type="pct"/>
          </w:tcPr>
          <w:p w14:paraId="27EF6624" w14:textId="77777777" w:rsidR="00860F8E" w:rsidRPr="00053FD1" w:rsidRDefault="00860F8E" w:rsidP="005D646B">
            <w:pPr>
              <w:pStyle w:val="TableText"/>
            </w:pPr>
            <w:r w:rsidRPr="00053FD1">
              <w:t>4</w:t>
            </w:r>
          </w:p>
        </w:tc>
        <w:tc>
          <w:tcPr>
            <w:tcW w:w="681" w:type="pct"/>
          </w:tcPr>
          <w:p w14:paraId="262E4367" w14:textId="77777777" w:rsidR="00860F8E" w:rsidRPr="00053FD1" w:rsidRDefault="00860F8E" w:rsidP="005D646B">
            <w:pPr>
              <w:pStyle w:val="TableText"/>
            </w:pPr>
            <w:r w:rsidRPr="00053FD1">
              <w:t>8</w:t>
            </w:r>
          </w:p>
        </w:tc>
        <w:tc>
          <w:tcPr>
            <w:tcW w:w="681" w:type="pct"/>
          </w:tcPr>
          <w:p w14:paraId="57DC9577" w14:textId="77777777" w:rsidR="00860F8E" w:rsidRPr="00053FD1" w:rsidRDefault="00860F8E" w:rsidP="005D646B">
            <w:pPr>
              <w:pStyle w:val="TableText"/>
            </w:pPr>
            <w:r w:rsidRPr="00053FD1">
              <w:t>8</w:t>
            </w:r>
          </w:p>
        </w:tc>
        <w:tc>
          <w:tcPr>
            <w:tcW w:w="681" w:type="pct"/>
          </w:tcPr>
          <w:p w14:paraId="445EE845" w14:textId="77777777" w:rsidR="00860F8E" w:rsidRPr="00053FD1" w:rsidRDefault="00860F8E" w:rsidP="005D646B">
            <w:pPr>
              <w:pStyle w:val="TableText"/>
            </w:pPr>
            <w:r w:rsidRPr="00053FD1">
              <w:t>6</w:t>
            </w:r>
          </w:p>
        </w:tc>
        <w:tc>
          <w:tcPr>
            <w:tcW w:w="681" w:type="pct"/>
          </w:tcPr>
          <w:p w14:paraId="08018A71" w14:textId="77777777" w:rsidR="00860F8E" w:rsidRPr="00053FD1" w:rsidRDefault="00860F8E" w:rsidP="005D646B">
            <w:pPr>
              <w:pStyle w:val="TableText"/>
            </w:pPr>
            <w:r w:rsidRPr="00053FD1">
              <w:t>6</w:t>
            </w:r>
          </w:p>
        </w:tc>
      </w:tr>
    </w:tbl>
    <w:p w14:paraId="3EB48D72" w14:textId="77777777" w:rsidR="00860F8E" w:rsidRPr="00053FD1" w:rsidRDefault="00860F8E" w:rsidP="00860F8E">
      <w:pPr>
        <w:keepLines/>
        <w:tabs>
          <w:tab w:val="left" w:pos="284"/>
          <w:tab w:val="left" w:pos="567"/>
        </w:tabs>
        <w:spacing w:before="60" w:after="0"/>
        <w:rPr>
          <w:rFonts w:ascii="Arial Narrow" w:hAnsi="Arial Narrow"/>
          <w:sz w:val="16"/>
        </w:rPr>
      </w:pPr>
      <w:r>
        <w:rPr>
          <w:rFonts w:ascii="Arial Narrow" w:hAnsi="Arial Narrow"/>
          <w:sz w:val="16"/>
        </w:rPr>
        <w:t>a</w:t>
      </w:r>
      <w:r w:rsidRPr="00053FD1">
        <w:rPr>
          <w:rFonts w:ascii="Arial Narrow" w:hAnsi="Arial Narrow"/>
          <w:sz w:val="16"/>
        </w:rPr>
        <w:t xml:space="preserve"> Five infringement notices were reissued.</w:t>
      </w:r>
    </w:p>
    <w:p w14:paraId="2FA32794" w14:textId="77777777" w:rsidR="00860F8E" w:rsidRPr="00053FD1" w:rsidRDefault="00860F8E" w:rsidP="00860F8E">
      <w:pPr>
        <w:keepLines/>
        <w:tabs>
          <w:tab w:val="left" w:pos="284"/>
          <w:tab w:val="left" w:pos="567"/>
        </w:tabs>
        <w:spacing w:before="60" w:after="0"/>
        <w:rPr>
          <w:rFonts w:ascii="Arial Narrow" w:hAnsi="Arial Narrow"/>
          <w:sz w:val="16"/>
        </w:rPr>
      </w:pPr>
      <w:r>
        <w:rPr>
          <w:rFonts w:ascii="Arial Narrow" w:hAnsi="Arial Narrow"/>
          <w:sz w:val="16"/>
        </w:rPr>
        <w:t>b</w:t>
      </w:r>
      <w:r w:rsidRPr="00053FD1">
        <w:rPr>
          <w:rFonts w:ascii="Arial Narrow" w:hAnsi="Arial Narrow"/>
          <w:sz w:val="16"/>
        </w:rPr>
        <w:t xml:space="preserve"> One matter was withdrawn.</w:t>
      </w:r>
    </w:p>
    <w:p w14:paraId="21323874" w14:textId="77777777" w:rsidR="00860F8E" w:rsidRPr="00AA6995" w:rsidRDefault="00860F8E" w:rsidP="00AA6995">
      <w:pPr>
        <w:pStyle w:val="Heading2noTOC"/>
      </w:pPr>
      <w:bookmarkStart w:id="174" w:name="_Hlk521660462"/>
      <w:r w:rsidRPr="00AA6995">
        <w:lastRenderedPageBreak/>
        <w:t xml:space="preserve">Media, advertising and direct mail costs </w:t>
      </w:r>
    </w:p>
    <w:p w14:paraId="1EAC6BE5" w14:textId="77777777" w:rsidR="00860F8E" w:rsidRDefault="00860F8E" w:rsidP="00860F8E">
      <w:pPr>
        <w:pStyle w:val="TableName"/>
      </w:pPr>
      <w:r w:rsidRPr="00494F4A">
        <w:t>Table B.13</w:t>
      </w:r>
      <w:r w:rsidRPr="00494F4A">
        <w:tab/>
        <w:t xml:space="preserve">Payments to media, advertising and direct mail organisations, 2017–18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7069"/>
        <w:gridCol w:w="1947"/>
      </w:tblGrid>
      <w:tr w:rsidR="00860F8E" w:rsidRPr="00494F4A" w14:paraId="1A8D9B06" w14:textId="77777777" w:rsidTr="001E0994">
        <w:trPr>
          <w:trHeight w:val="330"/>
          <w:tblHeader/>
        </w:trPr>
        <w:tc>
          <w:tcPr>
            <w:tcW w:w="7250" w:type="dxa"/>
            <w:vAlign w:val="bottom"/>
          </w:tcPr>
          <w:p w14:paraId="57B3FB0B" w14:textId="77777777" w:rsidR="00860F8E" w:rsidRPr="005D646B" w:rsidRDefault="00860F8E" w:rsidP="005D646B">
            <w:pPr>
              <w:pStyle w:val="TableText"/>
              <w:rPr>
                <w:b/>
              </w:rPr>
            </w:pPr>
            <w:r w:rsidRPr="005D646B">
              <w:rPr>
                <w:b/>
              </w:rPr>
              <w:t xml:space="preserve">Vendor </w:t>
            </w:r>
          </w:p>
        </w:tc>
        <w:tc>
          <w:tcPr>
            <w:tcW w:w="1992" w:type="dxa"/>
            <w:vAlign w:val="bottom"/>
          </w:tcPr>
          <w:p w14:paraId="2EB2C072" w14:textId="77777777" w:rsidR="00860F8E" w:rsidRPr="005D646B" w:rsidRDefault="00860F8E" w:rsidP="005D646B">
            <w:pPr>
              <w:pStyle w:val="TableText"/>
              <w:rPr>
                <w:b/>
              </w:rPr>
            </w:pPr>
            <w:r w:rsidRPr="005D646B">
              <w:rPr>
                <w:b/>
              </w:rPr>
              <w:t>Amount ($)</w:t>
            </w:r>
          </w:p>
        </w:tc>
      </w:tr>
      <w:tr w:rsidR="00860F8E" w:rsidRPr="00494F4A" w14:paraId="0FF2D920" w14:textId="77777777" w:rsidTr="001E0994">
        <w:trPr>
          <w:trHeight w:val="330"/>
        </w:trPr>
        <w:tc>
          <w:tcPr>
            <w:tcW w:w="7250" w:type="dxa"/>
            <w:vAlign w:val="bottom"/>
          </w:tcPr>
          <w:p w14:paraId="45810534" w14:textId="77777777" w:rsidR="00860F8E" w:rsidRPr="00E849B5" w:rsidRDefault="00860F8E" w:rsidP="005D646B">
            <w:pPr>
              <w:pStyle w:val="TableText"/>
            </w:pPr>
            <w:r w:rsidRPr="00E849B5">
              <w:t>Media organisations</w:t>
            </w:r>
          </w:p>
        </w:tc>
        <w:tc>
          <w:tcPr>
            <w:tcW w:w="1992" w:type="dxa"/>
            <w:noWrap/>
            <w:vAlign w:val="bottom"/>
          </w:tcPr>
          <w:p w14:paraId="01B1756F" w14:textId="77777777" w:rsidR="00860F8E" w:rsidRPr="00494F4A" w:rsidRDefault="00860F8E" w:rsidP="005D646B">
            <w:pPr>
              <w:pStyle w:val="TableText"/>
              <w:rPr>
                <w:i/>
              </w:rPr>
            </w:pPr>
          </w:p>
        </w:tc>
      </w:tr>
      <w:tr w:rsidR="00860F8E" w:rsidRPr="00494F4A" w14:paraId="6E62C442" w14:textId="77777777" w:rsidTr="001E0994">
        <w:trPr>
          <w:trHeight w:val="330"/>
        </w:trPr>
        <w:tc>
          <w:tcPr>
            <w:tcW w:w="7250" w:type="dxa"/>
            <w:vAlign w:val="bottom"/>
          </w:tcPr>
          <w:p w14:paraId="72806423" w14:textId="77777777" w:rsidR="00860F8E" w:rsidRPr="00494F4A" w:rsidRDefault="00860F8E" w:rsidP="005D646B">
            <w:pPr>
              <w:pStyle w:val="TableText"/>
            </w:pPr>
            <w:r w:rsidRPr="00494F4A">
              <w:t>Adrian Park</w:t>
            </w:r>
          </w:p>
        </w:tc>
        <w:tc>
          <w:tcPr>
            <w:tcW w:w="1992" w:type="dxa"/>
            <w:noWrap/>
            <w:vAlign w:val="bottom"/>
          </w:tcPr>
          <w:p w14:paraId="428E7672" w14:textId="77777777" w:rsidR="00860F8E" w:rsidRPr="00494F4A" w:rsidRDefault="00860F8E" w:rsidP="005D646B">
            <w:pPr>
              <w:pStyle w:val="TableText"/>
            </w:pPr>
            <w:r w:rsidRPr="00494F4A">
              <w:t>13,854</w:t>
            </w:r>
          </w:p>
        </w:tc>
      </w:tr>
      <w:tr w:rsidR="00860F8E" w:rsidRPr="00494F4A" w14:paraId="5B492D47" w14:textId="77777777" w:rsidTr="001E0994">
        <w:trPr>
          <w:trHeight w:val="330"/>
        </w:trPr>
        <w:tc>
          <w:tcPr>
            <w:tcW w:w="7250" w:type="dxa"/>
            <w:vAlign w:val="bottom"/>
          </w:tcPr>
          <w:p w14:paraId="5E1017CD" w14:textId="77777777" w:rsidR="00860F8E" w:rsidRPr="00494F4A" w:rsidRDefault="00860F8E" w:rsidP="005D646B">
            <w:pPr>
              <w:pStyle w:val="TableText"/>
            </w:pPr>
            <w:r w:rsidRPr="00494F4A">
              <w:t>Australia</w:t>
            </w:r>
            <w:r>
              <w:t>–</w:t>
            </w:r>
            <w:r w:rsidRPr="00494F4A">
              <w:t>Pacific Aviation Services Pty Ltd</w:t>
            </w:r>
          </w:p>
        </w:tc>
        <w:tc>
          <w:tcPr>
            <w:tcW w:w="1992" w:type="dxa"/>
            <w:noWrap/>
            <w:vAlign w:val="bottom"/>
          </w:tcPr>
          <w:p w14:paraId="2A6E0F2E" w14:textId="77777777" w:rsidR="00860F8E" w:rsidRPr="00494F4A" w:rsidRDefault="00860F8E" w:rsidP="005D646B">
            <w:pPr>
              <w:pStyle w:val="TableText"/>
            </w:pPr>
            <w:r w:rsidRPr="00494F4A">
              <w:t>23,940</w:t>
            </w:r>
          </w:p>
        </w:tc>
      </w:tr>
      <w:tr w:rsidR="00860F8E" w:rsidRPr="00494F4A" w14:paraId="048A7FCD" w14:textId="77777777" w:rsidTr="001E0994">
        <w:trPr>
          <w:trHeight w:val="330"/>
        </w:trPr>
        <w:tc>
          <w:tcPr>
            <w:tcW w:w="7250" w:type="dxa"/>
            <w:vAlign w:val="bottom"/>
          </w:tcPr>
          <w:p w14:paraId="215AE745" w14:textId="77777777" w:rsidR="00860F8E" w:rsidRPr="00494F4A" w:rsidRDefault="00860F8E" w:rsidP="005D646B">
            <w:pPr>
              <w:pStyle w:val="TableText"/>
            </w:pPr>
            <w:r w:rsidRPr="00494F4A">
              <w:t>Australian Associated Press</w:t>
            </w:r>
          </w:p>
        </w:tc>
        <w:tc>
          <w:tcPr>
            <w:tcW w:w="1992" w:type="dxa"/>
            <w:noWrap/>
            <w:vAlign w:val="bottom"/>
          </w:tcPr>
          <w:p w14:paraId="3766F9D0" w14:textId="77777777" w:rsidR="00860F8E" w:rsidRPr="00494F4A" w:rsidRDefault="00860F8E" w:rsidP="005D646B">
            <w:pPr>
              <w:pStyle w:val="TableText"/>
            </w:pPr>
            <w:r w:rsidRPr="00494F4A">
              <w:t>15,449</w:t>
            </w:r>
          </w:p>
        </w:tc>
      </w:tr>
      <w:tr w:rsidR="00860F8E" w:rsidRPr="00494F4A" w14:paraId="40DDA636" w14:textId="77777777" w:rsidTr="001E0994">
        <w:trPr>
          <w:trHeight w:val="330"/>
        </w:trPr>
        <w:tc>
          <w:tcPr>
            <w:tcW w:w="7250" w:type="dxa"/>
            <w:vAlign w:val="bottom"/>
          </w:tcPr>
          <w:p w14:paraId="505589C7" w14:textId="77777777" w:rsidR="00860F8E" w:rsidRPr="00494F4A" w:rsidRDefault="00860F8E" w:rsidP="005D646B">
            <w:pPr>
              <w:pStyle w:val="TableText"/>
            </w:pPr>
            <w:r w:rsidRPr="00494F4A">
              <w:t>iSentia Pty Ltd</w:t>
            </w:r>
          </w:p>
        </w:tc>
        <w:tc>
          <w:tcPr>
            <w:tcW w:w="1992" w:type="dxa"/>
            <w:noWrap/>
            <w:vAlign w:val="bottom"/>
          </w:tcPr>
          <w:p w14:paraId="7C937ADF" w14:textId="77777777" w:rsidR="00860F8E" w:rsidRPr="00494F4A" w:rsidRDefault="00860F8E" w:rsidP="005D646B">
            <w:pPr>
              <w:pStyle w:val="TableText"/>
            </w:pPr>
            <w:r w:rsidRPr="00494F4A">
              <w:t>53,761</w:t>
            </w:r>
          </w:p>
        </w:tc>
      </w:tr>
      <w:tr w:rsidR="00860F8E" w:rsidRPr="00494F4A" w14:paraId="6A25B76C" w14:textId="77777777" w:rsidTr="001E0994">
        <w:trPr>
          <w:trHeight w:val="330"/>
        </w:trPr>
        <w:tc>
          <w:tcPr>
            <w:tcW w:w="7250" w:type="dxa"/>
            <w:vAlign w:val="bottom"/>
          </w:tcPr>
          <w:p w14:paraId="123E405C" w14:textId="77777777" w:rsidR="00860F8E" w:rsidRPr="00494F4A" w:rsidRDefault="00860F8E" w:rsidP="005D646B">
            <w:pPr>
              <w:pStyle w:val="TableText"/>
            </w:pPr>
            <w:r w:rsidRPr="00494F4A">
              <w:t>Montage Productions Pty Ltd</w:t>
            </w:r>
          </w:p>
        </w:tc>
        <w:tc>
          <w:tcPr>
            <w:tcW w:w="1992" w:type="dxa"/>
            <w:noWrap/>
            <w:vAlign w:val="bottom"/>
          </w:tcPr>
          <w:p w14:paraId="7937BB9F" w14:textId="77777777" w:rsidR="00860F8E" w:rsidRPr="00494F4A" w:rsidRDefault="00860F8E" w:rsidP="005D646B">
            <w:pPr>
              <w:pStyle w:val="TableText"/>
            </w:pPr>
            <w:r w:rsidRPr="00494F4A">
              <w:t>17,860</w:t>
            </w:r>
          </w:p>
        </w:tc>
      </w:tr>
      <w:tr w:rsidR="00860F8E" w:rsidRPr="00494F4A" w14:paraId="212E2D17" w14:textId="77777777" w:rsidTr="001E0994">
        <w:trPr>
          <w:trHeight w:val="330"/>
        </w:trPr>
        <w:tc>
          <w:tcPr>
            <w:tcW w:w="7250" w:type="dxa"/>
            <w:vAlign w:val="bottom"/>
          </w:tcPr>
          <w:p w14:paraId="43FAA365" w14:textId="77777777" w:rsidR="00860F8E" w:rsidRPr="00494F4A" w:rsidRDefault="00860F8E" w:rsidP="005D646B">
            <w:pPr>
              <w:pStyle w:val="TableText"/>
            </w:pPr>
            <w:r w:rsidRPr="00494F4A">
              <w:t>Song Zu Sydney</w:t>
            </w:r>
          </w:p>
        </w:tc>
        <w:tc>
          <w:tcPr>
            <w:tcW w:w="1992" w:type="dxa"/>
            <w:noWrap/>
            <w:vAlign w:val="bottom"/>
          </w:tcPr>
          <w:p w14:paraId="015B2885" w14:textId="77777777" w:rsidR="00860F8E" w:rsidRPr="00494F4A" w:rsidRDefault="00860F8E" w:rsidP="005D646B">
            <w:pPr>
              <w:pStyle w:val="TableText"/>
            </w:pPr>
            <w:r w:rsidRPr="00494F4A">
              <w:t>13,401</w:t>
            </w:r>
          </w:p>
        </w:tc>
      </w:tr>
      <w:tr w:rsidR="00860F8E" w:rsidRPr="00494F4A" w14:paraId="15E2A9A3" w14:textId="77777777" w:rsidTr="001E0994">
        <w:trPr>
          <w:trHeight w:val="330"/>
        </w:trPr>
        <w:tc>
          <w:tcPr>
            <w:tcW w:w="7250" w:type="dxa"/>
            <w:vAlign w:val="bottom"/>
          </w:tcPr>
          <w:p w14:paraId="03849CBC" w14:textId="77777777" w:rsidR="00860F8E" w:rsidRPr="005D646B" w:rsidRDefault="00860F8E" w:rsidP="005D646B">
            <w:pPr>
              <w:pStyle w:val="TableText"/>
              <w:rPr>
                <w:b/>
                <w:i/>
              </w:rPr>
            </w:pPr>
            <w:r w:rsidRPr="005D646B">
              <w:rPr>
                <w:b/>
                <w:i/>
              </w:rPr>
              <w:t>Subtotal</w:t>
            </w:r>
          </w:p>
        </w:tc>
        <w:tc>
          <w:tcPr>
            <w:tcW w:w="1992" w:type="dxa"/>
            <w:noWrap/>
            <w:vAlign w:val="bottom"/>
          </w:tcPr>
          <w:p w14:paraId="117D7AF4" w14:textId="77777777" w:rsidR="00860F8E" w:rsidRPr="005D646B" w:rsidRDefault="00860F8E" w:rsidP="005D646B">
            <w:pPr>
              <w:pStyle w:val="TableText"/>
              <w:rPr>
                <w:b/>
                <w:i/>
              </w:rPr>
            </w:pPr>
            <w:r w:rsidRPr="005D646B">
              <w:rPr>
                <w:b/>
                <w:i/>
              </w:rPr>
              <w:t>138,265</w:t>
            </w:r>
          </w:p>
        </w:tc>
      </w:tr>
      <w:tr w:rsidR="00860F8E" w:rsidRPr="00494F4A" w14:paraId="06C33703" w14:textId="77777777" w:rsidTr="001E0994">
        <w:trPr>
          <w:trHeight w:val="330"/>
        </w:trPr>
        <w:tc>
          <w:tcPr>
            <w:tcW w:w="7250" w:type="dxa"/>
            <w:vAlign w:val="bottom"/>
          </w:tcPr>
          <w:p w14:paraId="33929CE2" w14:textId="77777777" w:rsidR="00860F8E" w:rsidRPr="00474224" w:rsidRDefault="00860F8E" w:rsidP="005D646B">
            <w:pPr>
              <w:pStyle w:val="TableText"/>
            </w:pPr>
            <w:r w:rsidRPr="00474224">
              <w:rPr>
                <w:bCs/>
              </w:rPr>
              <w:t>Advertising agencies</w:t>
            </w:r>
          </w:p>
        </w:tc>
        <w:tc>
          <w:tcPr>
            <w:tcW w:w="1992" w:type="dxa"/>
            <w:noWrap/>
            <w:vAlign w:val="bottom"/>
          </w:tcPr>
          <w:p w14:paraId="1A9950F3" w14:textId="77777777" w:rsidR="00860F8E" w:rsidRPr="00494F4A" w:rsidRDefault="00860F8E" w:rsidP="005D646B">
            <w:pPr>
              <w:pStyle w:val="TableText"/>
              <w:rPr>
                <w:i/>
              </w:rPr>
            </w:pPr>
          </w:p>
        </w:tc>
      </w:tr>
      <w:tr w:rsidR="00860F8E" w:rsidRPr="00494F4A" w14:paraId="0D1F996A" w14:textId="77777777" w:rsidTr="001E0994">
        <w:trPr>
          <w:trHeight w:val="330"/>
        </w:trPr>
        <w:tc>
          <w:tcPr>
            <w:tcW w:w="7250" w:type="dxa"/>
            <w:vAlign w:val="bottom"/>
          </w:tcPr>
          <w:p w14:paraId="0A2216D1" w14:textId="77777777" w:rsidR="00860F8E" w:rsidRPr="00494F4A" w:rsidRDefault="00860F8E" w:rsidP="005D646B">
            <w:pPr>
              <w:pStyle w:val="TableText"/>
            </w:pPr>
            <w:r w:rsidRPr="00494F4A">
              <w:t>Convenience Advertising</w:t>
            </w:r>
          </w:p>
        </w:tc>
        <w:tc>
          <w:tcPr>
            <w:tcW w:w="1992" w:type="dxa"/>
            <w:noWrap/>
            <w:vAlign w:val="bottom"/>
          </w:tcPr>
          <w:p w14:paraId="58D20BE8" w14:textId="77777777" w:rsidR="00860F8E" w:rsidRPr="00494F4A" w:rsidRDefault="00860F8E" w:rsidP="005D646B">
            <w:pPr>
              <w:pStyle w:val="TableText"/>
            </w:pPr>
            <w:r w:rsidRPr="00494F4A">
              <w:t>13,983</w:t>
            </w:r>
          </w:p>
        </w:tc>
      </w:tr>
      <w:tr w:rsidR="00860F8E" w:rsidRPr="00494F4A" w14:paraId="24B3CE3A" w14:textId="77777777" w:rsidTr="001E0994">
        <w:trPr>
          <w:trHeight w:val="330"/>
        </w:trPr>
        <w:tc>
          <w:tcPr>
            <w:tcW w:w="7250" w:type="dxa"/>
            <w:vAlign w:val="bottom"/>
          </w:tcPr>
          <w:p w14:paraId="104D364D" w14:textId="77777777" w:rsidR="00860F8E" w:rsidRPr="00494F4A" w:rsidRDefault="00860F8E" w:rsidP="005D646B">
            <w:pPr>
              <w:pStyle w:val="TableText"/>
            </w:pPr>
            <w:r w:rsidRPr="00494F4A">
              <w:t>TorchMedia Pty Ltd</w:t>
            </w:r>
          </w:p>
        </w:tc>
        <w:tc>
          <w:tcPr>
            <w:tcW w:w="1992" w:type="dxa"/>
            <w:noWrap/>
            <w:vAlign w:val="bottom"/>
          </w:tcPr>
          <w:p w14:paraId="7D28E3B0" w14:textId="77777777" w:rsidR="00860F8E" w:rsidRPr="00494F4A" w:rsidRDefault="00860F8E" w:rsidP="005D646B">
            <w:pPr>
              <w:pStyle w:val="TableText"/>
            </w:pPr>
            <w:r w:rsidRPr="00494F4A">
              <w:t>16,258</w:t>
            </w:r>
          </w:p>
        </w:tc>
      </w:tr>
      <w:tr w:rsidR="00860F8E" w:rsidRPr="00494F4A" w14:paraId="07F7472E" w14:textId="77777777" w:rsidTr="001E0994">
        <w:trPr>
          <w:trHeight w:val="330"/>
        </w:trPr>
        <w:tc>
          <w:tcPr>
            <w:tcW w:w="7250" w:type="dxa"/>
            <w:vAlign w:val="bottom"/>
          </w:tcPr>
          <w:p w14:paraId="20FB4124" w14:textId="77777777" w:rsidR="00860F8E" w:rsidRPr="00494F4A" w:rsidRDefault="00860F8E" w:rsidP="005D646B">
            <w:pPr>
              <w:pStyle w:val="TableText"/>
            </w:pPr>
            <w:r w:rsidRPr="00494F4A">
              <w:t>Yaffa Publishing Group Pty Ltd</w:t>
            </w:r>
          </w:p>
        </w:tc>
        <w:tc>
          <w:tcPr>
            <w:tcW w:w="1992" w:type="dxa"/>
            <w:noWrap/>
            <w:vAlign w:val="bottom"/>
          </w:tcPr>
          <w:p w14:paraId="61FED326" w14:textId="77777777" w:rsidR="00860F8E" w:rsidRPr="00494F4A" w:rsidRDefault="00860F8E" w:rsidP="005D646B">
            <w:pPr>
              <w:pStyle w:val="TableText"/>
            </w:pPr>
            <w:r w:rsidRPr="00494F4A">
              <w:t>32,768</w:t>
            </w:r>
          </w:p>
        </w:tc>
      </w:tr>
      <w:tr w:rsidR="00860F8E" w:rsidRPr="00494F4A" w14:paraId="1F3EF862" w14:textId="77777777" w:rsidTr="001E0994">
        <w:trPr>
          <w:trHeight w:val="330"/>
        </w:trPr>
        <w:tc>
          <w:tcPr>
            <w:tcW w:w="7250" w:type="dxa"/>
            <w:vAlign w:val="bottom"/>
          </w:tcPr>
          <w:p w14:paraId="3472522E" w14:textId="77777777" w:rsidR="00860F8E" w:rsidRPr="003B0C7E" w:rsidRDefault="003B0C7E" w:rsidP="005D646B">
            <w:pPr>
              <w:pStyle w:val="TableText"/>
            </w:pPr>
            <w:r w:rsidRPr="003B0C7E">
              <w:t>Val Morgan &amp; Co (Aus) Pty Ltd</w:t>
            </w:r>
          </w:p>
        </w:tc>
        <w:tc>
          <w:tcPr>
            <w:tcW w:w="1992" w:type="dxa"/>
            <w:noWrap/>
            <w:vAlign w:val="bottom"/>
          </w:tcPr>
          <w:p w14:paraId="20C77778" w14:textId="77777777" w:rsidR="00860F8E" w:rsidRPr="00494F4A" w:rsidRDefault="00860F8E" w:rsidP="005D646B">
            <w:pPr>
              <w:pStyle w:val="TableText"/>
            </w:pPr>
            <w:r w:rsidRPr="00494F4A">
              <w:t>49,920</w:t>
            </w:r>
          </w:p>
        </w:tc>
      </w:tr>
      <w:tr w:rsidR="00860F8E" w:rsidRPr="00494F4A" w14:paraId="540BB4AE" w14:textId="77777777" w:rsidTr="001E0994">
        <w:trPr>
          <w:trHeight w:val="330"/>
        </w:trPr>
        <w:tc>
          <w:tcPr>
            <w:tcW w:w="7250" w:type="dxa"/>
          </w:tcPr>
          <w:p w14:paraId="4DCB8D82" w14:textId="77777777" w:rsidR="00860F8E" w:rsidRPr="005D646B" w:rsidRDefault="00860F8E" w:rsidP="005D646B">
            <w:pPr>
              <w:pStyle w:val="TableText"/>
              <w:rPr>
                <w:rFonts w:eastAsia="Arial Unicode MS"/>
                <w:b/>
                <w:i/>
              </w:rPr>
            </w:pPr>
            <w:r w:rsidRPr="005D646B">
              <w:rPr>
                <w:rFonts w:eastAsia="Arial Unicode MS"/>
                <w:b/>
                <w:i/>
              </w:rPr>
              <w:t>Subtotal</w:t>
            </w:r>
          </w:p>
        </w:tc>
        <w:tc>
          <w:tcPr>
            <w:tcW w:w="1992" w:type="dxa"/>
            <w:noWrap/>
            <w:vAlign w:val="bottom"/>
          </w:tcPr>
          <w:p w14:paraId="1500A020" w14:textId="77777777" w:rsidR="00860F8E" w:rsidRPr="005D646B" w:rsidRDefault="00860F8E" w:rsidP="005D646B">
            <w:pPr>
              <w:pStyle w:val="TableText"/>
              <w:rPr>
                <w:rFonts w:eastAsia="Arial Unicode MS"/>
                <w:b/>
                <w:i/>
              </w:rPr>
            </w:pPr>
            <w:r w:rsidRPr="005D646B">
              <w:rPr>
                <w:rFonts w:eastAsia="Arial Unicode MS"/>
                <w:b/>
                <w:i/>
              </w:rPr>
              <w:t>112,929</w:t>
            </w:r>
          </w:p>
        </w:tc>
      </w:tr>
      <w:tr w:rsidR="00860F8E" w:rsidRPr="00494F4A" w14:paraId="1EFBE182" w14:textId="77777777" w:rsidTr="001E0994">
        <w:trPr>
          <w:trHeight w:val="330"/>
        </w:trPr>
        <w:tc>
          <w:tcPr>
            <w:tcW w:w="7250" w:type="dxa"/>
          </w:tcPr>
          <w:p w14:paraId="601F54DF" w14:textId="77777777" w:rsidR="00860F8E" w:rsidRPr="00474224" w:rsidRDefault="00860F8E" w:rsidP="005D646B">
            <w:pPr>
              <w:pStyle w:val="TableText"/>
              <w:rPr>
                <w:rFonts w:eastAsia="Arial Unicode MS"/>
                <w:lang w:eastAsia="en-AU"/>
              </w:rPr>
            </w:pPr>
            <w:r w:rsidRPr="00474224">
              <w:rPr>
                <w:bCs/>
              </w:rPr>
              <w:t>Direct mail organisations</w:t>
            </w:r>
          </w:p>
        </w:tc>
        <w:tc>
          <w:tcPr>
            <w:tcW w:w="1992" w:type="dxa"/>
            <w:noWrap/>
            <w:vAlign w:val="bottom"/>
          </w:tcPr>
          <w:p w14:paraId="2D07CACD" w14:textId="77777777" w:rsidR="00860F8E" w:rsidRPr="00494F4A" w:rsidRDefault="00860F8E" w:rsidP="005D646B">
            <w:pPr>
              <w:pStyle w:val="TableText"/>
              <w:rPr>
                <w:i/>
              </w:rPr>
            </w:pPr>
          </w:p>
        </w:tc>
      </w:tr>
      <w:tr w:rsidR="00860F8E" w:rsidRPr="00494F4A" w14:paraId="2A14DE45" w14:textId="77777777" w:rsidTr="001E0994">
        <w:trPr>
          <w:trHeight w:val="330"/>
        </w:trPr>
        <w:tc>
          <w:tcPr>
            <w:tcW w:w="7250" w:type="dxa"/>
          </w:tcPr>
          <w:p w14:paraId="4006F332" w14:textId="77777777" w:rsidR="00860F8E" w:rsidRPr="00494F4A" w:rsidRDefault="00860F8E" w:rsidP="005D646B">
            <w:pPr>
              <w:pStyle w:val="TableText"/>
              <w:rPr>
                <w:rFonts w:ascii="Arial Unicode MS" w:eastAsia="Arial Unicode MS" w:hAnsi="Arial Unicode MS" w:cs="Arial Unicode MS"/>
                <w:lang w:eastAsia="en-AU"/>
              </w:rPr>
            </w:pPr>
            <w:r w:rsidRPr="00494F4A">
              <w:t>Decipha Pty Ltd</w:t>
            </w:r>
          </w:p>
        </w:tc>
        <w:tc>
          <w:tcPr>
            <w:tcW w:w="1992" w:type="dxa"/>
            <w:noWrap/>
            <w:vAlign w:val="bottom"/>
          </w:tcPr>
          <w:p w14:paraId="65AC9D21" w14:textId="77777777" w:rsidR="00860F8E" w:rsidRPr="00494F4A" w:rsidRDefault="00860F8E" w:rsidP="005D646B">
            <w:pPr>
              <w:pStyle w:val="TableText"/>
            </w:pPr>
            <w:r w:rsidRPr="00494F4A">
              <w:t>16,935</w:t>
            </w:r>
          </w:p>
        </w:tc>
      </w:tr>
      <w:tr w:rsidR="00860F8E" w:rsidRPr="00494F4A" w14:paraId="69267D5D" w14:textId="77777777" w:rsidTr="001E0994">
        <w:trPr>
          <w:trHeight w:val="330"/>
        </w:trPr>
        <w:tc>
          <w:tcPr>
            <w:tcW w:w="7250" w:type="dxa"/>
          </w:tcPr>
          <w:p w14:paraId="7D9FCA64" w14:textId="77777777" w:rsidR="00860F8E" w:rsidRPr="00494F4A" w:rsidRDefault="00860F8E" w:rsidP="005D646B">
            <w:pPr>
              <w:pStyle w:val="TableText"/>
              <w:rPr>
                <w:rFonts w:eastAsia="Arial Unicode MS"/>
                <w:lang w:eastAsia="en-AU"/>
              </w:rPr>
            </w:pPr>
            <w:r w:rsidRPr="00494F4A">
              <w:t>Toll Transport</w:t>
            </w:r>
          </w:p>
        </w:tc>
        <w:tc>
          <w:tcPr>
            <w:tcW w:w="1992" w:type="dxa"/>
            <w:noWrap/>
            <w:vAlign w:val="bottom"/>
          </w:tcPr>
          <w:p w14:paraId="7624498C" w14:textId="77777777" w:rsidR="00860F8E" w:rsidRPr="00494F4A" w:rsidRDefault="00860F8E" w:rsidP="005D646B">
            <w:pPr>
              <w:pStyle w:val="TableText"/>
            </w:pPr>
            <w:r w:rsidRPr="00494F4A">
              <w:t>79,590</w:t>
            </w:r>
          </w:p>
        </w:tc>
      </w:tr>
      <w:tr w:rsidR="00860F8E" w:rsidRPr="00494F4A" w14:paraId="3CB55E81" w14:textId="77777777" w:rsidTr="001E0994">
        <w:trPr>
          <w:trHeight w:val="330"/>
        </w:trPr>
        <w:tc>
          <w:tcPr>
            <w:tcW w:w="7250" w:type="dxa"/>
          </w:tcPr>
          <w:p w14:paraId="04A43C38" w14:textId="77777777" w:rsidR="00860F8E" w:rsidRPr="00494F4A" w:rsidRDefault="00860F8E" w:rsidP="005D646B">
            <w:pPr>
              <w:pStyle w:val="TableText"/>
              <w:rPr>
                <w:rFonts w:eastAsia="Arial Unicode MS"/>
                <w:lang w:eastAsia="en-AU"/>
              </w:rPr>
            </w:pPr>
            <w:r w:rsidRPr="00494F4A">
              <w:t>Australia Post</w:t>
            </w:r>
          </w:p>
        </w:tc>
        <w:tc>
          <w:tcPr>
            <w:tcW w:w="1992" w:type="dxa"/>
            <w:noWrap/>
            <w:vAlign w:val="bottom"/>
          </w:tcPr>
          <w:p w14:paraId="2BA6E53F" w14:textId="77777777" w:rsidR="00860F8E" w:rsidRPr="00494F4A" w:rsidRDefault="00860F8E" w:rsidP="005D646B">
            <w:pPr>
              <w:pStyle w:val="TableText"/>
            </w:pPr>
            <w:r w:rsidRPr="00494F4A">
              <w:t>152,796</w:t>
            </w:r>
          </w:p>
        </w:tc>
      </w:tr>
      <w:tr w:rsidR="00860F8E" w:rsidRPr="00494F4A" w14:paraId="7A6DC727" w14:textId="77777777" w:rsidTr="001E0994">
        <w:trPr>
          <w:trHeight w:val="330"/>
        </w:trPr>
        <w:tc>
          <w:tcPr>
            <w:tcW w:w="7250" w:type="dxa"/>
          </w:tcPr>
          <w:p w14:paraId="14F752AF" w14:textId="77777777" w:rsidR="00860F8E" w:rsidRPr="00E849B5" w:rsidRDefault="00860F8E" w:rsidP="005D646B">
            <w:pPr>
              <w:pStyle w:val="TableText"/>
              <w:rPr>
                <w:rFonts w:eastAsia="Arial Unicode MS"/>
                <w:i/>
                <w:lang w:eastAsia="en-AU"/>
              </w:rPr>
            </w:pPr>
            <w:r w:rsidRPr="00E849B5">
              <w:rPr>
                <w:rFonts w:eastAsia="Arial Unicode MS"/>
                <w:i/>
                <w:lang w:eastAsia="en-AU"/>
              </w:rPr>
              <w:t>Subtotal</w:t>
            </w:r>
          </w:p>
        </w:tc>
        <w:tc>
          <w:tcPr>
            <w:tcW w:w="1992" w:type="dxa"/>
            <w:noWrap/>
            <w:vAlign w:val="bottom"/>
          </w:tcPr>
          <w:p w14:paraId="6F2BB28D" w14:textId="77777777" w:rsidR="00860F8E" w:rsidRPr="00494F4A" w:rsidRDefault="00860F8E" w:rsidP="005D646B">
            <w:pPr>
              <w:pStyle w:val="TableText"/>
              <w:rPr>
                <w:i/>
              </w:rPr>
            </w:pPr>
            <w:r w:rsidRPr="00494F4A">
              <w:rPr>
                <w:i/>
              </w:rPr>
              <w:t>249,321</w:t>
            </w:r>
          </w:p>
        </w:tc>
      </w:tr>
      <w:tr w:rsidR="00860F8E" w:rsidRPr="00494F4A" w14:paraId="68A834D2" w14:textId="77777777" w:rsidTr="001E0994">
        <w:trPr>
          <w:trHeight w:val="330"/>
        </w:trPr>
        <w:tc>
          <w:tcPr>
            <w:tcW w:w="7250" w:type="dxa"/>
          </w:tcPr>
          <w:p w14:paraId="607E0DCA" w14:textId="77777777" w:rsidR="00860F8E" w:rsidRPr="005D646B" w:rsidDel="00624FD3" w:rsidRDefault="00860F8E" w:rsidP="005D646B">
            <w:pPr>
              <w:pStyle w:val="TableText"/>
              <w:rPr>
                <w:rFonts w:eastAsia="Arial Unicode MS"/>
                <w:b/>
                <w:lang w:eastAsia="en-AU"/>
              </w:rPr>
            </w:pPr>
            <w:r w:rsidRPr="005D646B">
              <w:rPr>
                <w:rFonts w:eastAsia="Arial Unicode MS"/>
                <w:b/>
                <w:lang w:eastAsia="en-AU"/>
              </w:rPr>
              <w:t>Total</w:t>
            </w:r>
          </w:p>
        </w:tc>
        <w:tc>
          <w:tcPr>
            <w:tcW w:w="1992" w:type="dxa"/>
            <w:noWrap/>
            <w:vAlign w:val="bottom"/>
          </w:tcPr>
          <w:p w14:paraId="5EE3EA81" w14:textId="77777777" w:rsidR="00860F8E" w:rsidRPr="005D646B" w:rsidRDefault="00860F8E" w:rsidP="005D646B">
            <w:pPr>
              <w:pStyle w:val="TableText"/>
              <w:rPr>
                <w:b/>
              </w:rPr>
            </w:pPr>
            <w:r w:rsidRPr="005D646B">
              <w:rPr>
                <w:b/>
              </w:rPr>
              <w:t>500,515</w:t>
            </w:r>
          </w:p>
        </w:tc>
      </w:tr>
    </w:tbl>
    <w:p w14:paraId="17FF53F4" w14:textId="77777777" w:rsidR="00860F8E" w:rsidRPr="00494F4A" w:rsidRDefault="00860F8E" w:rsidP="00860F8E">
      <w:pPr>
        <w:keepLines/>
        <w:tabs>
          <w:tab w:val="left" w:pos="284"/>
          <w:tab w:val="left" w:pos="567"/>
        </w:tabs>
        <w:spacing w:before="60" w:after="360"/>
        <w:ind w:left="567" w:hanging="567"/>
        <w:rPr>
          <w:rFonts w:ascii="Arial Narrow" w:eastAsia="Times New Roman" w:hAnsi="Arial Narrow"/>
          <w:sz w:val="16"/>
        </w:rPr>
      </w:pPr>
      <w:r w:rsidRPr="00860F8E">
        <w:rPr>
          <w:rFonts w:ascii="Arial Narrow" w:eastAsia="Arial Unicode MS" w:hAnsi="Arial Narrow"/>
          <w:b/>
          <w:sz w:val="16"/>
          <w:lang w:eastAsia="en-AU"/>
        </w:rPr>
        <w:t>Note</w:t>
      </w:r>
      <w:r w:rsidRPr="00494F4A">
        <w:rPr>
          <w:rFonts w:ascii="Arial Narrow" w:eastAsia="Arial Unicode MS" w:hAnsi="Arial Narrow"/>
          <w:sz w:val="16"/>
          <w:lang w:eastAsia="en-AU"/>
        </w:rPr>
        <w:t>:</w:t>
      </w:r>
      <w:r w:rsidRPr="00494F4A">
        <w:rPr>
          <w:rFonts w:ascii="Arial Narrow" w:eastAsia="Arial Unicode MS" w:hAnsi="Arial Narrow"/>
          <w:sz w:val="16"/>
          <w:lang w:eastAsia="en-AU"/>
        </w:rPr>
        <w:tab/>
        <w:t xml:space="preserve">In accordance with indexation as prescribed in the </w:t>
      </w:r>
      <w:r w:rsidRPr="00494F4A">
        <w:rPr>
          <w:rFonts w:ascii="Arial Narrow" w:eastAsia="Arial Unicode MS" w:hAnsi="Arial Narrow"/>
          <w:i/>
          <w:sz w:val="16"/>
          <w:lang w:eastAsia="en-AU"/>
        </w:rPr>
        <w:t>Commonwealth Electoral Act 1918</w:t>
      </w:r>
      <w:r w:rsidRPr="00494F4A">
        <w:rPr>
          <w:rFonts w:ascii="Arial Narrow" w:eastAsia="Arial Unicode MS" w:hAnsi="Arial Narrow"/>
          <w:sz w:val="16"/>
          <w:lang w:eastAsia="en-AU"/>
        </w:rPr>
        <w:t>, only payments over $13,200 (inclusive of GST) are reported. Amounts exclude GST and are rounded to whole dollars.</w:t>
      </w:r>
    </w:p>
    <w:p w14:paraId="39446E30" w14:textId="77777777" w:rsidR="00860F8E" w:rsidRPr="005F4AFA" w:rsidRDefault="00860F8E" w:rsidP="00860F8E">
      <w:pPr>
        <w:pStyle w:val="Heading2"/>
        <w:rPr>
          <w:color w:val="4F81BD"/>
          <w:sz w:val="24"/>
          <w:szCs w:val="20"/>
        </w:rPr>
      </w:pPr>
      <w:r w:rsidRPr="00992FF3">
        <w:lastRenderedPageBreak/>
        <w:t>Legal costs</w:t>
      </w:r>
      <w:r>
        <w:t xml:space="preserve"> </w:t>
      </w:r>
    </w:p>
    <w:p w14:paraId="11440A45" w14:textId="77777777" w:rsidR="00860F8E" w:rsidRPr="00980238" w:rsidRDefault="00860F8E" w:rsidP="00860F8E">
      <w:pPr>
        <w:pStyle w:val="TableName"/>
        <w:rPr>
          <w:highlight w:val="lightGray"/>
        </w:rPr>
      </w:pPr>
      <w:r w:rsidRPr="00980238">
        <w:rPr>
          <w:highlight w:val="lightGray"/>
        </w:rPr>
        <w:t>Table B.14</w:t>
      </w:r>
      <w:r w:rsidRPr="00980238">
        <w:rPr>
          <w:highlight w:val="lightGray"/>
        </w:rPr>
        <w:tab/>
        <w:t xml:space="preserve">Legal costs, </w:t>
      </w:r>
      <w:r>
        <w:rPr>
          <w:highlight w:val="lightGray"/>
        </w:rPr>
        <w:t>2017–18</w:t>
      </w:r>
    </w:p>
    <w:tbl>
      <w:tblPr>
        <w:tblW w:w="3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4648"/>
        <w:gridCol w:w="1389"/>
      </w:tblGrid>
      <w:tr w:rsidR="00860F8E" w:rsidRPr="002D78BA" w14:paraId="3ACB5265" w14:textId="77777777" w:rsidTr="001E0994">
        <w:trPr>
          <w:trHeight w:val="330"/>
          <w:tblHeader/>
        </w:trPr>
        <w:tc>
          <w:tcPr>
            <w:tcW w:w="4648" w:type="dxa"/>
            <w:vAlign w:val="bottom"/>
          </w:tcPr>
          <w:p w14:paraId="7A4AC2F1" w14:textId="77777777" w:rsidR="00860F8E" w:rsidRPr="005D646B" w:rsidRDefault="00860F8E" w:rsidP="005D646B">
            <w:pPr>
              <w:pStyle w:val="TableText"/>
              <w:rPr>
                <w:b/>
              </w:rPr>
            </w:pPr>
            <w:bookmarkStart w:id="175" w:name="_Hlk521942108"/>
            <w:bookmarkEnd w:id="174"/>
            <w:r w:rsidRPr="005D646B">
              <w:rPr>
                <w:b/>
              </w:rPr>
              <w:t xml:space="preserve">Vendor </w:t>
            </w:r>
          </w:p>
        </w:tc>
        <w:tc>
          <w:tcPr>
            <w:tcW w:w="1389" w:type="dxa"/>
            <w:vAlign w:val="bottom"/>
          </w:tcPr>
          <w:p w14:paraId="21259B80" w14:textId="77777777" w:rsidR="00860F8E" w:rsidRPr="005D646B" w:rsidRDefault="00860F8E" w:rsidP="005D646B">
            <w:pPr>
              <w:pStyle w:val="TableText"/>
              <w:rPr>
                <w:b/>
              </w:rPr>
            </w:pPr>
            <w:r w:rsidRPr="005D646B">
              <w:rPr>
                <w:b/>
              </w:rPr>
              <w:t>Amount ($)</w:t>
            </w:r>
          </w:p>
        </w:tc>
      </w:tr>
      <w:tr w:rsidR="00860F8E" w:rsidRPr="002D78BA" w14:paraId="0F6A3AEC" w14:textId="77777777" w:rsidTr="001E0994">
        <w:trPr>
          <w:trHeight w:val="330"/>
        </w:trPr>
        <w:tc>
          <w:tcPr>
            <w:tcW w:w="4648" w:type="dxa"/>
            <w:vAlign w:val="bottom"/>
          </w:tcPr>
          <w:p w14:paraId="2524BED1" w14:textId="77777777" w:rsidR="00860F8E" w:rsidRPr="002D78BA" w:rsidRDefault="00860F8E" w:rsidP="005D646B">
            <w:pPr>
              <w:pStyle w:val="TableText"/>
            </w:pPr>
            <w:r w:rsidRPr="002D78BA">
              <w:t>Australian Government Solicitor</w:t>
            </w:r>
          </w:p>
        </w:tc>
        <w:tc>
          <w:tcPr>
            <w:tcW w:w="1389" w:type="dxa"/>
            <w:noWrap/>
            <w:vAlign w:val="bottom"/>
          </w:tcPr>
          <w:p w14:paraId="0DB90E67" w14:textId="77777777" w:rsidR="00860F8E" w:rsidRPr="002D78BA" w:rsidRDefault="00860F8E" w:rsidP="005D646B">
            <w:pPr>
              <w:pStyle w:val="TableText"/>
            </w:pPr>
            <w:r w:rsidRPr="002D78BA">
              <w:t>18,843</w:t>
            </w:r>
          </w:p>
        </w:tc>
      </w:tr>
      <w:tr w:rsidR="00860F8E" w:rsidRPr="002D78BA" w14:paraId="197EB58D" w14:textId="77777777" w:rsidTr="001E0994">
        <w:trPr>
          <w:trHeight w:val="330"/>
        </w:trPr>
        <w:tc>
          <w:tcPr>
            <w:tcW w:w="4648" w:type="dxa"/>
            <w:vAlign w:val="bottom"/>
          </w:tcPr>
          <w:p w14:paraId="7963175E" w14:textId="77777777" w:rsidR="00860F8E" w:rsidRPr="002D78BA" w:rsidRDefault="00860F8E" w:rsidP="005D646B">
            <w:pPr>
              <w:pStyle w:val="TableText"/>
            </w:pPr>
            <w:r w:rsidRPr="002D78BA">
              <w:t>James Emmett</w:t>
            </w:r>
          </w:p>
        </w:tc>
        <w:tc>
          <w:tcPr>
            <w:tcW w:w="1389" w:type="dxa"/>
            <w:noWrap/>
            <w:vAlign w:val="bottom"/>
          </w:tcPr>
          <w:p w14:paraId="698474B8" w14:textId="77777777" w:rsidR="00860F8E" w:rsidRPr="002D78BA" w:rsidRDefault="00860F8E" w:rsidP="005D646B">
            <w:pPr>
              <w:pStyle w:val="TableText"/>
            </w:pPr>
            <w:r w:rsidRPr="002D78BA">
              <w:t>24,523</w:t>
            </w:r>
          </w:p>
        </w:tc>
      </w:tr>
      <w:tr w:rsidR="00860F8E" w:rsidRPr="002D78BA" w14:paraId="0195EAC9" w14:textId="77777777" w:rsidTr="001E0994">
        <w:trPr>
          <w:trHeight w:val="330"/>
        </w:trPr>
        <w:tc>
          <w:tcPr>
            <w:tcW w:w="4648" w:type="dxa"/>
            <w:vAlign w:val="bottom"/>
          </w:tcPr>
          <w:p w14:paraId="2D079B9F" w14:textId="77777777" w:rsidR="00860F8E" w:rsidRPr="002D78BA" w:rsidRDefault="00860F8E" w:rsidP="005D646B">
            <w:pPr>
              <w:pStyle w:val="TableText"/>
            </w:pPr>
            <w:r>
              <w:t>Ian Harvey</w:t>
            </w:r>
          </w:p>
        </w:tc>
        <w:tc>
          <w:tcPr>
            <w:tcW w:w="1389" w:type="dxa"/>
            <w:noWrap/>
            <w:vAlign w:val="bottom"/>
          </w:tcPr>
          <w:p w14:paraId="17E9DB7C" w14:textId="77777777" w:rsidR="00860F8E" w:rsidRPr="002D78BA" w:rsidRDefault="00860F8E" w:rsidP="005D646B">
            <w:pPr>
              <w:pStyle w:val="TableText"/>
            </w:pPr>
            <w:r>
              <w:t>12,197</w:t>
            </w:r>
          </w:p>
        </w:tc>
      </w:tr>
      <w:tr w:rsidR="00860F8E" w:rsidRPr="002D78BA" w14:paraId="2989B0DE" w14:textId="77777777" w:rsidTr="001E0994">
        <w:trPr>
          <w:trHeight w:val="330"/>
        </w:trPr>
        <w:tc>
          <w:tcPr>
            <w:tcW w:w="4648" w:type="dxa"/>
            <w:vAlign w:val="bottom"/>
          </w:tcPr>
          <w:p w14:paraId="6F5CC01D" w14:textId="77777777" w:rsidR="00860F8E" w:rsidRPr="002D78BA" w:rsidRDefault="00860F8E" w:rsidP="005D646B">
            <w:pPr>
              <w:pStyle w:val="TableText"/>
            </w:pPr>
            <w:r w:rsidRPr="002D78BA">
              <w:t>Maddocks</w:t>
            </w:r>
          </w:p>
        </w:tc>
        <w:tc>
          <w:tcPr>
            <w:tcW w:w="1389" w:type="dxa"/>
            <w:noWrap/>
            <w:vAlign w:val="bottom"/>
          </w:tcPr>
          <w:p w14:paraId="544300FC" w14:textId="77777777" w:rsidR="00860F8E" w:rsidRPr="002D78BA" w:rsidRDefault="00860F8E" w:rsidP="005D646B">
            <w:pPr>
              <w:pStyle w:val="TableText"/>
            </w:pPr>
            <w:r w:rsidRPr="002D78BA">
              <w:t>73,264</w:t>
            </w:r>
          </w:p>
        </w:tc>
      </w:tr>
      <w:tr w:rsidR="00860F8E" w:rsidRPr="002D78BA" w14:paraId="5EED1B40" w14:textId="77777777" w:rsidTr="001E0994">
        <w:trPr>
          <w:trHeight w:val="330"/>
        </w:trPr>
        <w:tc>
          <w:tcPr>
            <w:tcW w:w="4648" w:type="dxa"/>
            <w:vAlign w:val="bottom"/>
          </w:tcPr>
          <w:p w14:paraId="22530F04" w14:textId="77777777" w:rsidR="00860F8E" w:rsidRPr="002D78BA" w:rsidRDefault="00860F8E" w:rsidP="005D646B">
            <w:pPr>
              <w:pStyle w:val="TableText"/>
            </w:pPr>
            <w:r w:rsidRPr="002D78BA">
              <w:t>Peter Ward</w:t>
            </w:r>
          </w:p>
        </w:tc>
        <w:tc>
          <w:tcPr>
            <w:tcW w:w="1389" w:type="dxa"/>
            <w:noWrap/>
            <w:vAlign w:val="bottom"/>
          </w:tcPr>
          <w:p w14:paraId="6773C22D" w14:textId="77777777" w:rsidR="00860F8E" w:rsidRPr="002D78BA" w:rsidRDefault="00860F8E" w:rsidP="005D646B">
            <w:pPr>
              <w:pStyle w:val="TableText"/>
            </w:pPr>
            <w:r w:rsidRPr="002D78BA">
              <w:t>24,509</w:t>
            </w:r>
          </w:p>
        </w:tc>
      </w:tr>
      <w:tr w:rsidR="00860F8E" w:rsidRPr="002D78BA" w14:paraId="33A5FF13" w14:textId="77777777" w:rsidTr="001E0994">
        <w:trPr>
          <w:trHeight w:val="330"/>
        </w:trPr>
        <w:tc>
          <w:tcPr>
            <w:tcW w:w="4648" w:type="dxa"/>
            <w:noWrap/>
            <w:vAlign w:val="bottom"/>
          </w:tcPr>
          <w:p w14:paraId="493B5D76" w14:textId="77777777" w:rsidR="00860F8E" w:rsidRPr="002D78BA" w:rsidRDefault="00860F8E" w:rsidP="005D646B">
            <w:pPr>
              <w:pStyle w:val="TableText"/>
            </w:pPr>
            <w:r w:rsidRPr="002D78BA">
              <w:t>Total</w:t>
            </w:r>
          </w:p>
        </w:tc>
        <w:tc>
          <w:tcPr>
            <w:tcW w:w="1389" w:type="dxa"/>
            <w:noWrap/>
            <w:vAlign w:val="bottom"/>
          </w:tcPr>
          <w:p w14:paraId="057D5156" w14:textId="77777777" w:rsidR="00860F8E" w:rsidRPr="002D78BA" w:rsidRDefault="00860F8E" w:rsidP="005D646B">
            <w:pPr>
              <w:pStyle w:val="TableText"/>
            </w:pPr>
            <w:r>
              <w:t>153,336</w:t>
            </w:r>
          </w:p>
        </w:tc>
      </w:tr>
    </w:tbl>
    <w:bookmarkEnd w:id="175"/>
    <w:p w14:paraId="0237438A" w14:textId="77777777" w:rsidR="00860F8E" w:rsidRPr="006C0823" w:rsidRDefault="00860F8E" w:rsidP="00860F8E">
      <w:pPr>
        <w:keepLines/>
        <w:tabs>
          <w:tab w:val="left" w:pos="284"/>
          <w:tab w:val="left" w:pos="567"/>
        </w:tabs>
        <w:spacing w:before="60" w:after="360"/>
        <w:rPr>
          <w:highlight w:val="green"/>
        </w:rPr>
      </w:pPr>
      <w:r w:rsidRPr="00860F8E">
        <w:rPr>
          <w:rFonts w:ascii="Arial Narrow" w:eastAsia="Times New Roman" w:hAnsi="Arial Narrow"/>
          <w:b/>
          <w:sz w:val="16"/>
        </w:rPr>
        <w:t>Note</w:t>
      </w:r>
      <w:r w:rsidRPr="002D78BA">
        <w:rPr>
          <w:rFonts w:ascii="Arial Narrow" w:eastAsia="Times New Roman" w:hAnsi="Arial Narrow"/>
          <w:sz w:val="16"/>
        </w:rPr>
        <w:t>:</w:t>
      </w:r>
      <w:r w:rsidRPr="002D78BA">
        <w:rPr>
          <w:rFonts w:ascii="Arial Narrow" w:eastAsia="Times New Roman" w:hAnsi="Arial Narrow"/>
          <w:sz w:val="16"/>
        </w:rPr>
        <w:tab/>
        <w:t>Relates to amounts over $13,200. Amounts exclude GST and are rounded to whole dollars.</w:t>
      </w:r>
    </w:p>
    <w:p w14:paraId="1D26AB20" w14:textId="77777777" w:rsidR="00860F8E" w:rsidRPr="006C0823" w:rsidRDefault="00860F8E" w:rsidP="00860F8E">
      <w:pPr>
        <w:rPr>
          <w:highlight w:val="green"/>
        </w:rPr>
        <w:sectPr w:rsidR="00860F8E" w:rsidRPr="006C0823" w:rsidSect="001F77E0">
          <w:headerReference w:type="even" r:id="rId42"/>
          <w:headerReference w:type="default" r:id="rId43"/>
          <w:pgSz w:w="11906" w:h="16838" w:code="9"/>
          <w:pgMar w:top="899" w:right="1440" w:bottom="1617" w:left="1440" w:header="709" w:footer="709" w:gutter="0"/>
          <w:cols w:space="708"/>
          <w:docGrid w:linePitch="360"/>
        </w:sectPr>
      </w:pPr>
    </w:p>
    <w:p w14:paraId="6F7FA19F" w14:textId="206B8566" w:rsidR="00860F8E" w:rsidRPr="006C0823" w:rsidRDefault="00860F8E" w:rsidP="00860F8E">
      <w:pPr>
        <w:pStyle w:val="Heading1"/>
        <w:rPr>
          <w:lang w:val="en-GB"/>
        </w:rPr>
      </w:pPr>
      <w:bookmarkStart w:id="176" w:name="tablea11"/>
      <w:bookmarkStart w:id="177" w:name="tablea12"/>
      <w:bookmarkStart w:id="178" w:name="_Toc267471757"/>
      <w:bookmarkStart w:id="179" w:name="_Toc267485949"/>
      <w:bookmarkStart w:id="180" w:name="_Toc268006427"/>
      <w:bookmarkStart w:id="181" w:name="_Toc522537179"/>
      <w:bookmarkStart w:id="182" w:name="_Toc523924903"/>
      <w:bookmarkEnd w:id="159"/>
      <w:bookmarkEnd w:id="160"/>
      <w:bookmarkEnd w:id="161"/>
      <w:bookmarkEnd w:id="176"/>
      <w:bookmarkEnd w:id="177"/>
      <w:r w:rsidRPr="006C0823">
        <w:rPr>
          <w:lang w:val="en-GB"/>
        </w:rPr>
        <w:lastRenderedPageBreak/>
        <w:t>Abbreviations list</w:t>
      </w:r>
      <w:bookmarkEnd w:id="178"/>
      <w:bookmarkEnd w:id="179"/>
      <w:bookmarkEnd w:id="180"/>
      <w:bookmarkEnd w:id="181"/>
      <w:bookmarkEnd w:id="1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7096"/>
      </w:tblGrid>
      <w:tr w:rsidR="00860F8E" w:rsidRPr="006C0823" w14:paraId="18115813" w14:textId="77777777" w:rsidTr="001E0994">
        <w:tc>
          <w:tcPr>
            <w:tcW w:w="1951" w:type="dxa"/>
          </w:tcPr>
          <w:p w14:paraId="0E684E0C" w14:textId="77777777" w:rsidR="00860F8E" w:rsidRPr="006C0823" w:rsidDel="00927C81" w:rsidRDefault="00860F8E" w:rsidP="00EF6063">
            <w:pPr>
              <w:pStyle w:val="TableText"/>
              <w:keepNext w:val="0"/>
            </w:pPr>
            <w:r w:rsidRPr="006C0823">
              <w:t>AAT</w:t>
            </w:r>
          </w:p>
        </w:tc>
        <w:tc>
          <w:tcPr>
            <w:tcW w:w="7292" w:type="dxa"/>
          </w:tcPr>
          <w:p w14:paraId="5286CA72" w14:textId="77777777" w:rsidR="00860F8E" w:rsidRPr="006C0823" w:rsidDel="00927C81" w:rsidRDefault="00860F8E" w:rsidP="00EF6063">
            <w:pPr>
              <w:pStyle w:val="TableText"/>
              <w:keepNext w:val="0"/>
            </w:pPr>
            <w:r w:rsidRPr="006C0823">
              <w:t>Administrative Appeals Tribunal</w:t>
            </w:r>
          </w:p>
        </w:tc>
      </w:tr>
      <w:tr w:rsidR="00860F8E" w:rsidRPr="006C0823" w14:paraId="06B21C53" w14:textId="77777777" w:rsidTr="001E0994">
        <w:tc>
          <w:tcPr>
            <w:tcW w:w="1951" w:type="dxa"/>
          </w:tcPr>
          <w:p w14:paraId="6C6C9084" w14:textId="77777777" w:rsidR="00860F8E" w:rsidRPr="006C0823" w:rsidDel="00927C81" w:rsidRDefault="00860F8E" w:rsidP="00EF6063">
            <w:pPr>
              <w:pStyle w:val="TableText"/>
              <w:keepNext w:val="0"/>
            </w:pPr>
            <w:r w:rsidRPr="006C0823">
              <w:rPr>
                <w:szCs w:val="24"/>
              </w:rPr>
              <w:t>ADS-B</w:t>
            </w:r>
          </w:p>
        </w:tc>
        <w:tc>
          <w:tcPr>
            <w:tcW w:w="7292" w:type="dxa"/>
          </w:tcPr>
          <w:p w14:paraId="1BF0F9F6" w14:textId="77777777" w:rsidR="00860F8E" w:rsidRPr="006C0823" w:rsidDel="00927C81" w:rsidRDefault="00860F8E" w:rsidP="00EF6063">
            <w:pPr>
              <w:pStyle w:val="TableText"/>
              <w:keepNext w:val="0"/>
            </w:pPr>
            <w:r w:rsidRPr="006C0823">
              <w:rPr>
                <w:szCs w:val="24"/>
              </w:rPr>
              <w:t>Automatic Dependent Surveillance Broadcast</w:t>
            </w:r>
          </w:p>
        </w:tc>
      </w:tr>
      <w:tr w:rsidR="00860F8E" w:rsidRPr="006C0823" w14:paraId="5AAE15B9" w14:textId="77777777" w:rsidTr="001E0994">
        <w:tc>
          <w:tcPr>
            <w:tcW w:w="1951" w:type="dxa"/>
          </w:tcPr>
          <w:p w14:paraId="79F55A57" w14:textId="77777777" w:rsidR="00860F8E" w:rsidRPr="006C0823" w:rsidRDefault="00860F8E" w:rsidP="00EF6063">
            <w:pPr>
              <w:pStyle w:val="TableText"/>
              <w:keepNext w:val="0"/>
            </w:pPr>
            <w:r w:rsidRPr="006C0823">
              <w:t>Airservices</w:t>
            </w:r>
          </w:p>
        </w:tc>
        <w:tc>
          <w:tcPr>
            <w:tcW w:w="7292" w:type="dxa"/>
          </w:tcPr>
          <w:p w14:paraId="5497B2AA" w14:textId="77777777" w:rsidR="00860F8E" w:rsidRPr="006C0823" w:rsidDel="0070331E" w:rsidRDefault="00860F8E" w:rsidP="00EF6063">
            <w:pPr>
              <w:pStyle w:val="TableText"/>
              <w:keepNext w:val="0"/>
            </w:pPr>
            <w:r w:rsidRPr="006C0823">
              <w:t>Airservices Australia</w:t>
            </w:r>
          </w:p>
        </w:tc>
      </w:tr>
      <w:tr w:rsidR="00860F8E" w:rsidRPr="006C0823" w14:paraId="60CA98E1" w14:textId="77777777" w:rsidTr="001E0994">
        <w:tc>
          <w:tcPr>
            <w:tcW w:w="1951" w:type="dxa"/>
          </w:tcPr>
          <w:p w14:paraId="63843E9C" w14:textId="77777777" w:rsidR="00860F8E" w:rsidRPr="006C0823" w:rsidRDefault="00860F8E" w:rsidP="00EF6063">
            <w:pPr>
              <w:pStyle w:val="TableText"/>
              <w:keepNext w:val="0"/>
            </w:pPr>
            <w:r w:rsidRPr="006C0823">
              <w:t>AOC</w:t>
            </w:r>
          </w:p>
        </w:tc>
        <w:tc>
          <w:tcPr>
            <w:tcW w:w="7292" w:type="dxa"/>
          </w:tcPr>
          <w:p w14:paraId="6362CFCB" w14:textId="77777777" w:rsidR="00860F8E" w:rsidRPr="006C0823" w:rsidRDefault="00860F8E" w:rsidP="00EF6063">
            <w:pPr>
              <w:pStyle w:val="TableText"/>
              <w:keepNext w:val="0"/>
            </w:pPr>
            <w:r w:rsidRPr="006C0823">
              <w:t>air operator certificate</w:t>
            </w:r>
          </w:p>
        </w:tc>
      </w:tr>
      <w:tr w:rsidR="00860F8E" w:rsidRPr="006C0823" w14:paraId="6173CDEC" w14:textId="77777777" w:rsidTr="001E0994">
        <w:tc>
          <w:tcPr>
            <w:tcW w:w="1951" w:type="dxa"/>
          </w:tcPr>
          <w:p w14:paraId="5757CC6C" w14:textId="77777777" w:rsidR="00860F8E" w:rsidRPr="006C0823" w:rsidDel="00927C81" w:rsidRDefault="00860F8E" w:rsidP="00EF6063">
            <w:pPr>
              <w:pStyle w:val="TableText"/>
              <w:keepNext w:val="0"/>
            </w:pPr>
            <w:r w:rsidRPr="006C0823">
              <w:rPr>
                <w:rFonts w:cs="Arial"/>
                <w:szCs w:val="24"/>
              </w:rPr>
              <w:t>APRAST</w:t>
            </w:r>
          </w:p>
        </w:tc>
        <w:tc>
          <w:tcPr>
            <w:tcW w:w="7292" w:type="dxa"/>
          </w:tcPr>
          <w:p w14:paraId="5E4A3F86" w14:textId="77777777" w:rsidR="00860F8E" w:rsidRPr="006C0823" w:rsidDel="00927C81" w:rsidRDefault="00860F8E" w:rsidP="00EF6063">
            <w:pPr>
              <w:pStyle w:val="TableText"/>
              <w:keepNext w:val="0"/>
            </w:pPr>
            <w:r w:rsidRPr="006C0823">
              <w:rPr>
                <w:rFonts w:cs="Arial"/>
                <w:szCs w:val="24"/>
              </w:rPr>
              <w:t>Asia Pacific Regional Aviation Safety Team</w:t>
            </w:r>
          </w:p>
        </w:tc>
      </w:tr>
      <w:tr w:rsidR="00860F8E" w:rsidRPr="006C0823" w14:paraId="07703178" w14:textId="77777777" w:rsidTr="001E0994">
        <w:tc>
          <w:tcPr>
            <w:tcW w:w="1951" w:type="dxa"/>
          </w:tcPr>
          <w:p w14:paraId="32AFB332" w14:textId="77777777" w:rsidR="00860F8E" w:rsidRPr="006C0823" w:rsidDel="00927C81" w:rsidRDefault="00860F8E" w:rsidP="00EF6063">
            <w:pPr>
              <w:pStyle w:val="TableText"/>
              <w:keepNext w:val="0"/>
            </w:pPr>
            <w:r w:rsidRPr="006C0823">
              <w:t>APS</w:t>
            </w:r>
          </w:p>
        </w:tc>
        <w:tc>
          <w:tcPr>
            <w:tcW w:w="7292" w:type="dxa"/>
          </w:tcPr>
          <w:p w14:paraId="197A648D" w14:textId="77777777" w:rsidR="00860F8E" w:rsidRPr="006C0823" w:rsidDel="00927C81" w:rsidRDefault="00860F8E" w:rsidP="00EF6063">
            <w:pPr>
              <w:pStyle w:val="TableText"/>
              <w:keepNext w:val="0"/>
            </w:pPr>
            <w:r w:rsidRPr="006C0823">
              <w:t>Australian Public Service</w:t>
            </w:r>
          </w:p>
        </w:tc>
      </w:tr>
      <w:tr w:rsidR="00860F8E" w:rsidRPr="006C0823" w14:paraId="0C9386F9" w14:textId="77777777" w:rsidTr="001E0994">
        <w:tc>
          <w:tcPr>
            <w:tcW w:w="1951" w:type="dxa"/>
          </w:tcPr>
          <w:p w14:paraId="76267D91" w14:textId="77777777" w:rsidR="00860F8E" w:rsidRPr="006C0823" w:rsidRDefault="00860F8E" w:rsidP="00EF6063">
            <w:pPr>
              <w:pStyle w:val="TableText"/>
              <w:keepNext w:val="0"/>
            </w:pPr>
            <w:r>
              <w:t>ASAP</w:t>
            </w:r>
          </w:p>
        </w:tc>
        <w:tc>
          <w:tcPr>
            <w:tcW w:w="7292" w:type="dxa"/>
          </w:tcPr>
          <w:p w14:paraId="3DAC0DA0" w14:textId="77777777" w:rsidR="00860F8E" w:rsidRPr="006C0823" w:rsidRDefault="00860F8E" w:rsidP="00EF6063">
            <w:pPr>
              <w:pStyle w:val="TableText"/>
              <w:keepNext w:val="0"/>
            </w:pPr>
            <w:r>
              <w:t>Aviation Safety Advisory Panel</w:t>
            </w:r>
          </w:p>
        </w:tc>
      </w:tr>
      <w:tr w:rsidR="00860F8E" w:rsidRPr="006C0823" w14:paraId="16EBE435" w14:textId="77777777" w:rsidTr="001E0994">
        <w:tc>
          <w:tcPr>
            <w:tcW w:w="1951" w:type="dxa"/>
          </w:tcPr>
          <w:p w14:paraId="12ADBBC0" w14:textId="77777777" w:rsidR="00860F8E" w:rsidRPr="006C0823" w:rsidDel="00927C81" w:rsidRDefault="00860F8E" w:rsidP="00EF6063">
            <w:pPr>
              <w:pStyle w:val="TableText"/>
              <w:keepNext w:val="0"/>
            </w:pPr>
            <w:r w:rsidRPr="006C0823">
              <w:t>ASRR</w:t>
            </w:r>
          </w:p>
        </w:tc>
        <w:tc>
          <w:tcPr>
            <w:tcW w:w="7292" w:type="dxa"/>
          </w:tcPr>
          <w:p w14:paraId="2E087E8E" w14:textId="77777777" w:rsidR="00860F8E" w:rsidRPr="006C0823" w:rsidDel="00927C81" w:rsidRDefault="00860F8E" w:rsidP="00EF6063">
            <w:pPr>
              <w:pStyle w:val="TableText"/>
              <w:keepNext w:val="0"/>
            </w:pPr>
            <w:r w:rsidRPr="006C0823">
              <w:t>Aviation Safety Regulation Review</w:t>
            </w:r>
          </w:p>
        </w:tc>
      </w:tr>
      <w:tr w:rsidR="00860F8E" w:rsidRPr="006C0823" w14:paraId="629B7028" w14:textId="77777777" w:rsidTr="001E0994">
        <w:tc>
          <w:tcPr>
            <w:tcW w:w="1951" w:type="dxa"/>
          </w:tcPr>
          <w:p w14:paraId="729E77D4" w14:textId="77777777" w:rsidR="00860F8E" w:rsidRPr="006C0823" w:rsidDel="00927C81" w:rsidRDefault="00860F8E" w:rsidP="00EF6063">
            <w:pPr>
              <w:pStyle w:val="TableText"/>
              <w:keepNext w:val="0"/>
            </w:pPr>
            <w:r w:rsidRPr="006C0823">
              <w:t>ASTRA</w:t>
            </w:r>
          </w:p>
        </w:tc>
        <w:tc>
          <w:tcPr>
            <w:tcW w:w="7292" w:type="dxa"/>
          </w:tcPr>
          <w:p w14:paraId="4467F128" w14:textId="77777777" w:rsidR="00860F8E" w:rsidRPr="006C0823" w:rsidDel="00927C81" w:rsidRDefault="00860F8E" w:rsidP="00EF6063">
            <w:pPr>
              <w:pStyle w:val="TableText"/>
              <w:keepNext w:val="0"/>
            </w:pPr>
            <w:r w:rsidRPr="006C0823">
              <w:rPr>
                <w:bCs/>
                <w:szCs w:val="24"/>
                <w:lang w:eastAsia="en-AU"/>
              </w:rPr>
              <w:t>Australian Strategic Air Traffic Management Group</w:t>
            </w:r>
          </w:p>
        </w:tc>
      </w:tr>
      <w:tr w:rsidR="00860F8E" w:rsidRPr="006C0823" w14:paraId="06A28BA9" w14:textId="77777777" w:rsidTr="001E0994">
        <w:tc>
          <w:tcPr>
            <w:tcW w:w="1951" w:type="dxa"/>
          </w:tcPr>
          <w:p w14:paraId="002AAC91" w14:textId="77777777" w:rsidR="00860F8E" w:rsidRPr="006C0823" w:rsidRDefault="00860F8E" w:rsidP="00EF6063">
            <w:pPr>
              <w:pStyle w:val="TableText"/>
              <w:keepNext w:val="0"/>
            </w:pPr>
            <w:r w:rsidRPr="006C0823">
              <w:t>ATSB</w:t>
            </w:r>
          </w:p>
        </w:tc>
        <w:tc>
          <w:tcPr>
            <w:tcW w:w="7292" w:type="dxa"/>
          </w:tcPr>
          <w:p w14:paraId="002AD7B9" w14:textId="77777777" w:rsidR="00860F8E" w:rsidRPr="006C0823" w:rsidRDefault="00860F8E" w:rsidP="00EF6063">
            <w:pPr>
              <w:pStyle w:val="TableText"/>
              <w:keepNext w:val="0"/>
            </w:pPr>
            <w:r w:rsidRPr="006C0823">
              <w:t xml:space="preserve">Australian Transport Safety Bureau </w:t>
            </w:r>
          </w:p>
        </w:tc>
      </w:tr>
      <w:tr w:rsidR="00860F8E" w:rsidRPr="006C0823" w14:paraId="4C1C182B" w14:textId="77777777" w:rsidTr="001E0994">
        <w:tc>
          <w:tcPr>
            <w:tcW w:w="1951" w:type="dxa"/>
          </w:tcPr>
          <w:p w14:paraId="24D47DC5" w14:textId="77777777" w:rsidR="00860F8E" w:rsidRPr="006C0823" w:rsidRDefault="00860F8E" w:rsidP="00EF6063">
            <w:pPr>
              <w:pStyle w:val="TableText"/>
              <w:keepNext w:val="0"/>
            </w:pPr>
            <w:r>
              <w:t>BITRE</w:t>
            </w:r>
          </w:p>
        </w:tc>
        <w:tc>
          <w:tcPr>
            <w:tcW w:w="7292" w:type="dxa"/>
          </w:tcPr>
          <w:p w14:paraId="06E9A2ED" w14:textId="77777777" w:rsidR="00860F8E" w:rsidRPr="006C0823" w:rsidRDefault="00860F8E" w:rsidP="00EF6063">
            <w:pPr>
              <w:pStyle w:val="TableText"/>
              <w:keepNext w:val="0"/>
            </w:pPr>
            <w:r w:rsidRPr="006C0823">
              <w:t>Bureau of Infrastructure, Transport and Regional Economics</w:t>
            </w:r>
          </w:p>
        </w:tc>
      </w:tr>
      <w:tr w:rsidR="00860F8E" w:rsidRPr="006C0823" w14:paraId="42D8FD64" w14:textId="77777777" w:rsidTr="001E0994">
        <w:tc>
          <w:tcPr>
            <w:tcW w:w="1951" w:type="dxa"/>
          </w:tcPr>
          <w:p w14:paraId="6CD7FAB1" w14:textId="77777777" w:rsidR="00860F8E" w:rsidRPr="006C0823" w:rsidRDefault="00860F8E" w:rsidP="00EF6063">
            <w:pPr>
              <w:pStyle w:val="TableText"/>
              <w:keepNext w:val="0"/>
            </w:pPr>
            <w:r w:rsidRPr="006C0823">
              <w:t>CAA NZ</w:t>
            </w:r>
          </w:p>
        </w:tc>
        <w:tc>
          <w:tcPr>
            <w:tcW w:w="7292" w:type="dxa"/>
          </w:tcPr>
          <w:p w14:paraId="34B946AC" w14:textId="77777777" w:rsidR="00860F8E" w:rsidRPr="006C0823" w:rsidRDefault="00860F8E" w:rsidP="00EF6063">
            <w:pPr>
              <w:pStyle w:val="TableText"/>
              <w:keepNext w:val="0"/>
            </w:pPr>
            <w:r w:rsidRPr="006C0823">
              <w:t xml:space="preserve">Civil Aviation Authority </w:t>
            </w:r>
            <w:r w:rsidR="003E5664">
              <w:t xml:space="preserve">of </w:t>
            </w:r>
            <w:r w:rsidRPr="006C0823">
              <w:t xml:space="preserve">New Zealand </w:t>
            </w:r>
          </w:p>
        </w:tc>
      </w:tr>
      <w:tr w:rsidR="00860F8E" w:rsidRPr="006C0823" w14:paraId="00A58D66" w14:textId="77777777" w:rsidTr="001E0994">
        <w:tc>
          <w:tcPr>
            <w:tcW w:w="1951" w:type="dxa"/>
          </w:tcPr>
          <w:p w14:paraId="197DB50E" w14:textId="77777777" w:rsidR="00860F8E" w:rsidRPr="006C0823" w:rsidDel="00927C81" w:rsidRDefault="00860F8E" w:rsidP="00EF6063">
            <w:pPr>
              <w:pStyle w:val="TableText"/>
              <w:keepNext w:val="0"/>
            </w:pPr>
            <w:r w:rsidRPr="006C0823">
              <w:t>CAAS</w:t>
            </w:r>
          </w:p>
        </w:tc>
        <w:tc>
          <w:tcPr>
            <w:tcW w:w="7292" w:type="dxa"/>
          </w:tcPr>
          <w:p w14:paraId="069797C1" w14:textId="77777777" w:rsidR="00860F8E" w:rsidRPr="006C0823" w:rsidDel="00927C81" w:rsidRDefault="00860F8E" w:rsidP="00EF6063">
            <w:pPr>
              <w:pStyle w:val="TableText"/>
              <w:keepNext w:val="0"/>
            </w:pPr>
            <w:r w:rsidRPr="006C0823">
              <w:rPr>
                <w:rFonts w:cs="Arial"/>
                <w:szCs w:val="24"/>
              </w:rPr>
              <w:t>Civil Aviation Authority of Singapore</w:t>
            </w:r>
          </w:p>
        </w:tc>
      </w:tr>
      <w:tr w:rsidR="00860F8E" w:rsidRPr="006C0823" w14:paraId="7B7646E8" w14:textId="77777777" w:rsidTr="001E0994">
        <w:tc>
          <w:tcPr>
            <w:tcW w:w="1951" w:type="dxa"/>
          </w:tcPr>
          <w:p w14:paraId="6A2E4410" w14:textId="77777777" w:rsidR="00860F8E" w:rsidRPr="006C0823" w:rsidRDefault="00860F8E" w:rsidP="00EF6063">
            <w:pPr>
              <w:pStyle w:val="TableText"/>
              <w:keepNext w:val="0"/>
            </w:pPr>
            <w:r>
              <w:t>CAAT</w:t>
            </w:r>
          </w:p>
        </w:tc>
        <w:tc>
          <w:tcPr>
            <w:tcW w:w="7292" w:type="dxa"/>
          </w:tcPr>
          <w:p w14:paraId="0BF61AFE" w14:textId="77777777" w:rsidR="00860F8E" w:rsidRPr="006C0823" w:rsidRDefault="00860F8E" w:rsidP="00EF6063">
            <w:pPr>
              <w:pStyle w:val="TableText"/>
              <w:keepNext w:val="0"/>
            </w:pPr>
            <w:r w:rsidRPr="006C0823">
              <w:rPr>
                <w:rFonts w:cs="Arial"/>
                <w:szCs w:val="24"/>
              </w:rPr>
              <w:t xml:space="preserve">Civil Aviation Authority of </w:t>
            </w:r>
            <w:r>
              <w:rPr>
                <w:rFonts w:cs="Arial"/>
                <w:szCs w:val="24"/>
              </w:rPr>
              <w:t>Thailand</w:t>
            </w:r>
          </w:p>
        </w:tc>
      </w:tr>
      <w:tr w:rsidR="00860F8E" w:rsidRPr="006C0823" w14:paraId="5A00E6A7" w14:textId="77777777" w:rsidTr="001E0994">
        <w:tc>
          <w:tcPr>
            <w:tcW w:w="1951" w:type="dxa"/>
          </w:tcPr>
          <w:p w14:paraId="038B1ACF" w14:textId="77777777" w:rsidR="00860F8E" w:rsidRPr="006C0823" w:rsidDel="00927C81" w:rsidRDefault="00860F8E" w:rsidP="00EF6063">
            <w:pPr>
              <w:pStyle w:val="TableText"/>
              <w:keepNext w:val="0"/>
            </w:pPr>
            <w:r w:rsidRPr="006C0823">
              <w:t>CASA</w:t>
            </w:r>
          </w:p>
        </w:tc>
        <w:tc>
          <w:tcPr>
            <w:tcW w:w="7292" w:type="dxa"/>
          </w:tcPr>
          <w:p w14:paraId="0A9039AA" w14:textId="77777777" w:rsidR="00860F8E" w:rsidRPr="006C0823" w:rsidDel="00927C81" w:rsidRDefault="00860F8E" w:rsidP="00EF6063">
            <w:pPr>
              <w:pStyle w:val="TableText"/>
              <w:keepNext w:val="0"/>
            </w:pPr>
            <w:r w:rsidRPr="006C0823">
              <w:t>Civil Aviation Safety Authority</w:t>
            </w:r>
          </w:p>
        </w:tc>
      </w:tr>
      <w:tr w:rsidR="00860F8E" w:rsidRPr="006C0823" w14:paraId="52FB02BC" w14:textId="77777777" w:rsidTr="001E0994">
        <w:tc>
          <w:tcPr>
            <w:tcW w:w="1951" w:type="dxa"/>
          </w:tcPr>
          <w:p w14:paraId="6F9D81D6" w14:textId="77777777" w:rsidR="00860F8E" w:rsidRPr="006C0823" w:rsidRDefault="00860F8E" w:rsidP="00EF6063">
            <w:pPr>
              <w:pStyle w:val="TableText"/>
              <w:keepNext w:val="0"/>
            </w:pPr>
            <w:r w:rsidRPr="006C0823">
              <w:t>CASA PNG</w:t>
            </w:r>
          </w:p>
        </w:tc>
        <w:tc>
          <w:tcPr>
            <w:tcW w:w="7292" w:type="dxa"/>
          </w:tcPr>
          <w:p w14:paraId="088AE189" w14:textId="77777777" w:rsidR="00860F8E" w:rsidRPr="006C0823" w:rsidRDefault="00860F8E" w:rsidP="00EF6063">
            <w:pPr>
              <w:pStyle w:val="TableText"/>
              <w:keepNext w:val="0"/>
            </w:pPr>
            <w:r w:rsidRPr="006C0823">
              <w:t>Civil Aviation Safety Authority of Papua New Guinea</w:t>
            </w:r>
          </w:p>
        </w:tc>
      </w:tr>
      <w:tr w:rsidR="00860F8E" w:rsidRPr="006C0823" w14:paraId="64AE2938" w14:textId="77777777" w:rsidTr="001E0994">
        <w:tc>
          <w:tcPr>
            <w:tcW w:w="1951" w:type="dxa"/>
          </w:tcPr>
          <w:p w14:paraId="02A4C875" w14:textId="77777777" w:rsidR="00860F8E" w:rsidRPr="006C0823" w:rsidDel="00927C81" w:rsidRDefault="00860F8E" w:rsidP="00EF6063">
            <w:pPr>
              <w:pStyle w:val="TableText"/>
              <w:keepNext w:val="0"/>
            </w:pPr>
            <w:r w:rsidRPr="006C0823">
              <w:t>CASR</w:t>
            </w:r>
          </w:p>
        </w:tc>
        <w:tc>
          <w:tcPr>
            <w:tcW w:w="7292" w:type="dxa"/>
          </w:tcPr>
          <w:p w14:paraId="06AAE209" w14:textId="77777777" w:rsidR="00860F8E" w:rsidRPr="006C0823" w:rsidDel="00927C81" w:rsidRDefault="00860F8E" w:rsidP="00EF6063">
            <w:pPr>
              <w:pStyle w:val="TableText"/>
              <w:keepNext w:val="0"/>
            </w:pPr>
            <w:r w:rsidRPr="006C0823">
              <w:t>Civil Aviation Safety Regulations</w:t>
            </w:r>
          </w:p>
        </w:tc>
      </w:tr>
      <w:tr w:rsidR="00860F8E" w:rsidRPr="006C0823" w14:paraId="5CC3A744" w14:textId="77777777" w:rsidTr="001E0994">
        <w:tc>
          <w:tcPr>
            <w:tcW w:w="1951" w:type="dxa"/>
          </w:tcPr>
          <w:p w14:paraId="087031CA" w14:textId="77777777" w:rsidR="00860F8E" w:rsidRPr="006C0823" w:rsidRDefault="00860F8E" w:rsidP="00EF6063">
            <w:pPr>
              <w:pStyle w:val="TableText"/>
              <w:keepNext w:val="0"/>
            </w:pPr>
            <w:r>
              <w:t>CEO/</w:t>
            </w:r>
            <w:r w:rsidRPr="006C0823">
              <w:t>DAS</w:t>
            </w:r>
          </w:p>
        </w:tc>
        <w:tc>
          <w:tcPr>
            <w:tcW w:w="7292" w:type="dxa"/>
          </w:tcPr>
          <w:p w14:paraId="5332BE84" w14:textId="77777777" w:rsidR="00860F8E" w:rsidRPr="006C0823" w:rsidRDefault="00860F8E" w:rsidP="00EF6063">
            <w:pPr>
              <w:pStyle w:val="TableText"/>
              <w:keepNext w:val="0"/>
            </w:pPr>
            <w:r>
              <w:t xml:space="preserve">Chief Executive Officer and </w:t>
            </w:r>
            <w:r w:rsidRPr="006C0823">
              <w:t>Director of Aviation Safety</w:t>
            </w:r>
          </w:p>
        </w:tc>
      </w:tr>
      <w:tr w:rsidR="00860F8E" w:rsidRPr="00A40479" w14:paraId="3A50E925" w14:textId="77777777" w:rsidTr="001E0994">
        <w:tc>
          <w:tcPr>
            <w:tcW w:w="1951" w:type="dxa"/>
          </w:tcPr>
          <w:p w14:paraId="58F4C952" w14:textId="77777777" w:rsidR="00860F8E" w:rsidRPr="006C0823" w:rsidDel="00927C81" w:rsidRDefault="00860F8E" w:rsidP="00EF6063">
            <w:pPr>
              <w:pStyle w:val="TableText"/>
              <w:keepNext w:val="0"/>
            </w:pPr>
            <w:r w:rsidRPr="006C0823">
              <w:rPr>
                <w:rFonts w:cs="Arial"/>
                <w:szCs w:val="24"/>
              </w:rPr>
              <w:t>Chicago Convention</w:t>
            </w:r>
          </w:p>
        </w:tc>
        <w:tc>
          <w:tcPr>
            <w:tcW w:w="7292" w:type="dxa"/>
          </w:tcPr>
          <w:p w14:paraId="41DC4507" w14:textId="77777777" w:rsidR="00860F8E" w:rsidRPr="00A40479" w:rsidDel="00927C81" w:rsidRDefault="00860F8E" w:rsidP="00EF6063">
            <w:pPr>
              <w:pStyle w:val="TableText"/>
              <w:keepNext w:val="0"/>
              <w:rPr>
                <w:lang w:val="fr-FR"/>
              </w:rPr>
            </w:pPr>
            <w:r w:rsidRPr="00A40479">
              <w:rPr>
                <w:rFonts w:cs="Arial"/>
                <w:szCs w:val="24"/>
                <w:lang w:val="fr-FR"/>
              </w:rPr>
              <w:t>1944 Convention on International Civil Aviation</w:t>
            </w:r>
          </w:p>
        </w:tc>
      </w:tr>
      <w:tr w:rsidR="00860F8E" w:rsidRPr="006C0823" w14:paraId="462919FD" w14:textId="77777777" w:rsidTr="001E0994">
        <w:tc>
          <w:tcPr>
            <w:tcW w:w="1951" w:type="dxa"/>
          </w:tcPr>
          <w:p w14:paraId="4D0D14D8" w14:textId="77777777" w:rsidR="00860F8E" w:rsidRPr="006C0823" w:rsidDel="00927C81" w:rsidRDefault="00860F8E" w:rsidP="00EF6063">
            <w:pPr>
              <w:pStyle w:val="TableText"/>
              <w:keepNext w:val="0"/>
            </w:pPr>
            <w:r w:rsidRPr="006C0823">
              <w:t>Civil Aviation Act</w:t>
            </w:r>
          </w:p>
        </w:tc>
        <w:tc>
          <w:tcPr>
            <w:tcW w:w="7292" w:type="dxa"/>
          </w:tcPr>
          <w:p w14:paraId="09E58B99" w14:textId="77777777" w:rsidR="00860F8E" w:rsidRPr="006C0823" w:rsidDel="00927C81" w:rsidRDefault="00860F8E" w:rsidP="00EF6063">
            <w:pPr>
              <w:pStyle w:val="TableText"/>
              <w:keepNext w:val="0"/>
            </w:pPr>
            <w:r w:rsidRPr="006C0823">
              <w:rPr>
                <w:i/>
              </w:rPr>
              <w:t>Civil Aviation Act 1988</w:t>
            </w:r>
          </w:p>
        </w:tc>
      </w:tr>
      <w:tr w:rsidR="00860F8E" w:rsidRPr="006C0823" w14:paraId="6B3E3377" w14:textId="77777777" w:rsidTr="001E0994">
        <w:tc>
          <w:tcPr>
            <w:tcW w:w="1951" w:type="dxa"/>
          </w:tcPr>
          <w:p w14:paraId="31D6DB99" w14:textId="77777777" w:rsidR="00860F8E" w:rsidRPr="006C0823" w:rsidRDefault="00860F8E" w:rsidP="00EF6063">
            <w:pPr>
              <w:pStyle w:val="TableText"/>
              <w:keepNext w:val="0"/>
            </w:pPr>
            <w:r w:rsidRPr="006C0823">
              <w:t>DAME</w:t>
            </w:r>
          </w:p>
        </w:tc>
        <w:tc>
          <w:tcPr>
            <w:tcW w:w="7292" w:type="dxa"/>
          </w:tcPr>
          <w:p w14:paraId="1AB34A83" w14:textId="77777777" w:rsidR="00860F8E" w:rsidRPr="006C0823" w:rsidRDefault="00860F8E" w:rsidP="00EF6063">
            <w:pPr>
              <w:pStyle w:val="TableText"/>
              <w:keepNext w:val="0"/>
            </w:pPr>
            <w:r w:rsidRPr="006C0823">
              <w:t>designated aviation medical examiner</w:t>
            </w:r>
          </w:p>
        </w:tc>
      </w:tr>
      <w:tr w:rsidR="00860F8E" w:rsidRPr="006C0823" w14:paraId="1A234CF2" w14:textId="77777777" w:rsidTr="001E0994">
        <w:tc>
          <w:tcPr>
            <w:tcW w:w="1951" w:type="dxa"/>
          </w:tcPr>
          <w:p w14:paraId="4C495F0E" w14:textId="77777777" w:rsidR="00860F8E" w:rsidRPr="006C0823" w:rsidDel="00927C81" w:rsidRDefault="00860F8E" w:rsidP="00EF6063">
            <w:pPr>
              <w:pStyle w:val="TableText"/>
              <w:keepNext w:val="0"/>
            </w:pPr>
            <w:r w:rsidRPr="006C0823">
              <w:t>Defence</w:t>
            </w:r>
          </w:p>
        </w:tc>
        <w:tc>
          <w:tcPr>
            <w:tcW w:w="7292" w:type="dxa"/>
          </w:tcPr>
          <w:p w14:paraId="35D07B9F" w14:textId="77777777" w:rsidR="00860F8E" w:rsidRPr="006C0823" w:rsidDel="00927C81" w:rsidRDefault="00860F8E" w:rsidP="00EF6063">
            <w:pPr>
              <w:pStyle w:val="TableText"/>
              <w:keepNext w:val="0"/>
            </w:pPr>
            <w:r w:rsidRPr="006C0823">
              <w:t>Department of Defence</w:t>
            </w:r>
          </w:p>
        </w:tc>
      </w:tr>
      <w:tr w:rsidR="00860F8E" w:rsidRPr="006C0823" w14:paraId="52D6E03B" w14:textId="77777777" w:rsidTr="001E0994">
        <w:tc>
          <w:tcPr>
            <w:tcW w:w="1951" w:type="dxa"/>
          </w:tcPr>
          <w:p w14:paraId="574B8CA5" w14:textId="77777777" w:rsidR="00860F8E" w:rsidRPr="006C0823" w:rsidRDefault="00860F8E" w:rsidP="00EF6063">
            <w:pPr>
              <w:pStyle w:val="TableText"/>
              <w:keepNext w:val="0"/>
            </w:pPr>
            <w:r>
              <w:t>DFAT</w:t>
            </w:r>
          </w:p>
        </w:tc>
        <w:tc>
          <w:tcPr>
            <w:tcW w:w="7292" w:type="dxa"/>
          </w:tcPr>
          <w:p w14:paraId="085F80A5" w14:textId="77777777" w:rsidR="00860F8E" w:rsidRPr="006C0823" w:rsidRDefault="00860F8E" w:rsidP="00EF6063">
            <w:pPr>
              <w:pStyle w:val="TableText"/>
              <w:keepNext w:val="0"/>
            </w:pPr>
            <w:r w:rsidRPr="006C0823">
              <w:rPr>
                <w:rFonts w:eastAsia="Times New Roman"/>
              </w:rPr>
              <w:t xml:space="preserve">Department of Foreign Affairs and Trade </w:t>
            </w:r>
          </w:p>
        </w:tc>
      </w:tr>
      <w:tr w:rsidR="00B56F3A" w:rsidRPr="006C0823" w14:paraId="4C955301" w14:textId="77777777" w:rsidTr="001E0994">
        <w:tc>
          <w:tcPr>
            <w:tcW w:w="1951" w:type="dxa"/>
          </w:tcPr>
          <w:p w14:paraId="18650A4F" w14:textId="77777777" w:rsidR="00B56F3A" w:rsidRPr="006C0823" w:rsidRDefault="00B56F3A" w:rsidP="00EF6063">
            <w:pPr>
              <w:pStyle w:val="TableText"/>
              <w:keepNext w:val="0"/>
            </w:pPr>
            <w:r>
              <w:t>DGCA</w:t>
            </w:r>
          </w:p>
        </w:tc>
        <w:tc>
          <w:tcPr>
            <w:tcW w:w="7292" w:type="dxa"/>
          </w:tcPr>
          <w:p w14:paraId="77492820" w14:textId="77777777" w:rsidR="00B56F3A" w:rsidRPr="006C0823" w:rsidRDefault="00B56F3A" w:rsidP="00EF6063">
            <w:pPr>
              <w:pStyle w:val="TableText"/>
              <w:keepNext w:val="0"/>
            </w:pPr>
            <w:r w:rsidRPr="00E3350E">
              <w:rPr>
                <w:rFonts w:cs="Arial"/>
                <w:szCs w:val="24"/>
                <w:lang w:val="en-AU"/>
              </w:rPr>
              <w:t>Directors General of Civil Aviation</w:t>
            </w:r>
          </w:p>
        </w:tc>
      </w:tr>
      <w:tr w:rsidR="00860F8E" w:rsidRPr="006C0823" w14:paraId="620A0C82" w14:textId="77777777" w:rsidTr="001E0994">
        <w:tc>
          <w:tcPr>
            <w:tcW w:w="1951" w:type="dxa"/>
          </w:tcPr>
          <w:p w14:paraId="179E1F1D" w14:textId="77777777" w:rsidR="00860F8E" w:rsidRPr="006C0823" w:rsidDel="00927C81" w:rsidRDefault="00860F8E" w:rsidP="00EF6063">
            <w:pPr>
              <w:pStyle w:val="TableText"/>
              <w:keepNext w:val="0"/>
            </w:pPr>
            <w:r w:rsidRPr="006C0823">
              <w:t>EAP</w:t>
            </w:r>
          </w:p>
        </w:tc>
        <w:tc>
          <w:tcPr>
            <w:tcW w:w="7292" w:type="dxa"/>
          </w:tcPr>
          <w:p w14:paraId="281C5588" w14:textId="77777777" w:rsidR="00860F8E" w:rsidRPr="006C0823" w:rsidDel="00927C81" w:rsidRDefault="00860F8E" w:rsidP="00EF6063">
            <w:pPr>
              <w:pStyle w:val="TableText"/>
              <w:keepNext w:val="0"/>
            </w:pPr>
            <w:r w:rsidRPr="006C0823">
              <w:t>European Aviation Processing</w:t>
            </w:r>
          </w:p>
        </w:tc>
      </w:tr>
      <w:tr w:rsidR="00860F8E" w:rsidRPr="006C0823" w14:paraId="2DC43640" w14:textId="77777777" w:rsidTr="001E0994">
        <w:tc>
          <w:tcPr>
            <w:tcW w:w="1951" w:type="dxa"/>
          </w:tcPr>
          <w:p w14:paraId="368EC9B8" w14:textId="77777777" w:rsidR="00860F8E" w:rsidRPr="006C0823" w:rsidRDefault="00860F8E" w:rsidP="00EF6063">
            <w:pPr>
              <w:pStyle w:val="TableText"/>
              <w:keepNext w:val="0"/>
            </w:pPr>
            <w:r w:rsidRPr="006C0823">
              <w:t>EASA</w:t>
            </w:r>
          </w:p>
        </w:tc>
        <w:tc>
          <w:tcPr>
            <w:tcW w:w="7292" w:type="dxa"/>
          </w:tcPr>
          <w:p w14:paraId="1EDD604D" w14:textId="77777777" w:rsidR="00860F8E" w:rsidRPr="006C0823" w:rsidRDefault="00860F8E" w:rsidP="00EF6063">
            <w:pPr>
              <w:pStyle w:val="TableText"/>
              <w:keepNext w:val="0"/>
            </w:pPr>
            <w:r w:rsidRPr="006C0823">
              <w:t>European Aviation Safety Agency</w:t>
            </w:r>
          </w:p>
        </w:tc>
      </w:tr>
      <w:tr w:rsidR="00860F8E" w:rsidRPr="006C0823" w14:paraId="5F7859F6" w14:textId="77777777" w:rsidTr="001E0994">
        <w:tc>
          <w:tcPr>
            <w:tcW w:w="1951" w:type="dxa"/>
          </w:tcPr>
          <w:p w14:paraId="5B620BA4" w14:textId="77777777" w:rsidR="00860F8E" w:rsidRPr="006C0823" w:rsidRDefault="00860F8E" w:rsidP="00EF6063">
            <w:pPr>
              <w:pStyle w:val="TableText"/>
              <w:keepNext w:val="0"/>
            </w:pPr>
            <w:r w:rsidRPr="006C0823">
              <w:t>FAA</w:t>
            </w:r>
          </w:p>
        </w:tc>
        <w:tc>
          <w:tcPr>
            <w:tcW w:w="7292" w:type="dxa"/>
          </w:tcPr>
          <w:p w14:paraId="5B657CFA" w14:textId="77777777" w:rsidR="00860F8E" w:rsidRPr="006C0823" w:rsidRDefault="00860F8E" w:rsidP="00EF6063">
            <w:pPr>
              <w:pStyle w:val="TableText"/>
              <w:keepNext w:val="0"/>
            </w:pPr>
            <w:r w:rsidRPr="006C0823">
              <w:t xml:space="preserve">Federal Aviation Administration (United States) </w:t>
            </w:r>
          </w:p>
        </w:tc>
      </w:tr>
      <w:tr w:rsidR="00860F8E" w:rsidRPr="006C0823" w14:paraId="107ACB9B" w14:textId="77777777" w:rsidTr="001E0994">
        <w:tc>
          <w:tcPr>
            <w:tcW w:w="1951" w:type="dxa"/>
          </w:tcPr>
          <w:p w14:paraId="272015B9" w14:textId="77777777" w:rsidR="00860F8E" w:rsidRPr="006C0823" w:rsidDel="00927C81" w:rsidRDefault="00860F8E" w:rsidP="00EF6063">
            <w:pPr>
              <w:pStyle w:val="TableText"/>
              <w:keepNext w:val="0"/>
            </w:pPr>
            <w:r w:rsidRPr="006C0823">
              <w:t>GST</w:t>
            </w:r>
          </w:p>
        </w:tc>
        <w:tc>
          <w:tcPr>
            <w:tcW w:w="7292" w:type="dxa"/>
          </w:tcPr>
          <w:p w14:paraId="14EE2E81" w14:textId="77777777" w:rsidR="00860F8E" w:rsidRPr="006C0823" w:rsidDel="00927C81" w:rsidRDefault="00860F8E" w:rsidP="00EF6063">
            <w:pPr>
              <w:pStyle w:val="TableText"/>
              <w:keepNext w:val="0"/>
            </w:pPr>
            <w:r w:rsidRPr="006C0823">
              <w:t>goods and services tax</w:t>
            </w:r>
          </w:p>
        </w:tc>
      </w:tr>
      <w:tr w:rsidR="00860F8E" w:rsidRPr="006C0823" w14:paraId="4ABF5F30" w14:textId="77777777" w:rsidTr="001E0994">
        <w:tc>
          <w:tcPr>
            <w:tcW w:w="1951" w:type="dxa"/>
          </w:tcPr>
          <w:p w14:paraId="51E1AA63" w14:textId="77777777" w:rsidR="00860F8E" w:rsidRPr="006C0823" w:rsidRDefault="00860F8E" w:rsidP="00EF6063">
            <w:pPr>
              <w:pStyle w:val="TableText"/>
              <w:keepNext w:val="0"/>
            </w:pPr>
            <w:r w:rsidRPr="006C0823">
              <w:t>ICAO</w:t>
            </w:r>
          </w:p>
        </w:tc>
        <w:tc>
          <w:tcPr>
            <w:tcW w:w="7292" w:type="dxa"/>
          </w:tcPr>
          <w:p w14:paraId="595270D4" w14:textId="77777777" w:rsidR="00860F8E" w:rsidRPr="006C0823" w:rsidRDefault="00860F8E" w:rsidP="00EF6063">
            <w:pPr>
              <w:pStyle w:val="TableText"/>
              <w:keepNext w:val="0"/>
            </w:pPr>
            <w:r w:rsidRPr="006C0823">
              <w:t>International Civil Aviation Organization</w:t>
            </w:r>
          </w:p>
        </w:tc>
      </w:tr>
      <w:tr w:rsidR="00860F8E" w:rsidRPr="006C0823" w14:paraId="53022A14" w14:textId="77777777" w:rsidTr="001E0994">
        <w:tc>
          <w:tcPr>
            <w:tcW w:w="1951" w:type="dxa"/>
          </w:tcPr>
          <w:p w14:paraId="2AB39D0A" w14:textId="77777777" w:rsidR="00860F8E" w:rsidRPr="006C0823" w:rsidRDefault="00860F8E" w:rsidP="00EF6063">
            <w:pPr>
              <w:pStyle w:val="TableText"/>
              <w:keepNext w:val="0"/>
            </w:pPr>
            <w:r w:rsidRPr="006C0823">
              <w:t>ICC</w:t>
            </w:r>
          </w:p>
        </w:tc>
        <w:tc>
          <w:tcPr>
            <w:tcW w:w="7292" w:type="dxa"/>
          </w:tcPr>
          <w:p w14:paraId="479C51FD" w14:textId="77777777" w:rsidR="00860F8E" w:rsidRPr="006C0823" w:rsidRDefault="00860F8E" w:rsidP="00EF6063">
            <w:pPr>
              <w:pStyle w:val="TableText"/>
              <w:keepNext w:val="0"/>
            </w:pPr>
            <w:r w:rsidRPr="006C0823">
              <w:t>Industry Complaints Commissioner</w:t>
            </w:r>
          </w:p>
        </w:tc>
      </w:tr>
      <w:tr w:rsidR="00860F8E" w:rsidRPr="006C0823" w14:paraId="34064D4E" w14:textId="77777777" w:rsidTr="001E0994">
        <w:tc>
          <w:tcPr>
            <w:tcW w:w="1951" w:type="dxa"/>
          </w:tcPr>
          <w:p w14:paraId="151532EF" w14:textId="77777777" w:rsidR="00860F8E" w:rsidRPr="006C0823" w:rsidRDefault="00860F8E" w:rsidP="00EF6063">
            <w:pPr>
              <w:pStyle w:val="TableText"/>
              <w:keepNext w:val="0"/>
            </w:pPr>
            <w:r>
              <w:t>ICVM</w:t>
            </w:r>
          </w:p>
        </w:tc>
        <w:tc>
          <w:tcPr>
            <w:tcW w:w="7292" w:type="dxa"/>
          </w:tcPr>
          <w:p w14:paraId="694FC35A" w14:textId="77777777" w:rsidR="00860F8E" w:rsidRPr="006C0823" w:rsidRDefault="00860F8E" w:rsidP="00EF6063">
            <w:pPr>
              <w:pStyle w:val="TableText"/>
              <w:keepNext w:val="0"/>
            </w:pPr>
            <w:r w:rsidRPr="00A8550F">
              <w:rPr>
                <w:rFonts w:cs="Arial"/>
              </w:rPr>
              <w:t>ICAO</w:t>
            </w:r>
            <w:r>
              <w:rPr>
                <w:rFonts w:cs="Arial"/>
              </w:rPr>
              <w:t xml:space="preserve"> coordinated validation mission</w:t>
            </w:r>
            <w:r w:rsidRPr="006C0823" w:rsidDel="00D137C5">
              <w:t xml:space="preserve"> </w:t>
            </w:r>
          </w:p>
        </w:tc>
      </w:tr>
      <w:tr w:rsidR="00860F8E" w:rsidRPr="006C0823" w14:paraId="182EFD54" w14:textId="77777777" w:rsidTr="001E0994">
        <w:tc>
          <w:tcPr>
            <w:tcW w:w="1951" w:type="dxa"/>
          </w:tcPr>
          <w:p w14:paraId="70D07B9B" w14:textId="77777777" w:rsidR="00860F8E" w:rsidRPr="006C0823" w:rsidDel="00927C81" w:rsidRDefault="00860F8E" w:rsidP="00EF6063">
            <w:pPr>
              <w:pStyle w:val="TableText"/>
              <w:keepNext w:val="0"/>
            </w:pPr>
            <w:r w:rsidRPr="006C0823">
              <w:t>KPI</w:t>
            </w:r>
          </w:p>
        </w:tc>
        <w:tc>
          <w:tcPr>
            <w:tcW w:w="7292" w:type="dxa"/>
          </w:tcPr>
          <w:p w14:paraId="0922D416" w14:textId="77777777" w:rsidR="00860F8E" w:rsidRPr="006C0823" w:rsidDel="00927C81" w:rsidRDefault="00860F8E" w:rsidP="00EF6063">
            <w:pPr>
              <w:pStyle w:val="TableText"/>
              <w:keepNext w:val="0"/>
            </w:pPr>
            <w:r w:rsidRPr="006C0823">
              <w:t>key performance indicator</w:t>
            </w:r>
          </w:p>
        </w:tc>
      </w:tr>
      <w:tr w:rsidR="00860F8E" w:rsidRPr="006C0823" w14:paraId="77445C50" w14:textId="77777777" w:rsidTr="001E0994">
        <w:tc>
          <w:tcPr>
            <w:tcW w:w="1951" w:type="dxa"/>
          </w:tcPr>
          <w:p w14:paraId="5DB92EDE" w14:textId="77777777" w:rsidR="00860F8E" w:rsidRPr="006C0823" w:rsidRDefault="00860F8E" w:rsidP="00EF6063">
            <w:pPr>
              <w:pStyle w:val="TableText"/>
              <w:keepNext w:val="0"/>
              <w:rPr>
                <w:lang w:eastAsia="en-AU"/>
              </w:rPr>
            </w:pPr>
            <w:r>
              <w:rPr>
                <w:lang w:eastAsia="en-AU"/>
              </w:rPr>
              <w:t>LGBTI+</w:t>
            </w:r>
          </w:p>
        </w:tc>
        <w:tc>
          <w:tcPr>
            <w:tcW w:w="7292" w:type="dxa"/>
          </w:tcPr>
          <w:p w14:paraId="2447F30F" w14:textId="77777777" w:rsidR="00860F8E" w:rsidRPr="006C0823" w:rsidRDefault="00860F8E" w:rsidP="00EF6063">
            <w:pPr>
              <w:pStyle w:val="TableText"/>
              <w:keepNext w:val="0"/>
              <w:rPr>
                <w:lang w:eastAsia="en-AU"/>
              </w:rPr>
            </w:pPr>
            <w:r w:rsidRPr="006C0823">
              <w:t>lesbian, gay, bisexual, transgender and intersex</w:t>
            </w:r>
          </w:p>
        </w:tc>
      </w:tr>
      <w:tr w:rsidR="00860F8E" w:rsidRPr="006C0823" w14:paraId="3BF1322C" w14:textId="77777777" w:rsidTr="001E0994">
        <w:tc>
          <w:tcPr>
            <w:tcW w:w="1951" w:type="dxa"/>
          </w:tcPr>
          <w:p w14:paraId="14966F69" w14:textId="77777777" w:rsidR="00860F8E" w:rsidRPr="006C0823" w:rsidDel="00927C81" w:rsidRDefault="00860F8E" w:rsidP="00EF6063">
            <w:pPr>
              <w:pStyle w:val="TableText"/>
              <w:keepNext w:val="0"/>
            </w:pPr>
            <w:r w:rsidRPr="006C0823">
              <w:lastRenderedPageBreak/>
              <w:t>M</w:t>
            </w:r>
            <w:r>
              <w:t>o</w:t>
            </w:r>
            <w:r w:rsidRPr="006C0823">
              <w:t>U</w:t>
            </w:r>
          </w:p>
        </w:tc>
        <w:tc>
          <w:tcPr>
            <w:tcW w:w="7292" w:type="dxa"/>
          </w:tcPr>
          <w:p w14:paraId="6A3CDCD8" w14:textId="77777777" w:rsidR="00860F8E" w:rsidRPr="006C0823" w:rsidDel="00927C81" w:rsidRDefault="00860F8E" w:rsidP="00EF6063">
            <w:pPr>
              <w:pStyle w:val="TableText"/>
              <w:keepNext w:val="0"/>
            </w:pPr>
            <w:r w:rsidRPr="006C0823">
              <w:t>memorandum of understanding</w:t>
            </w:r>
          </w:p>
        </w:tc>
      </w:tr>
      <w:tr w:rsidR="00860F8E" w:rsidRPr="006C0823" w14:paraId="69839EA7" w14:textId="77777777" w:rsidTr="001E0994">
        <w:tc>
          <w:tcPr>
            <w:tcW w:w="1951" w:type="dxa"/>
          </w:tcPr>
          <w:p w14:paraId="2F1E8472" w14:textId="77777777" w:rsidR="00860F8E" w:rsidRPr="006C0823" w:rsidDel="009745FF" w:rsidRDefault="00860F8E" w:rsidP="00EF6063">
            <w:pPr>
              <w:pStyle w:val="TableText"/>
              <w:keepNext w:val="0"/>
            </w:pPr>
            <w:r w:rsidRPr="006C0823">
              <w:t>OAR</w:t>
            </w:r>
          </w:p>
        </w:tc>
        <w:tc>
          <w:tcPr>
            <w:tcW w:w="7292" w:type="dxa"/>
          </w:tcPr>
          <w:p w14:paraId="40CBE7AD" w14:textId="77777777" w:rsidR="00860F8E" w:rsidRPr="006C0823" w:rsidDel="009745FF" w:rsidRDefault="00860F8E" w:rsidP="00EF6063">
            <w:pPr>
              <w:pStyle w:val="TableText"/>
              <w:keepNext w:val="0"/>
            </w:pPr>
            <w:r w:rsidRPr="006C0823">
              <w:t>Office of Airspace Regulation</w:t>
            </w:r>
          </w:p>
        </w:tc>
      </w:tr>
      <w:tr w:rsidR="00860F8E" w:rsidRPr="006C0823" w14:paraId="36E9A09C" w14:textId="77777777" w:rsidTr="001E0994">
        <w:tc>
          <w:tcPr>
            <w:tcW w:w="1951" w:type="dxa"/>
          </w:tcPr>
          <w:p w14:paraId="796A5F74" w14:textId="77777777" w:rsidR="00860F8E" w:rsidRPr="006C0823" w:rsidRDefault="00860F8E" w:rsidP="00EF6063">
            <w:pPr>
              <w:pStyle w:val="TableText"/>
              <w:keepNext w:val="0"/>
            </w:pPr>
            <w:r w:rsidRPr="006C0823">
              <w:t>PASO</w:t>
            </w:r>
          </w:p>
        </w:tc>
        <w:tc>
          <w:tcPr>
            <w:tcW w:w="7292" w:type="dxa"/>
          </w:tcPr>
          <w:p w14:paraId="00DCEFD6" w14:textId="77777777" w:rsidR="00860F8E" w:rsidRPr="006C0823" w:rsidRDefault="00860F8E" w:rsidP="00EF6063">
            <w:pPr>
              <w:pStyle w:val="TableText"/>
              <w:keepNext w:val="0"/>
            </w:pPr>
            <w:r w:rsidRPr="006C0823">
              <w:t>Pacific Aviation Safety Office</w:t>
            </w:r>
          </w:p>
        </w:tc>
      </w:tr>
      <w:tr w:rsidR="00860F8E" w:rsidRPr="006C0823" w14:paraId="70EBD79D" w14:textId="77777777" w:rsidTr="001E0994">
        <w:tc>
          <w:tcPr>
            <w:tcW w:w="1951" w:type="dxa"/>
          </w:tcPr>
          <w:p w14:paraId="3BC35F88" w14:textId="77777777" w:rsidR="00860F8E" w:rsidRPr="006C0823" w:rsidDel="00927C81" w:rsidRDefault="00860F8E" w:rsidP="00EF6063">
            <w:pPr>
              <w:pStyle w:val="TableText"/>
              <w:keepNext w:val="0"/>
            </w:pPr>
            <w:r w:rsidRPr="006C0823">
              <w:t>PGPA Act</w:t>
            </w:r>
          </w:p>
        </w:tc>
        <w:tc>
          <w:tcPr>
            <w:tcW w:w="7292" w:type="dxa"/>
          </w:tcPr>
          <w:p w14:paraId="5134C80F" w14:textId="77777777" w:rsidR="00860F8E" w:rsidRPr="006C0823" w:rsidDel="00927C81" w:rsidRDefault="00860F8E" w:rsidP="00EF6063">
            <w:pPr>
              <w:pStyle w:val="TableText"/>
              <w:keepNext w:val="0"/>
            </w:pPr>
            <w:r w:rsidRPr="006C0823">
              <w:rPr>
                <w:i/>
              </w:rPr>
              <w:t>Public Governance, Performance and Accountability Act 2013</w:t>
            </w:r>
            <w:r w:rsidRPr="006C0823">
              <w:t xml:space="preserve"> </w:t>
            </w:r>
          </w:p>
        </w:tc>
      </w:tr>
      <w:tr w:rsidR="00860F8E" w:rsidRPr="006C0823" w14:paraId="589D2E78" w14:textId="77777777" w:rsidTr="001E0994">
        <w:tc>
          <w:tcPr>
            <w:tcW w:w="1951" w:type="dxa"/>
          </w:tcPr>
          <w:p w14:paraId="22BB9F05" w14:textId="77777777" w:rsidR="00860F8E" w:rsidRPr="006C0823" w:rsidRDefault="00860F8E" w:rsidP="00EF6063">
            <w:pPr>
              <w:pStyle w:val="TableText"/>
              <w:keepNext w:val="0"/>
            </w:pPr>
            <w:r w:rsidRPr="006C0823">
              <w:t>PNG</w:t>
            </w:r>
          </w:p>
        </w:tc>
        <w:tc>
          <w:tcPr>
            <w:tcW w:w="7292" w:type="dxa"/>
          </w:tcPr>
          <w:p w14:paraId="12D03565" w14:textId="77777777" w:rsidR="00860F8E" w:rsidRPr="006C0823" w:rsidRDefault="00860F8E" w:rsidP="00EF6063">
            <w:pPr>
              <w:pStyle w:val="TableText"/>
              <w:keepNext w:val="0"/>
            </w:pPr>
            <w:r w:rsidRPr="006C0823">
              <w:t>Papua New Guinea</w:t>
            </w:r>
          </w:p>
        </w:tc>
      </w:tr>
      <w:tr w:rsidR="00860F8E" w:rsidRPr="006C0823" w14:paraId="697EB680" w14:textId="77777777" w:rsidTr="001E0994">
        <w:tc>
          <w:tcPr>
            <w:tcW w:w="1951" w:type="dxa"/>
          </w:tcPr>
          <w:p w14:paraId="210C9613" w14:textId="77777777" w:rsidR="00860F8E" w:rsidRPr="006C0823" w:rsidRDefault="00860F8E" w:rsidP="00EF6063">
            <w:pPr>
              <w:pStyle w:val="TableText"/>
              <w:keepNext w:val="0"/>
            </w:pPr>
            <w:r>
              <w:t>RAAA</w:t>
            </w:r>
          </w:p>
        </w:tc>
        <w:tc>
          <w:tcPr>
            <w:tcW w:w="7292" w:type="dxa"/>
          </w:tcPr>
          <w:p w14:paraId="7AE620A1" w14:textId="77777777" w:rsidR="00860F8E" w:rsidRPr="006C0823" w:rsidRDefault="00860F8E" w:rsidP="00EF6063">
            <w:pPr>
              <w:pStyle w:val="TableText"/>
              <w:keepNext w:val="0"/>
            </w:pPr>
            <w:r w:rsidRPr="006C0823">
              <w:rPr>
                <w:lang w:eastAsia="en-AU"/>
              </w:rPr>
              <w:t xml:space="preserve">Regional Aviation Association of Australia </w:t>
            </w:r>
          </w:p>
        </w:tc>
      </w:tr>
      <w:tr w:rsidR="00860F8E" w:rsidRPr="006C0823" w14:paraId="37D0155F" w14:textId="77777777" w:rsidTr="001E0994">
        <w:tc>
          <w:tcPr>
            <w:tcW w:w="1951" w:type="dxa"/>
          </w:tcPr>
          <w:p w14:paraId="3D2C29A3" w14:textId="77777777" w:rsidR="00860F8E" w:rsidRPr="006C0823" w:rsidRDefault="00860F8E" w:rsidP="00EF6063">
            <w:pPr>
              <w:pStyle w:val="TableText"/>
              <w:keepNext w:val="0"/>
            </w:pPr>
            <w:r w:rsidRPr="006C0823">
              <w:t>RAAOs</w:t>
            </w:r>
          </w:p>
        </w:tc>
        <w:tc>
          <w:tcPr>
            <w:tcW w:w="7292" w:type="dxa"/>
          </w:tcPr>
          <w:p w14:paraId="62462396" w14:textId="77777777" w:rsidR="00860F8E" w:rsidRPr="006C0823" w:rsidRDefault="00860F8E" w:rsidP="00EF6063">
            <w:pPr>
              <w:pStyle w:val="TableText"/>
              <w:keepNext w:val="0"/>
            </w:pPr>
            <w:r w:rsidRPr="006C0823">
              <w:t>recreational aviation administration organisations</w:t>
            </w:r>
          </w:p>
        </w:tc>
      </w:tr>
      <w:tr w:rsidR="00860F8E" w:rsidRPr="006C0823" w14:paraId="0318D76F" w14:textId="77777777" w:rsidTr="001E0994">
        <w:tc>
          <w:tcPr>
            <w:tcW w:w="1951" w:type="dxa"/>
          </w:tcPr>
          <w:p w14:paraId="44D0BC39" w14:textId="77777777" w:rsidR="00860F8E" w:rsidRPr="006C0823" w:rsidDel="00927C81" w:rsidRDefault="00860F8E" w:rsidP="00EF6063">
            <w:pPr>
              <w:pStyle w:val="TableText"/>
              <w:keepNext w:val="0"/>
            </w:pPr>
            <w:r w:rsidRPr="006C0823">
              <w:rPr>
                <w:rFonts w:cs="Arial"/>
                <w:szCs w:val="24"/>
              </w:rPr>
              <w:t>RASG–APAC</w:t>
            </w:r>
          </w:p>
        </w:tc>
        <w:tc>
          <w:tcPr>
            <w:tcW w:w="7292" w:type="dxa"/>
          </w:tcPr>
          <w:p w14:paraId="16D1A0F7" w14:textId="77777777" w:rsidR="00860F8E" w:rsidRPr="006C0823" w:rsidDel="00927C81" w:rsidRDefault="00860F8E" w:rsidP="00EF6063">
            <w:pPr>
              <w:pStyle w:val="TableText"/>
              <w:keepNext w:val="0"/>
            </w:pPr>
            <w:r w:rsidRPr="006C0823">
              <w:rPr>
                <w:rFonts w:cs="Arial"/>
                <w:szCs w:val="24"/>
              </w:rPr>
              <w:t>Regional Aviation Safety Group – Asia and Pacific Regions</w:t>
            </w:r>
          </w:p>
        </w:tc>
      </w:tr>
      <w:tr w:rsidR="00860F8E" w:rsidRPr="006C0823" w14:paraId="345EDF53" w14:textId="77777777" w:rsidTr="001E0994">
        <w:tc>
          <w:tcPr>
            <w:tcW w:w="1951" w:type="dxa"/>
          </w:tcPr>
          <w:p w14:paraId="6B0D7D89" w14:textId="77777777" w:rsidR="00860F8E" w:rsidRPr="006C0823" w:rsidDel="00927C81" w:rsidRDefault="00860F8E" w:rsidP="00EF6063">
            <w:pPr>
              <w:pStyle w:val="TableText"/>
              <w:keepNext w:val="0"/>
            </w:pPr>
            <w:r w:rsidRPr="006C0823">
              <w:t>RPAS</w:t>
            </w:r>
          </w:p>
        </w:tc>
        <w:tc>
          <w:tcPr>
            <w:tcW w:w="7292" w:type="dxa"/>
          </w:tcPr>
          <w:p w14:paraId="7F95E428" w14:textId="77777777" w:rsidR="00860F8E" w:rsidRPr="006C0823" w:rsidDel="00927C81" w:rsidRDefault="00860F8E" w:rsidP="00EF6063">
            <w:pPr>
              <w:pStyle w:val="TableText"/>
              <w:keepNext w:val="0"/>
            </w:pPr>
            <w:r w:rsidRPr="006C0823">
              <w:t>remotely piloted aircraft systems</w:t>
            </w:r>
          </w:p>
        </w:tc>
      </w:tr>
      <w:tr w:rsidR="00860F8E" w:rsidRPr="006C0823" w14:paraId="09F9453B" w14:textId="77777777" w:rsidTr="001E0994">
        <w:tc>
          <w:tcPr>
            <w:tcW w:w="1951" w:type="dxa"/>
          </w:tcPr>
          <w:p w14:paraId="36AA3251" w14:textId="77777777" w:rsidR="00860F8E" w:rsidRPr="006C0823" w:rsidRDefault="00860F8E" w:rsidP="00EF6063">
            <w:pPr>
              <w:pStyle w:val="TableText"/>
              <w:keepNext w:val="0"/>
            </w:pPr>
            <w:r w:rsidRPr="006C0823">
              <w:t>SARPs</w:t>
            </w:r>
          </w:p>
        </w:tc>
        <w:tc>
          <w:tcPr>
            <w:tcW w:w="7292" w:type="dxa"/>
          </w:tcPr>
          <w:p w14:paraId="3A592BFC" w14:textId="77777777" w:rsidR="00860F8E" w:rsidRPr="006C0823" w:rsidRDefault="00860F8E" w:rsidP="00EF6063">
            <w:pPr>
              <w:pStyle w:val="TableText"/>
              <w:keepNext w:val="0"/>
            </w:pPr>
            <w:r w:rsidRPr="006C0823">
              <w:t>standards and recommended practices (ICAO)</w:t>
            </w:r>
          </w:p>
        </w:tc>
      </w:tr>
      <w:tr w:rsidR="00860F8E" w:rsidRPr="006C0823" w14:paraId="2DFEB976" w14:textId="77777777" w:rsidTr="001E0994">
        <w:tc>
          <w:tcPr>
            <w:tcW w:w="1951" w:type="dxa"/>
          </w:tcPr>
          <w:p w14:paraId="3AE1A460" w14:textId="77777777" w:rsidR="00860F8E" w:rsidRPr="006C0823" w:rsidDel="00927C81" w:rsidRDefault="00860F8E" w:rsidP="00EF6063">
            <w:pPr>
              <w:pStyle w:val="TableText"/>
              <w:keepNext w:val="0"/>
            </w:pPr>
            <w:r w:rsidRPr="006C0823">
              <w:t>SOE</w:t>
            </w:r>
          </w:p>
        </w:tc>
        <w:tc>
          <w:tcPr>
            <w:tcW w:w="7292" w:type="dxa"/>
          </w:tcPr>
          <w:p w14:paraId="7D6BDCB3" w14:textId="77777777" w:rsidR="00860F8E" w:rsidRPr="006C0823" w:rsidDel="00927C81" w:rsidRDefault="00860F8E" w:rsidP="00EF6063">
            <w:pPr>
              <w:pStyle w:val="TableText"/>
              <w:keepNext w:val="0"/>
            </w:pPr>
            <w:r w:rsidRPr="006C0823">
              <w:t>Statement of Expectations</w:t>
            </w:r>
          </w:p>
        </w:tc>
      </w:tr>
      <w:tr w:rsidR="00860F8E" w:rsidRPr="006C0823" w14:paraId="01C6C3ED" w14:textId="77777777" w:rsidTr="001E0994">
        <w:tc>
          <w:tcPr>
            <w:tcW w:w="1951" w:type="dxa"/>
          </w:tcPr>
          <w:p w14:paraId="201DB637" w14:textId="77777777" w:rsidR="00860F8E" w:rsidRDefault="00860F8E" w:rsidP="00EF6063">
            <w:pPr>
              <w:pStyle w:val="TableText"/>
              <w:keepNext w:val="0"/>
            </w:pPr>
            <w:r>
              <w:t>TWG</w:t>
            </w:r>
          </w:p>
        </w:tc>
        <w:tc>
          <w:tcPr>
            <w:tcW w:w="7292" w:type="dxa"/>
          </w:tcPr>
          <w:p w14:paraId="2EE4275C" w14:textId="77777777" w:rsidR="00860F8E" w:rsidRDefault="00860F8E" w:rsidP="00EF6063">
            <w:pPr>
              <w:pStyle w:val="TableText"/>
              <w:keepNext w:val="0"/>
            </w:pPr>
            <w:r>
              <w:rPr>
                <w:rFonts w:eastAsia="Times New Roman"/>
                <w:lang w:val="en" w:eastAsia="en-AU"/>
              </w:rPr>
              <w:t>t</w:t>
            </w:r>
            <w:r w:rsidRPr="000E1B7E">
              <w:rPr>
                <w:rFonts w:eastAsia="Times New Roman"/>
                <w:lang w:val="en" w:eastAsia="en-AU"/>
              </w:rPr>
              <w:t xml:space="preserve">echnical </w:t>
            </w:r>
            <w:r>
              <w:rPr>
                <w:rFonts w:eastAsia="Times New Roman"/>
                <w:lang w:val="en" w:eastAsia="en-AU"/>
              </w:rPr>
              <w:t>w</w:t>
            </w:r>
            <w:r w:rsidRPr="000E1B7E">
              <w:rPr>
                <w:rFonts w:eastAsia="Times New Roman"/>
                <w:lang w:val="en" w:eastAsia="en-AU"/>
              </w:rPr>
              <w:t xml:space="preserve">orking </w:t>
            </w:r>
            <w:r>
              <w:rPr>
                <w:rFonts w:eastAsia="Times New Roman"/>
                <w:lang w:val="en" w:eastAsia="en-AU"/>
              </w:rPr>
              <w:t>g</w:t>
            </w:r>
            <w:r w:rsidRPr="000E1B7E">
              <w:rPr>
                <w:rFonts w:eastAsia="Times New Roman"/>
                <w:lang w:val="en" w:eastAsia="en-AU"/>
              </w:rPr>
              <w:t>roup</w:t>
            </w:r>
          </w:p>
        </w:tc>
      </w:tr>
      <w:tr w:rsidR="00860F8E" w:rsidRPr="006C0823" w14:paraId="0E4975EF" w14:textId="77777777" w:rsidTr="001E0994">
        <w:tc>
          <w:tcPr>
            <w:tcW w:w="1951" w:type="dxa"/>
          </w:tcPr>
          <w:p w14:paraId="415703DC" w14:textId="77777777" w:rsidR="00860F8E" w:rsidRPr="006C0823" w:rsidDel="00927C81" w:rsidRDefault="00860F8E" w:rsidP="00EF6063">
            <w:pPr>
              <w:pStyle w:val="TableText"/>
              <w:keepNext w:val="0"/>
            </w:pPr>
            <w:r w:rsidRPr="006C0823">
              <w:t>WHS</w:t>
            </w:r>
          </w:p>
        </w:tc>
        <w:tc>
          <w:tcPr>
            <w:tcW w:w="7292" w:type="dxa"/>
          </w:tcPr>
          <w:p w14:paraId="423BE192" w14:textId="77777777" w:rsidR="00860F8E" w:rsidRPr="006C0823" w:rsidDel="00927C81" w:rsidRDefault="00860F8E" w:rsidP="00EF6063">
            <w:pPr>
              <w:pStyle w:val="TableText"/>
              <w:keepNext w:val="0"/>
            </w:pPr>
            <w:r w:rsidRPr="006C0823">
              <w:t>work health and safety</w:t>
            </w:r>
          </w:p>
        </w:tc>
      </w:tr>
    </w:tbl>
    <w:p w14:paraId="333E07C6" w14:textId="77777777" w:rsidR="00860F8E" w:rsidRPr="006C0823" w:rsidRDefault="00860F8E" w:rsidP="00860F8E">
      <w:pPr>
        <w:sectPr w:rsidR="00860F8E" w:rsidRPr="006C0823" w:rsidSect="001F77E0">
          <w:type w:val="oddPage"/>
          <w:pgSz w:w="11907" w:h="16840" w:code="9"/>
          <w:pgMar w:top="1440" w:right="1440" w:bottom="1440" w:left="1440" w:header="709" w:footer="709" w:gutter="0"/>
          <w:cols w:space="708"/>
          <w:docGrid w:linePitch="360"/>
        </w:sectPr>
      </w:pPr>
    </w:p>
    <w:p w14:paraId="6DBD0860" w14:textId="77777777" w:rsidR="00860F8E" w:rsidRPr="006C0823" w:rsidRDefault="00860F8E" w:rsidP="00860F8E">
      <w:pPr>
        <w:pStyle w:val="Heading1"/>
        <w:rPr>
          <w:lang w:val="en-GB"/>
        </w:rPr>
      </w:pPr>
      <w:bookmarkStart w:id="183" w:name="_Toc268006428"/>
      <w:bookmarkStart w:id="184" w:name="_Toc522537180"/>
      <w:bookmarkStart w:id="185" w:name="_Toc523924904"/>
      <w:r w:rsidRPr="006C0823">
        <w:rPr>
          <w:lang w:val="en-GB"/>
        </w:rPr>
        <w:lastRenderedPageBreak/>
        <w:t>Compliance index</w:t>
      </w:r>
      <w:bookmarkEnd w:id="183"/>
      <w:r w:rsidRPr="006C0823">
        <w:rPr>
          <w:lang w:val="en-GB"/>
        </w:rPr>
        <w:t xml:space="preserve"> </w:t>
      </w:r>
      <w:bookmarkEnd w:id="184"/>
      <w:bookmarkEnd w:id="1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2766"/>
        <w:gridCol w:w="1584"/>
      </w:tblGrid>
      <w:tr w:rsidR="00860F8E" w:rsidRPr="006C0823" w14:paraId="31D4D4F2" w14:textId="77777777" w:rsidTr="005D646B">
        <w:tc>
          <w:tcPr>
            <w:tcW w:w="9243" w:type="dxa"/>
            <w:gridSpan w:val="3"/>
            <w:shd w:val="clear" w:color="auto" w:fill="F2F2F2"/>
          </w:tcPr>
          <w:p w14:paraId="07F735BA" w14:textId="77777777" w:rsidR="00860F8E" w:rsidRPr="006C0823" w:rsidRDefault="00860F8E" w:rsidP="00EF6063">
            <w:pPr>
              <w:pStyle w:val="TableHead"/>
            </w:pPr>
            <w:r w:rsidRPr="006C0823">
              <w:t>Public Governance, Performance and Accountability Rule 2014</w:t>
            </w:r>
          </w:p>
        </w:tc>
      </w:tr>
      <w:tr w:rsidR="00860F8E" w:rsidRPr="006C0823" w14:paraId="677058EC" w14:textId="77777777" w:rsidTr="005D646B">
        <w:tc>
          <w:tcPr>
            <w:tcW w:w="4787" w:type="dxa"/>
            <w:shd w:val="clear" w:color="auto" w:fill="auto"/>
          </w:tcPr>
          <w:p w14:paraId="4CFA207B" w14:textId="77777777" w:rsidR="00860F8E" w:rsidRPr="006C0823" w:rsidRDefault="00860F8E" w:rsidP="00EF6063">
            <w:pPr>
              <w:pStyle w:val="TableText1"/>
              <w:rPr>
                <w:lang w:eastAsia="en-AU"/>
              </w:rPr>
            </w:pPr>
            <w:r w:rsidRPr="006C0823">
              <w:rPr>
                <w:lang w:eastAsia="en-AU"/>
              </w:rPr>
              <w:t xml:space="preserve">Approval of the report by directors </w:t>
            </w:r>
          </w:p>
        </w:tc>
        <w:tc>
          <w:tcPr>
            <w:tcW w:w="2835" w:type="dxa"/>
            <w:shd w:val="clear" w:color="auto" w:fill="auto"/>
          </w:tcPr>
          <w:p w14:paraId="32BCDCFC" w14:textId="77777777" w:rsidR="00860F8E" w:rsidRPr="006C0823" w:rsidRDefault="00860F8E" w:rsidP="00EF6063">
            <w:pPr>
              <w:pStyle w:val="TableText1"/>
            </w:pPr>
            <w:r w:rsidRPr="006C0823">
              <w:t>Section17BB</w:t>
            </w:r>
          </w:p>
        </w:tc>
        <w:tc>
          <w:tcPr>
            <w:tcW w:w="1621" w:type="dxa"/>
            <w:shd w:val="clear" w:color="auto" w:fill="auto"/>
          </w:tcPr>
          <w:p w14:paraId="12768245" w14:textId="77777777" w:rsidR="00860F8E" w:rsidRPr="006C0823" w:rsidRDefault="00860F8E" w:rsidP="00EF6063">
            <w:pPr>
              <w:pStyle w:val="TableText1"/>
            </w:pPr>
            <w:r w:rsidRPr="006C0823">
              <w:t>Letter of transmittal</w:t>
            </w:r>
          </w:p>
        </w:tc>
      </w:tr>
      <w:tr w:rsidR="00860F8E" w:rsidRPr="006C0823" w14:paraId="2855058C" w14:textId="77777777" w:rsidTr="005D646B">
        <w:tc>
          <w:tcPr>
            <w:tcW w:w="4787" w:type="dxa"/>
            <w:shd w:val="clear" w:color="auto" w:fill="auto"/>
            <w:hideMark/>
          </w:tcPr>
          <w:p w14:paraId="5C1036FD" w14:textId="77777777" w:rsidR="00860F8E" w:rsidRPr="006C0823" w:rsidRDefault="00860F8E" w:rsidP="00EF6063">
            <w:pPr>
              <w:pStyle w:val="TableText1"/>
              <w:rPr>
                <w:lang w:eastAsia="en-AU"/>
              </w:rPr>
            </w:pPr>
            <w:r w:rsidRPr="006C0823">
              <w:rPr>
                <w:lang w:eastAsia="en-AU"/>
              </w:rPr>
              <w:t xml:space="preserve">Parliamentary standards of presentation </w:t>
            </w:r>
          </w:p>
        </w:tc>
        <w:tc>
          <w:tcPr>
            <w:tcW w:w="2835" w:type="dxa"/>
            <w:shd w:val="clear" w:color="auto" w:fill="auto"/>
          </w:tcPr>
          <w:p w14:paraId="751A7F45" w14:textId="77777777" w:rsidR="00860F8E" w:rsidRPr="006C0823" w:rsidRDefault="00860F8E" w:rsidP="00EF6063">
            <w:pPr>
              <w:pStyle w:val="TableText1"/>
            </w:pPr>
            <w:r w:rsidRPr="006C0823">
              <w:t>Section 17BC</w:t>
            </w:r>
          </w:p>
        </w:tc>
        <w:tc>
          <w:tcPr>
            <w:tcW w:w="1621" w:type="dxa"/>
            <w:shd w:val="clear" w:color="auto" w:fill="auto"/>
          </w:tcPr>
          <w:p w14:paraId="14916178" w14:textId="77777777" w:rsidR="00860F8E" w:rsidRPr="006C0823" w:rsidRDefault="00860F8E" w:rsidP="00EF6063">
            <w:pPr>
              <w:pStyle w:val="TableText1"/>
            </w:pPr>
            <w:r w:rsidRPr="006C0823">
              <w:t>Throughout</w:t>
            </w:r>
          </w:p>
        </w:tc>
      </w:tr>
      <w:tr w:rsidR="00860F8E" w:rsidRPr="006C0823" w14:paraId="418250DA" w14:textId="77777777" w:rsidTr="005D646B">
        <w:tc>
          <w:tcPr>
            <w:tcW w:w="4787" w:type="dxa"/>
            <w:shd w:val="clear" w:color="auto" w:fill="auto"/>
            <w:hideMark/>
          </w:tcPr>
          <w:p w14:paraId="60C2943D" w14:textId="77777777" w:rsidR="00860F8E" w:rsidRPr="006C0823" w:rsidRDefault="00860F8E" w:rsidP="00EF6063">
            <w:pPr>
              <w:pStyle w:val="TableText1"/>
              <w:rPr>
                <w:lang w:eastAsia="en-AU"/>
              </w:rPr>
            </w:pPr>
            <w:r w:rsidRPr="006C0823">
              <w:rPr>
                <w:lang w:eastAsia="en-AU"/>
              </w:rPr>
              <w:t xml:space="preserve">Plain English and clear design </w:t>
            </w:r>
          </w:p>
        </w:tc>
        <w:tc>
          <w:tcPr>
            <w:tcW w:w="2835" w:type="dxa"/>
            <w:shd w:val="clear" w:color="auto" w:fill="auto"/>
          </w:tcPr>
          <w:p w14:paraId="23BDD3D6" w14:textId="77777777" w:rsidR="00860F8E" w:rsidRPr="006C0823" w:rsidRDefault="00860F8E" w:rsidP="00EF6063">
            <w:pPr>
              <w:pStyle w:val="TableText1"/>
            </w:pPr>
            <w:r w:rsidRPr="006C0823">
              <w:t>Section 17BD</w:t>
            </w:r>
          </w:p>
        </w:tc>
        <w:tc>
          <w:tcPr>
            <w:tcW w:w="1621" w:type="dxa"/>
            <w:shd w:val="clear" w:color="auto" w:fill="auto"/>
          </w:tcPr>
          <w:p w14:paraId="44746CE4" w14:textId="77777777" w:rsidR="00860F8E" w:rsidRPr="006C0823" w:rsidRDefault="00860F8E" w:rsidP="00EF6063">
            <w:pPr>
              <w:pStyle w:val="TableText1"/>
            </w:pPr>
            <w:r w:rsidRPr="006C0823">
              <w:t>Throughout</w:t>
            </w:r>
          </w:p>
        </w:tc>
      </w:tr>
      <w:tr w:rsidR="00860F8E" w:rsidRPr="006C0823" w14:paraId="0E459F02" w14:textId="77777777" w:rsidTr="005D646B">
        <w:tc>
          <w:tcPr>
            <w:tcW w:w="4787" w:type="dxa"/>
            <w:shd w:val="clear" w:color="auto" w:fill="auto"/>
          </w:tcPr>
          <w:p w14:paraId="3F6495DC" w14:textId="77777777" w:rsidR="00860F8E" w:rsidRPr="006C0823" w:rsidRDefault="00860F8E" w:rsidP="00EF6063">
            <w:pPr>
              <w:pStyle w:val="TableText1"/>
              <w:rPr>
                <w:lang w:eastAsia="en-AU"/>
              </w:rPr>
            </w:pPr>
            <w:r w:rsidRPr="006C0823">
              <w:rPr>
                <w:lang w:eastAsia="en-AU"/>
              </w:rPr>
              <w:t>Enabling legislation</w:t>
            </w:r>
          </w:p>
        </w:tc>
        <w:tc>
          <w:tcPr>
            <w:tcW w:w="2835" w:type="dxa"/>
            <w:shd w:val="clear" w:color="auto" w:fill="auto"/>
          </w:tcPr>
          <w:p w14:paraId="10D5EA86" w14:textId="77777777" w:rsidR="00860F8E" w:rsidRPr="006C0823" w:rsidRDefault="00860F8E" w:rsidP="00EF6063">
            <w:pPr>
              <w:pStyle w:val="TableText1"/>
            </w:pPr>
            <w:r w:rsidRPr="006C0823">
              <w:t>Paragraph 17BE(a)</w:t>
            </w:r>
          </w:p>
        </w:tc>
        <w:tc>
          <w:tcPr>
            <w:tcW w:w="1621" w:type="dxa"/>
            <w:shd w:val="clear" w:color="auto" w:fill="auto"/>
          </w:tcPr>
          <w:p w14:paraId="7992C2BC" w14:textId="77777777" w:rsidR="00860F8E" w:rsidRPr="006C0823" w:rsidRDefault="003E5664" w:rsidP="00EF6063">
            <w:pPr>
              <w:pStyle w:val="TableText1"/>
            </w:pPr>
            <w:r>
              <w:t>68</w:t>
            </w:r>
          </w:p>
        </w:tc>
      </w:tr>
      <w:tr w:rsidR="00860F8E" w:rsidRPr="006C0823" w14:paraId="49A6EC80" w14:textId="77777777" w:rsidTr="005D646B">
        <w:tc>
          <w:tcPr>
            <w:tcW w:w="4787" w:type="dxa"/>
            <w:shd w:val="clear" w:color="auto" w:fill="auto"/>
          </w:tcPr>
          <w:p w14:paraId="1FF1DB2E" w14:textId="77777777" w:rsidR="00860F8E" w:rsidRPr="006C0823" w:rsidRDefault="00860F8E" w:rsidP="00EF6063">
            <w:pPr>
              <w:pStyle w:val="TableText1"/>
              <w:rPr>
                <w:lang w:eastAsia="en-AU"/>
              </w:rPr>
            </w:pPr>
            <w:r w:rsidRPr="006C0823">
              <w:rPr>
                <w:lang w:eastAsia="en-AU"/>
              </w:rPr>
              <w:t>Legislated objects and functions</w:t>
            </w:r>
          </w:p>
        </w:tc>
        <w:tc>
          <w:tcPr>
            <w:tcW w:w="2835" w:type="dxa"/>
            <w:shd w:val="clear" w:color="auto" w:fill="auto"/>
          </w:tcPr>
          <w:p w14:paraId="1C724A2E" w14:textId="77777777" w:rsidR="00860F8E" w:rsidRPr="006C0823" w:rsidRDefault="00860F8E" w:rsidP="00EF6063">
            <w:pPr>
              <w:pStyle w:val="TableText1"/>
            </w:pPr>
            <w:r w:rsidRPr="006C0823">
              <w:t>Paragraph 17BE(b)(i)</w:t>
            </w:r>
          </w:p>
        </w:tc>
        <w:tc>
          <w:tcPr>
            <w:tcW w:w="1621" w:type="dxa"/>
            <w:shd w:val="clear" w:color="auto" w:fill="auto"/>
          </w:tcPr>
          <w:p w14:paraId="679491B6" w14:textId="77777777" w:rsidR="00860F8E" w:rsidRPr="006C0823" w:rsidRDefault="003E5664" w:rsidP="00EF6063">
            <w:pPr>
              <w:pStyle w:val="TableText1"/>
            </w:pPr>
            <w:r>
              <w:t>68</w:t>
            </w:r>
          </w:p>
        </w:tc>
      </w:tr>
      <w:tr w:rsidR="00860F8E" w:rsidRPr="006C0823" w14:paraId="559A6410" w14:textId="77777777" w:rsidTr="005D646B">
        <w:tc>
          <w:tcPr>
            <w:tcW w:w="4787" w:type="dxa"/>
            <w:shd w:val="clear" w:color="auto" w:fill="auto"/>
          </w:tcPr>
          <w:p w14:paraId="23CBCE3B" w14:textId="77777777" w:rsidR="00860F8E" w:rsidRPr="006C0823" w:rsidRDefault="00860F8E" w:rsidP="00EF6063">
            <w:pPr>
              <w:pStyle w:val="TableText1"/>
              <w:rPr>
                <w:lang w:eastAsia="en-AU"/>
              </w:rPr>
            </w:pPr>
            <w:r w:rsidRPr="006C0823">
              <w:rPr>
                <w:lang w:eastAsia="en-AU"/>
              </w:rPr>
              <w:t>Purpose</w:t>
            </w:r>
          </w:p>
        </w:tc>
        <w:tc>
          <w:tcPr>
            <w:tcW w:w="2835" w:type="dxa"/>
            <w:shd w:val="clear" w:color="auto" w:fill="auto"/>
          </w:tcPr>
          <w:p w14:paraId="5CB37E34" w14:textId="77777777" w:rsidR="00860F8E" w:rsidRPr="006C0823" w:rsidRDefault="00860F8E" w:rsidP="00EF6063">
            <w:pPr>
              <w:pStyle w:val="TableText1"/>
            </w:pPr>
            <w:r w:rsidRPr="006C0823">
              <w:t>Paragraph 17BE(b)(ii)</w:t>
            </w:r>
          </w:p>
        </w:tc>
        <w:tc>
          <w:tcPr>
            <w:tcW w:w="1621" w:type="dxa"/>
            <w:shd w:val="clear" w:color="auto" w:fill="auto"/>
          </w:tcPr>
          <w:p w14:paraId="6CFD89BF" w14:textId="77777777" w:rsidR="00860F8E" w:rsidRPr="006C0823" w:rsidRDefault="003E5664" w:rsidP="00EF6063">
            <w:pPr>
              <w:pStyle w:val="TableText1"/>
            </w:pPr>
            <w:r>
              <w:t>28</w:t>
            </w:r>
          </w:p>
        </w:tc>
      </w:tr>
      <w:tr w:rsidR="00860F8E" w:rsidRPr="006C0823" w14:paraId="79D34B64" w14:textId="77777777" w:rsidTr="005D646B">
        <w:tc>
          <w:tcPr>
            <w:tcW w:w="4787" w:type="dxa"/>
            <w:shd w:val="clear" w:color="auto" w:fill="auto"/>
            <w:hideMark/>
          </w:tcPr>
          <w:p w14:paraId="1EFDA76F" w14:textId="77777777" w:rsidR="00860F8E" w:rsidRPr="006C0823" w:rsidRDefault="00860F8E" w:rsidP="00EF6063">
            <w:pPr>
              <w:pStyle w:val="TableText1"/>
              <w:rPr>
                <w:lang w:eastAsia="en-AU"/>
              </w:rPr>
            </w:pPr>
            <w:r w:rsidRPr="006C0823">
              <w:rPr>
                <w:lang w:eastAsia="en-AU"/>
              </w:rPr>
              <w:t xml:space="preserve">Responsible minister </w:t>
            </w:r>
          </w:p>
        </w:tc>
        <w:tc>
          <w:tcPr>
            <w:tcW w:w="2835" w:type="dxa"/>
            <w:shd w:val="clear" w:color="auto" w:fill="auto"/>
          </w:tcPr>
          <w:p w14:paraId="040D1D34" w14:textId="77777777" w:rsidR="00860F8E" w:rsidRPr="006C0823" w:rsidRDefault="00860F8E" w:rsidP="00EF6063">
            <w:pPr>
              <w:pStyle w:val="TableText1"/>
            </w:pPr>
            <w:r w:rsidRPr="006C0823">
              <w:t>Paragraph 17BE(c)</w:t>
            </w:r>
          </w:p>
        </w:tc>
        <w:tc>
          <w:tcPr>
            <w:tcW w:w="1621" w:type="dxa"/>
            <w:shd w:val="clear" w:color="auto" w:fill="auto"/>
          </w:tcPr>
          <w:p w14:paraId="0625F922" w14:textId="77777777" w:rsidR="00860F8E" w:rsidRPr="006C0823" w:rsidRDefault="003E5664" w:rsidP="00EF6063">
            <w:pPr>
              <w:pStyle w:val="TableText1"/>
            </w:pPr>
            <w:r>
              <w:t>68</w:t>
            </w:r>
          </w:p>
        </w:tc>
      </w:tr>
      <w:tr w:rsidR="00860F8E" w:rsidRPr="006C0823" w14:paraId="0E3E90B3" w14:textId="77777777" w:rsidTr="005D646B">
        <w:tc>
          <w:tcPr>
            <w:tcW w:w="4787" w:type="dxa"/>
            <w:shd w:val="clear" w:color="auto" w:fill="auto"/>
          </w:tcPr>
          <w:p w14:paraId="3A002474" w14:textId="77777777" w:rsidR="00860F8E" w:rsidRPr="006C0823" w:rsidRDefault="00860F8E" w:rsidP="00EF6063">
            <w:pPr>
              <w:pStyle w:val="TableText1"/>
              <w:rPr>
                <w:lang w:eastAsia="en-AU"/>
              </w:rPr>
            </w:pPr>
            <w:r w:rsidRPr="006C0823">
              <w:rPr>
                <w:lang w:eastAsia="en-AU"/>
              </w:rPr>
              <w:t>Ministerial directions</w:t>
            </w:r>
          </w:p>
        </w:tc>
        <w:tc>
          <w:tcPr>
            <w:tcW w:w="2835" w:type="dxa"/>
            <w:shd w:val="clear" w:color="auto" w:fill="auto"/>
          </w:tcPr>
          <w:p w14:paraId="328349FD" w14:textId="77777777" w:rsidR="00860F8E" w:rsidRPr="006C0823" w:rsidRDefault="00860F8E" w:rsidP="00EF6063">
            <w:pPr>
              <w:pStyle w:val="TableText1"/>
            </w:pPr>
            <w:r w:rsidRPr="006C0823">
              <w:t>Paragraph 17BE(d) and (f)</w:t>
            </w:r>
          </w:p>
        </w:tc>
        <w:tc>
          <w:tcPr>
            <w:tcW w:w="1621" w:type="dxa"/>
            <w:shd w:val="clear" w:color="auto" w:fill="auto"/>
          </w:tcPr>
          <w:p w14:paraId="71BA2C33" w14:textId="77777777" w:rsidR="00860F8E" w:rsidRPr="006C0823" w:rsidRDefault="003E5664" w:rsidP="00EF6063">
            <w:pPr>
              <w:pStyle w:val="TableText1"/>
            </w:pPr>
            <w:r>
              <w:t>68–69</w:t>
            </w:r>
          </w:p>
        </w:tc>
      </w:tr>
      <w:tr w:rsidR="00860F8E" w:rsidRPr="006C0823" w14:paraId="69D90B9A" w14:textId="77777777" w:rsidTr="005D646B">
        <w:tc>
          <w:tcPr>
            <w:tcW w:w="4787" w:type="dxa"/>
            <w:shd w:val="clear" w:color="auto" w:fill="auto"/>
            <w:hideMark/>
          </w:tcPr>
          <w:p w14:paraId="1141D35C" w14:textId="77777777" w:rsidR="00860F8E" w:rsidRPr="006C0823" w:rsidRDefault="00860F8E" w:rsidP="00EF6063">
            <w:pPr>
              <w:pStyle w:val="TableText1"/>
              <w:rPr>
                <w:lang w:eastAsia="en-AU"/>
              </w:rPr>
            </w:pPr>
            <w:r w:rsidRPr="006C0823">
              <w:rPr>
                <w:lang w:eastAsia="en-AU"/>
              </w:rPr>
              <w:t>Policy orders</w:t>
            </w:r>
          </w:p>
        </w:tc>
        <w:tc>
          <w:tcPr>
            <w:tcW w:w="2835" w:type="dxa"/>
            <w:shd w:val="clear" w:color="auto" w:fill="auto"/>
          </w:tcPr>
          <w:p w14:paraId="255629F8" w14:textId="77777777" w:rsidR="00860F8E" w:rsidRPr="006C0823" w:rsidRDefault="00860F8E" w:rsidP="00EF6063">
            <w:pPr>
              <w:pStyle w:val="TableText1"/>
            </w:pPr>
            <w:r w:rsidRPr="006C0823">
              <w:t>Paragraphs 17BE(e) and (f)</w:t>
            </w:r>
          </w:p>
        </w:tc>
        <w:tc>
          <w:tcPr>
            <w:tcW w:w="1621" w:type="dxa"/>
            <w:shd w:val="clear" w:color="auto" w:fill="auto"/>
          </w:tcPr>
          <w:p w14:paraId="7594D5C0" w14:textId="77777777" w:rsidR="00860F8E" w:rsidRPr="006C0823" w:rsidRDefault="003E5664" w:rsidP="00EF6063">
            <w:pPr>
              <w:pStyle w:val="TableText1"/>
            </w:pPr>
            <w:r>
              <w:t>69</w:t>
            </w:r>
          </w:p>
        </w:tc>
      </w:tr>
      <w:tr w:rsidR="00860F8E" w:rsidRPr="006C0823" w14:paraId="350ED6A0" w14:textId="77777777" w:rsidTr="005D646B">
        <w:tc>
          <w:tcPr>
            <w:tcW w:w="4787" w:type="dxa"/>
            <w:shd w:val="clear" w:color="auto" w:fill="auto"/>
          </w:tcPr>
          <w:p w14:paraId="469EFFAB" w14:textId="77777777" w:rsidR="00860F8E" w:rsidRPr="006C0823" w:rsidRDefault="00860F8E" w:rsidP="00EF6063">
            <w:pPr>
              <w:pStyle w:val="TableText1"/>
              <w:rPr>
                <w:lang w:eastAsia="en-AU"/>
              </w:rPr>
            </w:pPr>
            <w:r w:rsidRPr="006C0823">
              <w:rPr>
                <w:lang w:eastAsia="en-AU"/>
              </w:rPr>
              <w:t>Annual performance statement</w:t>
            </w:r>
          </w:p>
        </w:tc>
        <w:tc>
          <w:tcPr>
            <w:tcW w:w="2835" w:type="dxa"/>
            <w:shd w:val="clear" w:color="auto" w:fill="auto"/>
          </w:tcPr>
          <w:p w14:paraId="5CC30C1A" w14:textId="77777777" w:rsidR="00860F8E" w:rsidRPr="006C0823" w:rsidRDefault="00860F8E" w:rsidP="00EF6063">
            <w:pPr>
              <w:pStyle w:val="TableText1"/>
            </w:pPr>
            <w:r w:rsidRPr="006C0823">
              <w:t>Paragraph 17BE(g)</w:t>
            </w:r>
          </w:p>
        </w:tc>
        <w:tc>
          <w:tcPr>
            <w:tcW w:w="1621" w:type="dxa"/>
            <w:shd w:val="clear" w:color="auto" w:fill="auto"/>
          </w:tcPr>
          <w:p w14:paraId="41B41823" w14:textId="77777777" w:rsidR="00860F8E" w:rsidRPr="006C0823" w:rsidRDefault="003E5664" w:rsidP="00EF6063">
            <w:pPr>
              <w:pStyle w:val="TableText1"/>
            </w:pPr>
            <w:r>
              <w:t>28–64</w:t>
            </w:r>
          </w:p>
        </w:tc>
      </w:tr>
      <w:tr w:rsidR="00860F8E" w:rsidRPr="006C0823" w14:paraId="28F9D985" w14:textId="77777777" w:rsidTr="005D646B">
        <w:tc>
          <w:tcPr>
            <w:tcW w:w="4787" w:type="dxa"/>
            <w:shd w:val="clear" w:color="auto" w:fill="auto"/>
          </w:tcPr>
          <w:p w14:paraId="154C7EC9" w14:textId="77777777" w:rsidR="00860F8E" w:rsidRPr="006C0823" w:rsidRDefault="00860F8E" w:rsidP="00EF6063">
            <w:pPr>
              <w:pStyle w:val="TableText1"/>
              <w:rPr>
                <w:lang w:eastAsia="en-AU"/>
              </w:rPr>
            </w:pPr>
            <w:r w:rsidRPr="006C0823">
              <w:rPr>
                <w:lang w:eastAsia="en-AU"/>
              </w:rPr>
              <w:t>Significant issues related to financial compliance</w:t>
            </w:r>
          </w:p>
        </w:tc>
        <w:tc>
          <w:tcPr>
            <w:tcW w:w="2835" w:type="dxa"/>
            <w:shd w:val="clear" w:color="auto" w:fill="auto"/>
          </w:tcPr>
          <w:p w14:paraId="32A8A383" w14:textId="77777777" w:rsidR="00860F8E" w:rsidRPr="006C0823" w:rsidRDefault="00860F8E" w:rsidP="00EF6063">
            <w:pPr>
              <w:pStyle w:val="TableText1"/>
            </w:pPr>
            <w:r w:rsidRPr="006C0823">
              <w:t>Paragraph 17BE(h) and (i)</w:t>
            </w:r>
          </w:p>
        </w:tc>
        <w:tc>
          <w:tcPr>
            <w:tcW w:w="1621" w:type="dxa"/>
            <w:shd w:val="clear" w:color="auto" w:fill="auto"/>
          </w:tcPr>
          <w:p w14:paraId="0A959ECD" w14:textId="77777777" w:rsidR="00860F8E" w:rsidRPr="006C0823" w:rsidRDefault="003E5664" w:rsidP="00EF6063">
            <w:pPr>
              <w:pStyle w:val="TableText1"/>
            </w:pPr>
            <w:r>
              <w:t>124</w:t>
            </w:r>
          </w:p>
        </w:tc>
      </w:tr>
      <w:tr w:rsidR="00860F8E" w:rsidRPr="006C0823" w14:paraId="3516735B" w14:textId="77777777" w:rsidTr="005D646B">
        <w:tc>
          <w:tcPr>
            <w:tcW w:w="4787" w:type="dxa"/>
            <w:shd w:val="clear" w:color="auto" w:fill="auto"/>
          </w:tcPr>
          <w:p w14:paraId="141A7BE4" w14:textId="77777777" w:rsidR="00860F8E" w:rsidRPr="006C0823" w:rsidRDefault="00860F8E" w:rsidP="00EF6063">
            <w:pPr>
              <w:pStyle w:val="TableText1"/>
              <w:rPr>
                <w:lang w:eastAsia="en-AU"/>
              </w:rPr>
            </w:pPr>
            <w:r w:rsidRPr="006C0823">
              <w:rPr>
                <w:lang w:eastAsia="en-AU"/>
              </w:rPr>
              <w:t>Details and attendance of board members</w:t>
            </w:r>
          </w:p>
        </w:tc>
        <w:tc>
          <w:tcPr>
            <w:tcW w:w="2835" w:type="dxa"/>
            <w:shd w:val="clear" w:color="auto" w:fill="auto"/>
          </w:tcPr>
          <w:p w14:paraId="570F929F" w14:textId="77777777" w:rsidR="00860F8E" w:rsidRPr="006C0823" w:rsidRDefault="00860F8E" w:rsidP="00EF6063">
            <w:pPr>
              <w:pStyle w:val="TableText1"/>
            </w:pPr>
            <w:r w:rsidRPr="006C0823">
              <w:t>Paragraph 17BE(j)</w:t>
            </w:r>
          </w:p>
        </w:tc>
        <w:tc>
          <w:tcPr>
            <w:tcW w:w="1621" w:type="dxa"/>
            <w:shd w:val="clear" w:color="auto" w:fill="auto"/>
          </w:tcPr>
          <w:p w14:paraId="0B78D1D4" w14:textId="77777777" w:rsidR="00860F8E" w:rsidRPr="006C0823" w:rsidRDefault="003E5664" w:rsidP="00EF6063">
            <w:pPr>
              <w:pStyle w:val="TableText1"/>
            </w:pPr>
            <w:r>
              <w:t>69–72</w:t>
            </w:r>
          </w:p>
        </w:tc>
      </w:tr>
      <w:tr w:rsidR="00860F8E" w:rsidRPr="006C0823" w14:paraId="036E7FE8" w14:textId="77777777" w:rsidTr="005D646B">
        <w:trPr>
          <w:trHeight w:val="375"/>
        </w:trPr>
        <w:tc>
          <w:tcPr>
            <w:tcW w:w="4787" w:type="dxa"/>
            <w:shd w:val="clear" w:color="auto" w:fill="auto"/>
            <w:hideMark/>
          </w:tcPr>
          <w:p w14:paraId="39542C85" w14:textId="77777777" w:rsidR="00860F8E" w:rsidRPr="006C0823" w:rsidRDefault="00860F8E" w:rsidP="00EF6063">
            <w:pPr>
              <w:pStyle w:val="TableText1"/>
              <w:rPr>
                <w:lang w:eastAsia="en-AU"/>
              </w:rPr>
            </w:pPr>
            <w:r w:rsidRPr="006C0823">
              <w:rPr>
                <w:lang w:eastAsia="en-AU"/>
              </w:rPr>
              <w:t>Organisational structure</w:t>
            </w:r>
          </w:p>
        </w:tc>
        <w:tc>
          <w:tcPr>
            <w:tcW w:w="2835" w:type="dxa"/>
            <w:shd w:val="clear" w:color="auto" w:fill="auto"/>
          </w:tcPr>
          <w:p w14:paraId="6D3CC893" w14:textId="77777777" w:rsidR="00860F8E" w:rsidRPr="006C0823" w:rsidRDefault="00860F8E" w:rsidP="00EF6063">
            <w:pPr>
              <w:pStyle w:val="TableText1"/>
            </w:pPr>
            <w:r w:rsidRPr="006C0823">
              <w:t>Paragraph 17BE(k)</w:t>
            </w:r>
          </w:p>
        </w:tc>
        <w:tc>
          <w:tcPr>
            <w:tcW w:w="1621" w:type="dxa"/>
            <w:shd w:val="clear" w:color="auto" w:fill="auto"/>
          </w:tcPr>
          <w:p w14:paraId="4FE79C92" w14:textId="77777777" w:rsidR="00860F8E" w:rsidRPr="006C0823" w:rsidRDefault="003E5664" w:rsidP="00EF6063">
            <w:pPr>
              <w:pStyle w:val="TableText1"/>
            </w:pPr>
            <w:r>
              <w:t>74–75</w:t>
            </w:r>
          </w:p>
        </w:tc>
      </w:tr>
      <w:tr w:rsidR="00860F8E" w:rsidRPr="006C0823" w14:paraId="6353D0A2" w14:textId="77777777" w:rsidTr="005D646B">
        <w:tc>
          <w:tcPr>
            <w:tcW w:w="4787" w:type="dxa"/>
            <w:shd w:val="clear" w:color="auto" w:fill="auto"/>
          </w:tcPr>
          <w:p w14:paraId="412DAC37" w14:textId="77777777" w:rsidR="00860F8E" w:rsidRPr="006C0823" w:rsidRDefault="00860F8E" w:rsidP="00EF6063">
            <w:pPr>
              <w:pStyle w:val="TableText1"/>
              <w:rPr>
                <w:lang w:eastAsia="en-AU"/>
              </w:rPr>
            </w:pPr>
            <w:r w:rsidRPr="006C0823">
              <w:rPr>
                <w:lang w:eastAsia="en-AU"/>
              </w:rPr>
              <w:t>Location</w:t>
            </w:r>
          </w:p>
        </w:tc>
        <w:tc>
          <w:tcPr>
            <w:tcW w:w="2835" w:type="dxa"/>
            <w:shd w:val="clear" w:color="auto" w:fill="auto"/>
          </w:tcPr>
          <w:p w14:paraId="10349805" w14:textId="77777777" w:rsidR="00860F8E" w:rsidRPr="006C0823" w:rsidRDefault="00860F8E" w:rsidP="00EF6063">
            <w:pPr>
              <w:pStyle w:val="TableText1"/>
            </w:pPr>
            <w:r w:rsidRPr="006C0823">
              <w:t>Paragraph 17BE(l)</w:t>
            </w:r>
          </w:p>
        </w:tc>
        <w:tc>
          <w:tcPr>
            <w:tcW w:w="1621" w:type="dxa"/>
            <w:shd w:val="clear" w:color="auto" w:fill="auto"/>
          </w:tcPr>
          <w:p w14:paraId="4CB8A9B8" w14:textId="77777777" w:rsidR="00860F8E" w:rsidRPr="006C0823" w:rsidRDefault="00DC764F" w:rsidP="00EF6063">
            <w:pPr>
              <w:pStyle w:val="TableText1"/>
            </w:pPr>
            <w:r>
              <w:t>Inside back cover</w:t>
            </w:r>
          </w:p>
        </w:tc>
      </w:tr>
      <w:tr w:rsidR="00860F8E" w:rsidRPr="006C0823" w14:paraId="09B42068" w14:textId="77777777" w:rsidTr="005D646B">
        <w:tc>
          <w:tcPr>
            <w:tcW w:w="4787" w:type="dxa"/>
            <w:shd w:val="clear" w:color="auto" w:fill="auto"/>
          </w:tcPr>
          <w:p w14:paraId="2177BA0F" w14:textId="77777777" w:rsidR="00860F8E" w:rsidRPr="006C0823" w:rsidRDefault="00860F8E" w:rsidP="00EF6063">
            <w:pPr>
              <w:pStyle w:val="TableText1"/>
              <w:rPr>
                <w:lang w:eastAsia="en-AU"/>
              </w:rPr>
            </w:pPr>
            <w:r w:rsidRPr="006C0823">
              <w:rPr>
                <w:lang w:eastAsia="en-AU"/>
              </w:rPr>
              <w:t>Governance</w:t>
            </w:r>
          </w:p>
        </w:tc>
        <w:tc>
          <w:tcPr>
            <w:tcW w:w="2835" w:type="dxa"/>
            <w:shd w:val="clear" w:color="auto" w:fill="auto"/>
          </w:tcPr>
          <w:p w14:paraId="092997D0" w14:textId="77777777" w:rsidR="00860F8E" w:rsidRPr="006C0823" w:rsidRDefault="00860F8E" w:rsidP="00EF6063">
            <w:pPr>
              <w:pStyle w:val="TableText1"/>
            </w:pPr>
            <w:r w:rsidRPr="006C0823">
              <w:t>Paragraph 17BE(m)</w:t>
            </w:r>
          </w:p>
        </w:tc>
        <w:tc>
          <w:tcPr>
            <w:tcW w:w="1621" w:type="dxa"/>
            <w:shd w:val="clear" w:color="auto" w:fill="auto"/>
          </w:tcPr>
          <w:p w14:paraId="1BB1A92F" w14:textId="77777777" w:rsidR="00860F8E" w:rsidRPr="006C0823" w:rsidRDefault="003E5664" w:rsidP="00EF6063">
            <w:pPr>
              <w:pStyle w:val="TableText1"/>
            </w:pPr>
            <w:r>
              <w:t>68–87</w:t>
            </w:r>
          </w:p>
        </w:tc>
      </w:tr>
      <w:tr w:rsidR="00860F8E" w:rsidRPr="006C0823" w14:paraId="606FBA50" w14:textId="77777777" w:rsidTr="005D646B">
        <w:tc>
          <w:tcPr>
            <w:tcW w:w="4787" w:type="dxa"/>
            <w:shd w:val="clear" w:color="auto" w:fill="auto"/>
            <w:hideMark/>
          </w:tcPr>
          <w:p w14:paraId="5E4BEF53" w14:textId="77777777" w:rsidR="00860F8E" w:rsidRPr="006C0823" w:rsidRDefault="00860F8E" w:rsidP="00EF6063">
            <w:pPr>
              <w:pStyle w:val="TableText1"/>
              <w:rPr>
                <w:lang w:eastAsia="en-AU"/>
              </w:rPr>
            </w:pPr>
            <w:r w:rsidRPr="006C0823">
              <w:rPr>
                <w:lang w:eastAsia="en-AU"/>
              </w:rPr>
              <w:t xml:space="preserve">Related entity transactions </w:t>
            </w:r>
          </w:p>
        </w:tc>
        <w:tc>
          <w:tcPr>
            <w:tcW w:w="2835" w:type="dxa"/>
            <w:shd w:val="clear" w:color="auto" w:fill="auto"/>
          </w:tcPr>
          <w:p w14:paraId="2229302D" w14:textId="77777777" w:rsidR="00860F8E" w:rsidRPr="006C0823" w:rsidRDefault="00860F8E" w:rsidP="00EF6063">
            <w:pPr>
              <w:pStyle w:val="TableText1"/>
            </w:pPr>
            <w:r w:rsidRPr="006C0823">
              <w:t>Paragraphs 17BE(n) and (o)</w:t>
            </w:r>
          </w:p>
        </w:tc>
        <w:tc>
          <w:tcPr>
            <w:tcW w:w="1621" w:type="dxa"/>
            <w:shd w:val="clear" w:color="auto" w:fill="auto"/>
          </w:tcPr>
          <w:p w14:paraId="2129ECD7" w14:textId="77777777" w:rsidR="00860F8E" w:rsidRPr="006C0823" w:rsidRDefault="003E5664" w:rsidP="00EF6063">
            <w:pPr>
              <w:pStyle w:val="TableText1"/>
            </w:pPr>
            <w:r>
              <w:t>128</w:t>
            </w:r>
          </w:p>
        </w:tc>
      </w:tr>
      <w:tr w:rsidR="00860F8E" w:rsidRPr="006C0823" w14:paraId="761B6497" w14:textId="77777777" w:rsidTr="005D646B">
        <w:tc>
          <w:tcPr>
            <w:tcW w:w="4787" w:type="dxa"/>
            <w:shd w:val="clear" w:color="auto" w:fill="auto"/>
          </w:tcPr>
          <w:p w14:paraId="394B7078" w14:textId="77777777" w:rsidR="00860F8E" w:rsidRPr="006C0823" w:rsidRDefault="00860F8E" w:rsidP="00EF6063">
            <w:pPr>
              <w:pStyle w:val="TableText1"/>
              <w:rPr>
                <w:lang w:eastAsia="en-AU"/>
              </w:rPr>
            </w:pPr>
            <w:r w:rsidRPr="006C0823">
              <w:rPr>
                <w:lang w:eastAsia="en-AU"/>
              </w:rPr>
              <w:t>Significant activities and changes</w:t>
            </w:r>
          </w:p>
        </w:tc>
        <w:tc>
          <w:tcPr>
            <w:tcW w:w="2835" w:type="dxa"/>
            <w:shd w:val="clear" w:color="auto" w:fill="auto"/>
          </w:tcPr>
          <w:p w14:paraId="1E268A88" w14:textId="77777777" w:rsidR="00860F8E" w:rsidRPr="006C0823" w:rsidRDefault="00860F8E" w:rsidP="00EF6063">
            <w:pPr>
              <w:pStyle w:val="TableText1"/>
            </w:pPr>
            <w:r w:rsidRPr="006C0823">
              <w:t>Paragraph 17BE(p)</w:t>
            </w:r>
          </w:p>
        </w:tc>
        <w:tc>
          <w:tcPr>
            <w:tcW w:w="1621" w:type="dxa"/>
            <w:shd w:val="clear" w:color="auto" w:fill="auto"/>
          </w:tcPr>
          <w:p w14:paraId="479D3C34" w14:textId="77777777" w:rsidR="00860F8E" w:rsidRPr="006C0823" w:rsidRDefault="003E5664" w:rsidP="00EF6063">
            <w:pPr>
              <w:pStyle w:val="TableText1"/>
            </w:pPr>
            <w:r>
              <w:t>124</w:t>
            </w:r>
          </w:p>
        </w:tc>
      </w:tr>
      <w:tr w:rsidR="00860F8E" w:rsidRPr="006C0823" w14:paraId="622E4A96" w14:textId="77777777" w:rsidTr="005D646B">
        <w:tc>
          <w:tcPr>
            <w:tcW w:w="4787" w:type="dxa"/>
            <w:shd w:val="clear" w:color="auto" w:fill="auto"/>
          </w:tcPr>
          <w:p w14:paraId="13EEDC8F" w14:textId="77777777" w:rsidR="00860F8E" w:rsidRPr="006C0823" w:rsidRDefault="00860F8E" w:rsidP="00EF6063">
            <w:pPr>
              <w:pStyle w:val="TableText1"/>
              <w:rPr>
                <w:lang w:eastAsia="en-AU"/>
              </w:rPr>
            </w:pPr>
            <w:r w:rsidRPr="006C0823">
              <w:rPr>
                <w:lang w:eastAsia="en-AU"/>
              </w:rPr>
              <w:t>Judicial decisions or decisions of administrative tribunals</w:t>
            </w:r>
          </w:p>
        </w:tc>
        <w:tc>
          <w:tcPr>
            <w:tcW w:w="2835" w:type="dxa"/>
            <w:shd w:val="clear" w:color="auto" w:fill="auto"/>
          </w:tcPr>
          <w:p w14:paraId="4D901C69" w14:textId="77777777" w:rsidR="00860F8E" w:rsidRPr="006C0823" w:rsidRDefault="00860F8E" w:rsidP="00EF6063">
            <w:pPr>
              <w:pStyle w:val="TableText1"/>
            </w:pPr>
            <w:r w:rsidRPr="006C0823">
              <w:t>Paragraph 17BE(q)</w:t>
            </w:r>
          </w:p>
        </w:tc>
        <w:tc>
          <w:tcPr>
            <w:tcW w:w="1621" w:type="dxa"/>
            <w:shd w:val="clear" w:color="auto" w:fill="auto"/>
          </w:tcPr>
          <w:p w14:paraId="2C9EC668" w14:textId="77777777" w:rsidR="00860F8E" w:rsidRPr="006C0823" w:rsidRDefault="003E5664" w:rsidP="00EF6063">
            <w:pPr>
              <w:pStyle w:val="TableText1"/>
            </w:pPr>
            <w:r>
              <w:t>117, 119</w:t>
            </w:r>
          </w:p>
        </w:tc>
      </w:tr>
      <w:tr w:rsidR="00860F8E" w:rsidRPr="006C0823" w14:paraId="47A406C8" w14:textId="77777777" w:rsidTr="005D646B">
        <w:tc>
          <w:tcPr>
            <w:tcW w:w="4787" w:type="dxa"/>
            <w:shd w:val="clear" w:color="auto" w:fill="auto"/>
          </w:tcPr>
          <w:p w14:paraId="24F04F49" w14:textId="77777777" w:rsidR="00860F8E" w:rsidRPr="006C0823" w:rsidRDefault="00860F8E" w:rsidP="00EF6063">
            <w:pPr>
              <w:pStyle w:val="TableText1"/>
              <w:rPr>
                <w:lang w:eastAsia="en-AU"/>
              </w:rPr>
            </w:pPr>
            <w:r w:rsidRPr="006C0823">
              <w:t>Reports by the Auditor-General, a parliamentary committee, the Commonwealth Ombudsman or the Office of the Australian Information Commissioner</w:t>
            </w:r>
          </w:p>
        </w:tc>
        <w:tc>
          <w:tcPr>
            <w:tcW w:w="2835" w:type="dxa"/>
            <w:shd w:val="clear" w:color="auto" w:fill="auto"/>
          </w:tcPr>
          <w:p w14:paraId="321E617D" w14:textId="77777777" w:rsidR="00860F8E" w:rsidRPr="006C0823" w:rsidRDefault="00860F8E" w:rsidP="00EF6063">
            <w:pPr>
              <w:pStyle w:val="TableText1"/>
            </w:pPr>
            <w:r w:rsidRPr="006C0823">
              <w:t>Paragraph 17BE(r)</w:t>
            </w:r>
          </w:p>
        </w:tc>
        <w:tc>
          <w:tcPr>
            <w:tcW w:w="1621" w:type="dxa"/>
            <w:shd w:val="clear" w:color="auto" w:fill="auto"/>
          </w:tcPr>
          <w:p w14:paraId="528EB434" w14:textId="77777777" w:rsidR="00860F8E" w:rsidRPr="006C0823" w:rsidRDefault="003E5664" w:rsidP="00EF6063">
            <w:pPr>
              <w:pStyle w:val="TableText1"/>
            </w:pPr>
            <w:r>
              <w:t>118–119</w:t>
            </w:r>
          </w:p>
        </w:tc>
      </w:tr>
      <w:tr w:rsidR="00860F8E" w:rsidRPr="006C0823" w14:paraId="6D4FACA4" w14:textId="77777777" w:rsidTr="005D646B">
        <w:tc>
          <w:tcPr>
            <w:tcW w:w="4787" w:type="dxa"/>
            <w:shd w:val="clear" w:color="auto" w:fill="auto"/>
            <w:hideMark/>
          </w:tcPr>
          <w:p w14:paraId="7AA502F7" w14:textId="77777777" w:rsidR="00860F8E" w:rsidRPr="006C0823" w:rsidRDefault="00860F8E" w:rsidP="00EF6063">
            <w:pPr>
              <w:pStyle w:val="TableText1"/>
              <w:rPr>
                <w:lang w:eastAsia="en-AU"/>
              </w:rPr>
            </w:pPr>
            <w:r w:rsidRPr="006C0823">
              <w:rPr>
                <w:lang w:eastAsia="en-AU"/>
              </w:rPr>
              <w:t>Information from subsidiaries</w:t>
            </w:r>
          </w:p>
        </w:tc>
        <w:tc>
          <w:tcPr>
            <w:tcW w:w="2835" w:type="dxa"/>
            <w:shd w:val="clear" w:color="auto" w:fill="auto"/>
          </w:tcPr>
          <w:p w14:paraId="276FB58B" w14:textId="77777777" w:rsidR="00860F8E" w:rsidRPr="006C0823" w:rsidRDefault="00860F8E" w:rsidP="00EF6063">
            <w:pPr>
              <w:pStyle w:val="TableText1"/>
            </w:pPr>
            <w:r w:rsidRPr="006C0823">
              <w:t>Paragraph 17BE(s)</w:t>
            </w:r>
          </w:p>
        </w:tc>
        <w:tc>
          <w:tcPr>
            <w:tcW w:w="1621" w:type="dxa"/>
            <w:shd w:val="clear" w:color="auto" w:fill="auto"/>
          </w:tcPr>
          <w:p w14:paraId="03945A0F" w14:textId="77777777" w:rsidR="00860F8E" w:rsidRPr="006C0823" w:rsidRDefault="003E5664" w:rsidP="00EF6063">
            <w:pPr>
              <w:pStyle w:val="TableText1"/>
            </w:pPr>
            <w:r>
              <w:t>Not applicable</w:t>
            </w:r>
          </w:p>
        </w:tc>
      </w:tr>
      <w:tr w:rsidR="00860F8E" w:rsidRPr="006C0823" w14:paraId="4ED26016" w14:textId="77777777" w:rsidTr="005D646B">
        <w:tc>
          <w:tcPr>
            <w:tcW w:w="4787" w:type="dxa"/>
            <w:shd w:val="clear" w:color="auto" w:fill="auto"/>
          </w:tcPr>
          <w:p w14:paraId="249EFC73" w14:textId="77777777" w:rsidR="00860F8E" w:rsidRPr="006C0823" w:rsidRDefault="00860F8E" w:rsidP="00EF6063">
            <w:pPr>
              <w:pStyle w:val="TableText1"/>
              <w:rPr>
                <w:lang w:eastAsia="en-AU"/>
              </w:rPr>
            </w:pPr>
            <w:r w:rsidRPr="006C0823">
              <w:rPr>
                <w:lang w:eastAsia="en-AU"/>
              </w:rPr>
              <w:t>Indemnity and insurance</w:t>
            </w:r>
          </w:p>
        </w:tc>
        <w:tc>
          <w:tcPr>
            <w:tcW w:w="2835" w:type="dxa"/>
            <w:shd w:val="clear" w:color="auto" w:fill="auto"/>
          </w:tcPr>
          <w:p w14:paraId="02479EC6" w14:textId="77777777" w:rsidR="00860F8E" w:rsidRPr="006C0823" w:rsidRDefault="00860F8E" w:rsidP="00EF6063">
            <w:pPr>
              <w:pStyle w:val="TableText1"/>
            </w:pPr>
            <w:r w:rsidRPr="006C0823">
              <w:t>Paragraph 17BE(t)</w:t>
            </w:r>
          </w:p>
        </w:tc>
        <w:tc>
          <w:tcPr>
            <w:tcW w:w="1621" w:type="dxa"/>
            <w:shd w:val="clear" w:color="auto" w:fill="auto"/>
          </w:tcPr>
          <w:p w14:paraId="10A2C0FD" w14:textId="77777777" w:rsidR="00860F8E" w:rsidRPr="006C0823" w:rsidRDefault="003E5664" w:rsidP="00EF6063">
            <w:pPr>
              <w:pStyle w:val="TableText1"/>
            </w:pPr>
            <w:r>
              <w:t>128</w:t>
            </w:r>
          </w:p>
        </w:tc>
      </w:tr>
      <w:tr w:rsidR="00860F8E" w:rsidRPr="006C0823" w14:paraId="26A7D90F" w14:textId="77777777" w:rsidTr="005D646B">
        <w:tc>
          <w:tcPr>
            <w:tcW w:w="4787" w:type="dxa"/>
            <w:shd w:val="clear" w:color="auto" w:fill="auto"/>
            <w:hideMark/>
          </w:tcPr>
          <w:p w14:paraId="77BD02FB" w14:textId="77777777" w:rsidR="00860F8E" w:rsidRPr="006C0823" w:rsidRDefault="00860F8E" w:rsidP="00EF6063">
            <w:pPr>
              <w:pStyle w:val="TableText1"/>
              <w:rPr>
                <w:lang w:eastAsia="en-AU"/>
              </w:rPr>
            </w:pPr>
            <w:r w:rsidRPr="006C0823">
              <w:rPr>
                <w:lang w:eastAsia="en-AU"/>
              </w:rPr>
              <w:t>Compliance index</w:t>
            </w:r>
          </w:p>
        </w:tc>
        <w:tc>
          <w:tcPr>
            <w:tcW w:w="2835" w:type="dxa"/>
            <w:shd w:val="clear" w:color="auto" w:fill="auto"/>
          </w:tcPr>
          <w:p w14:paraId="292852F8" w14:textId="77777777" w:rsidR="00860F8E" w:rsidRPr="006C0823" w:rsidRDefault="00860F8E" w:rsidP="00EF6063">
            <w:pPr>
              <w:pStyle w:val="TableText1"/>
            </w:pPr>
            <w:r w:rsidRPr="006C0823">
              <w:t>Paragraph 17BE(u)</w:t>
            </w:r>
          </w:p>
        </w:tc>
        <w:tc>
          <w:tcPr>
            <w:tcW w:w="1621" w:type="dxa"/>
            <w:shd w:val="clear" w:color="auto" w:fill="auto"/>
          </w:tcPr>
          <w:p w14:paraId="0B03AA45" w14:textId="77777777" w:rsidR="00860F8E" w:rsidRPr="006C0823" w:rsidRDefault="003E5664" w:rsidP="00EF6063">
            <w:pPr>
              <w:pStyle w:val="TableText1"/>
            </w:pPr>
            <w:r>
              <w:t>182</w:t>
            </w:r>
          </w:p>
        </w:tc>
      </w:tr>
      <w:tr w:rsidR="00860F8E" w:rsidRPr="006C0823" w14:paraId="543AD8C0" w14:textId="77777777" w:rsidTr="005D646B">
        <w:tc>
          <w:tcPr>
            <w:tcW w:w="9243" w:type="dxa"/>
            <w:gridSpan w:val="3"/>
            <w:shd w:val="clear" w:color="auto" w:fill="F2F2F2"/>
          </w:tcPr>
          <w:p w14:paraId="103ECC93" w14:textId="77777777" w:rsidR="00860F8E" w:rsidRPr="006C0823" w:rsidRDefault="00860F8E" w:rsidP="00EF6063">
            <w:pPr>
              <w:pStyle w:val="TableHead"/>
              <w:rPr>
                <w:lang w:eastAsia="en-AU"/>
              </w:rPr>
            </w:pPr>
            <w:r w:rsidRPr="006C0823">
              <w:rPr>
                <w:lang w:eastAsia="en-AU"/>
              </w:rPr>
              <w:t>Other reporting requirements</w:t>
            </w:r>
          </w:p>
        </w:tc>
      </w:tr>
      <w:tr w:rsidR="00860F8E" w:rsidRPr="006C0823" w14:paraId="1B2D0B5C" w14:textId="77777777" w:rsidTr="005D646B">
        <w:tc>
          <w:tcPr>
            <w:tcW w:w="4787" w:type="dxa"/>
            <w:shd w:val="clear" w:color="auto" w:fill="auto"/>
          </w:tcPr>
          <w:p w14:paraId="709A242D" w14:textId="77777777" w:rsidR="00860F8E" w:rsidRPr="006C0823" w:rsidRDefault="00860F8E" w:rsidP="00EF6063">
            <w:pPr>
              <w:pStyle w:val="TableText1"/>
              <w:rPr>
                <w:i/>
              </w:rPr>
            </w:pPr>
            <w:r w:rsidRPr="006C0823">
              <w:rPr>
                <w:i/>
              </w:rPr>
              <w:t>Civil Aviation Act 1988</w:t>
            </w:r>
          </w:p>
        </w:tc>
        <w:tc>
          <w:tcPr>
            <w:tcW w:w="2835" w:type="dxa"/>
            <w:shd w:val="clear" w:color="auto" w:fill="auto"/>
          </w:tcPr>
          <w:p w14:paraId="646AB7CC" w14:textId="77777777" w:rsidR="00860F8E" w:rsidRPr="006C0823" w:rsidRDefault="00860F8E" w:rsidP="00EF6063">
            <w:pPr>
              <w:pStyle w:val="TableText1"/>
            </w:pPr>
            <w:r w:rsidRPr="006C0823">
              <w:t>Section 49</w:t>
            </w:r>
          </w:p>
        </w:tc>
        <w:tc>
          <w:tcPr>
            <w:tcW w:w="1621" w:type="dxa"/>
            <w:shd w:val="clear" w:color="auto" w:fill="auto"/>
          </w:tcPr>
          <w:p w14:paraId="6D1A0B36" w14:textId="77777777" w:rsidR="00860F8E" w:rsidRPr="006C0823" w:rsidRDefault="003E5664" w:rsidP="00EF6063">
            <w:pPr>
              <w:pStyle w:val="TableText1"/>
              <w:rPr>
                <w:lang w:eastAsia="en-AU"/>
              </w:rPr>
            </w:pPr>
            <w:r>
              <w:rPr>
                <w:lang w:eastAsia="en-AU"/>
              </w:rPr>
              <w:t>68–69</w:t>
            </w:r>
          </w:p>
        </w:tc>
      </w:tr>
      <w:tr w:rsidR="00860F8E" w:rsidRPr="006C0823" w14:paraId="780A5717" w14:textId="77777777" w:rsidTr="005D646B">
        <w:tc>
          <w:tcPr>
            <w:tcW w:w="4787" w:type="dxa"/>
            <w:shd w:val="clear" w:color="auto" w:fill="auto"/>
          </w:tcPr>
          <w:p w14:paraId="2A197BE6" w14:textId="77777777" w:rsidR="00860F8E" w:rsidRPr="006C0823" w:rsidRDefault="00860F8E" w:rsidP="00EF6063">
            <w:pPr>
              <w:pStyle w:val="TableText1"/>
              <w:rPr>
                <w:i/>
                <w:lang w:eastAsia="en-AU"/>
              </w:rPr>
            </w:pPr>
            <w:r w:rsidRPr="006C0823">
              <w:rPr>
                <w:i/>
                <w:lang w:eastAsia="en-AU"/>
              </w:rPr>
              <w:t>Commonwealth Electoral Act 1918</w:t>
            </w:r>
          </w:p>
        </w:tc>
        <w:tc>
          <w:tcPr>
            <w:tcW w:w="2835" w:type="dxa"/>
            <w:shd w:val="clear" w:color="auto" w:fill="auto"/>
          </w:tcPr>
          <w:p w14:paraId="2EB2F83A" w14:textId="77777777" w:rsidR="00860F8E" w:rsidRPr="006C0823" w:rsidRDefault="00860F8E" w:rsidP="00EF6063">
            <w:pPr>
              <w:pStyle w:val="TableText1"/>
            </w:pPr>
            <w:r w:rsidRPr="006C0823">
              <w:t>Section 311A</w:t>
            </w:r>
          </w:p>
        </w:tc>
        <w:tc>
          <w:tcPr>
            <w:tcW w:w="1621" w:type="dxa"/>
            <w:shd w:val="clear" w:color="auto" w:fill="auto"/>
          </w:tcPr>
          <w:p w14:paraId="22E9A276" w14:textId="77777777" w:rsidR="00860F8E" w:rsidRPr="006C0823" w:rsidRDefault="003E5664" w:rsidP="00EF6063">
            <w:pPr>
              <w:pStyle w:val="TableText1"/>
              <w:rPr>
                <w:lang w:eastAsia="en-AU"/>
              </w:rPr>
            </w:pPr>
            <w:r>
              <w:rPr>
                <w:lang w:eastAsia="en-AU"/>
              </w:rPr>
              <w:t>127</w:t>
            </w:r>
          </w:p>
        </w:tc>
      </w:tr>
      <w:tr w:rsidR="00860F8E" w:rsidRPr="006C0823" w14:paraId="6289BB29" w14:textId="77777777" w:rsidTr="005D646B">
        <w:tc>
          <w:tcPr>
            <w:tcW w:w="4787" w:type="dxa"/>
            <w:shd w:val="clear" w:color="auto" w:fill="auto"/>
          </w:tcPr>
          <w:p w14:paraId="3FBBFF79" w14:textId="77777777" w:rsidR="00860F8E" w:rsidRPr="006C0823" w:rsidRDefault="00860F8E" w:rsidP="00EF6063">
            <w:pPr>
              <w:pStyle w:val="TableText1"/>
              <w:rPr>
                <w:i/>
                <w:lang w:eastAsia="en-AU"/>
              </w:rPr>
            </w:pPr>
            <w:r w:rsidRPr="006C0823">
              <w:rPr>
                <w:i/>
                <w:lang w:eastAsia="en-AU"/>
              </w:rPr>
              <w:t>Commonwealth Fraud Control Guidelines 2011</w:t>
            </w:r>
          </w:p>
        </w:tc>
        <w:tc>
          <w:tcPr>
            <w:tcW w:w="2835" w:type="dxa"/>
            <w:shd w:val="clear" w:color="auto" w:fill="auto"/>
          </w:tcPr>
          <w:p w14:paraId="2A449103" w14:textId="77777777" w:rsidR="00860F8E" w:rsidRPr="006C0823" w:rsidRDefault="00860F8E" w:rsidP="00EF6063">
            <w:pPr>
              <w:pStyle w:val="TableText1"/>
            </w:pPr>
            <w:r w:rsidRPr="006C0823">
              <w:t>Section 5.8</w:t>
            </w:r>
          </w:p>
        </w:tc>
        <w:tc>
          <w:tcPr>
            <w:tcW w:w="1621" w:type="dxa"/>
            <w:shd w:val="clear" w:color="auto" w:fill="auto"/>
          </w:tcPr>
          <w:p w14:paraId="237BE194" w14:textId="77777777" w:rsidR="00860F8E" w:rsidRPr="006C0823" w:rsidRDefault="003E5664" w:rsidP="00EF6063">
            <w:pPr>
              <w:pStyle w:val="TableText1"/>
              <w:rPr>
                <w:lang w:eastAsia="en-AU"/>
              </w:rPr>
            </w:pPr>
            <w:r>
              <w:rPr>
                <w:lang w:eastAsia="en-AU"/>
              </w:rPr>
              <w:t>87</w:t>
            </w:r>
          </w:p>
        </w:tc>
      </w:tr>
      <w:tr w:rsidR="00860F8E" w:rsidRPr="006C0823" w14:paraId="269E2DC0" w14:textId="77777777" w:rsidTr="005D646B">
        <w:tc>
          <w:tcPr>
            <w:tcW w:w="4787" w:type="dxa"/>
            <w:shd w:val="clear" w:color="auto" w:fill="auto"/>
            <w:hideMark/>
          </w:tcPr>
          <w:p w14:paraId="58DE1046" w14:textId="77777777" w:rsidR="00860F8E" w:rsidRPr="006C0823" w:rsidRDefault="00860F8E" w:rsidP="00EF6063">
            <w:pPr>
              <w:pStyle w:val="TableText1"/>
              <w:rPr>
                <w:i/>
                <w:lang w:eastAsia="en-AU"/>
              </w:rPr>
            </w:pPr>
            <w:r w:rsidRPr="006C0823">
              <w:rPr>
                <w:i/>
                <w:lang w:eastAsia="en-AU"/>
              </w:rPr>
              <w:t xml:space="preserve">Environment Protection and Biodiversity Conservation Act 1999 </w:t>
            </w:r>
          </w:p>
        </w:tc>
        <w:tc>
          <w:tcPr>
            <w:tcW w:w="2835" w:type="dxa"/>
            <w:shd w:val="clear" w:color="auto" w:fill="auto"/>
          </w:tcPr>
          <w:p w14:paraId="5A233B59" w14:textId="77777777" w:rsidR="00860F8E" w:rsidRPr="006C0823" w:rsidRDefault="00860F8E" w:rsidP="00EF6063">
            <w:pPr>
              <w:pStyle w:val="TableText1"/>
            </w:pPr>
            <w:r w:rsidRPr="006C0823">
              <w:t>Section 516A</w:t>
            </w:r>
          </w:p>
        </w:tc>
        <w:tc>
          <w:tcPr>
            <w:tcW w:w="1621" w:type="dxa"/>
            <w:shd w:val="clear" w:color="auto" w:fill="auto"/>
          </w:tcPr>
          <w:p w14:paraId="14A8B115" w14:textId="77777777" w:rsidR="00860F8E" w:rsidRPr="006C0823" w:rsidRDefault="003E5664" w:rsidP="00EF6063">
            <w:pPr>
              <w:pStyle w:val="TableText1"/>
              <w:rPr>
                <w:lang w:eastAsia="en-AU"/>
              </w:rPr>
            </w:pPr>
            <w:r>
              <w:rPr>
                <w:lang w:eastAsia="en-AU"/>
              </w:rPr>
              <w:t>125–126</w:t>
            </w:r>
          </w:p>
        </w:tc>
      </w:tr>
      <w:tr w:rsidR="00860F8E" w:rsidRPr="006C0823" w14:paraId="45BC1761" w14:textId="77777777" w:rsidTr="005D646B">
        <w:tc>
          <w:tcPr>
            <w:tcW w:w="4787" w:type="dxa"/>
            <w:shd w:val="clear" w:color="auto" w:fill="auto"/>
          </w:tcPr>
          <w:p w14:paraId="1D4DDE4B" w14:textId="77777777" w:rsidR="00860F8E" w:rsidRPr="006C0823" w:rsidRDefault="00860F8E" w:rsidP="00EF6063">
            <w:pPr>
              <w:pStyle w:val="TableText1"/>
              <w:rPr>
                <w:i/>
              </w:rPr>
            </w:pPr>
            <w:r w:rsidRPr="006C0823">
              <w:rPr>
                <w:i/>
              </w:rPr>
              <w:t>Regulator Performance Framework</w:t>
            </w:r>
          </w:p>
        </w:tc>
        <w:tc>
          <w:tcPr>
            <w:tcW w:w="2835" w:type="dxa"/>
            <w:shd w:val="clear" w:color="auto" w:fill="auto"/>
          </w:tcPr>
          <w:p w14:paraId="4F5597EC" w14:textId="77777777" w:rsidR="00860F8E" w:rsidRPr="006C0823" w:rsidRDefault="00860F8E" w:rsidP="00EF6063">
            <w:pPr>
              <w:pStyle w:val="TableText1"/>
              <w:rPr>
                <w:lang w:eastAsia="en-AU"/>
              </w:rPr>
            </w:pPr>
            <w:r w:rsidRPr="006C0823">
              <w:rPr>
                <w:lang w:eastAsia="en-AU"/>
              </w:rPr>
              <w:t xml:space="preserve">page </w:t>
            </w:r>
            <w:r>
              <w:rPr>
                <w:lang w:eastAsia="en-AU"/>
              </w:rPr>
              <w:t>13</w:t>
            </w:r>
          </w:p>
        </w:tc>
        <w:tc>
          <w:tcPr>
            <w:tcW w:w="1621" w:type="dxa"/>
            <w:shd w:val="clear" w:color="auto" w:fill="auto"/>
          </w:tcPr>
          <w:p w14:paraId="21B206D0" w14:textId="77777777" w:rsidR="00860F8E" w:rsidRPr="006C0823" w:rsidRDefault="00860F8E" w:rsidP="00EF6063">
            <w:pPr>
              <w:pStyle w:val="TableText1"/>
              <w:rPr>
                <w:lang w:eastAsia="en-AU"/>
              </w:rPr>
            </w:pPr>
            <w:r w:rsidRPr="006C0823">
              <w:rPr>
                <w:lang w:eastAsia="en-AU"/>
              </w:rPr>
              <w:t>Throughout</w:t>
            </w:r>
          </w:p>
        </w:tc>
      </w:tr>
      <w:tr w:rsidR="00860F8E" w:rsidRPr="006C0823" w14:paraId="610E12C8" w14:textId="77777777" w:rsidTr="005D646B">
        <w:tc>
          <w:tcPr>
            <w:tcW w:w="4787" w:type="dxa"/>
            <w:shd w:val="clear" w:color="auto" w:fill="auto"/>
            <w:hideMark/>
          </w:tcPr>
          <w:p w14:paraId="5BD9B875" w14:textId="77777777" w:rsidR="00860F8E" w:rsidRPr="006C0823" w:rsidRDefault="00860F8E" w:rsidP="00EF6063">
            <w:pPr>
              <w:pStyle w:val="TableText1"/>
              <w:rPr>
                <w:i/>
                <w:lang w:eastAsia="en-AU"/>
              </w:rPr>
            </w:pPr>
            <w:r w:rsidRPr="006C0823">
              <w:rPr>
                <w:i/>
                <w:lang w:eastAsia="en-AU"/>
              </w:rPr>
              <w:t>Work Health and Safety Act 2011</w:t>
            </w:r>
          </w:p>
        </w:tc>
        <w:tc>
          <w:tcPr>
            <w:tcW w:w="2835" w:type="dxa"/>
            <w:shd w:val="clear" w:color="auto" w:fill="auto"/>
          </w:tcPr>
          <w:p w14:paraId="4A8640A3" w14:textId="77777777" w:rsidR="00860F8E" w:rsidRPr="006C0823" w:rsidRDefault="00860F8E" w:rsidP="00EF6063">
            <w:pPr>
              <w:pStyle w:val="TableText1"/>
              <w:rPr>
                <w:lang w:eastAsia="en-AU"/>
              </w:rPr>
            </w:pPr>
            <w:r w:rsidRPr="006C0823">
              <w:rPr>
                <w:lang w:eastAsia="en-AU"/>
              </w:rPr>
              <w:t>Schedule 2, Part 4</w:t>
            </w:r>
          </w:p>
        </w:tc>
        <w:tc>
          <w:tcPr>
            <w:tcW w:w="1621" w:type="dxa"/>
            <w:shd w:val="clear" w:color="auto" w:fill="auto"/>
          </w:tcPr>
          <w:p w14:paraId="1B6A88C8" w14:textId="77777777" w:rsidR="00860F8E" w:rsidRPr="006C0823" w:rsidRDefault="003E5664" w:rsidP="00EF6063">
            <w:pPr>
              <w:pStyle w:val="TableText1"/>
              <w:rPr>
                <w:lang w:eastAsia="en-AU"/>
              </w:rPr>
            </w:pPr>
            <w:r>
              <w:rPr>
                <w:lang w:eastAsia="en-AU"/>
              </w:rPr>
              <w:t>95–97</w:t>
            </w:r>
          </w:p>
        </w:tc>
      </w:tr>
    </w:tbl>
    <w:p w14:paraId="73F37059" w14:textId="77777777" w:rsidR="00860F8E" w:rsidRPr="006C0823" w:rsidRDefault="00860F8E" w:rsidP="00860F8E">
      <w:pPr>
        <w:sectPr w:rsidR="00860F8E" w:rsidRPr="006C0823" w:rsidSect="001F77E0">
          <w:pgSz w:w="11907" w:h="16840" w:code="9"/>
          <w:pgMar w:top="1440" w:right="1440" w:bottom="1440" w:left="1440" w:header="709" w:footer="709" w:gutter="0"/>
          <w:cols w:space="708"/>
          <w:docGrid w:linePitch="360"/>
        </w:sectPr>
      </w:pPr>
    </w:p>
    <w:p w14:paraId="5D2A0389" w14:textId="77777777" w:rsidR="00860F8E" w:rsidRPr="006C0823" w:rsidRDefault="00860F8E" w:rsidP="00860F8E">
      <w:pPr>
        <w:pStyle w:val="Heading1"/>
      </w:pPr>
      <w:bookmarkStart w:id="186" w:name="_Toc522537181"/>
      <w:bookmarkStart w:id="187" w:name="_Toc523924905"/>
      <w:r w:rsidRPr="006C0823">
        <w:lastRenderedPageBreak/>
        <w:t>Alphabetical index</w:t>
      </w:r>
      <w:bookmarkEnd w:id="186"/>
      <w:bookmarkEnd w:id="187"/>
    </w:p>
    <w:p w14:paraId="2FD68CB1" w14:textId="77777777" w:rsidR="00860F8E" w:rsidRPr="006C0823" w:rsidRDefault="00860F8E" w:rsidP="00860F8E">
      <w:r w:rsidRPr="006C0823">
        <w:t>Inserted after typesetting complete</w:t>
      </w:r>
    </w:p>
    <w:p w14:paraId="54E027AF" w14:textId="77777777" w:rsidR="00860F8E" w:rsidRPr="006C0823" w:rsidRDefault="00860F8E" w:rsidP="00860F8E">
      <w:pPr>
        <w:sectPr w:rsidR="00860F8E" w:rsidRPr="006C0823" w:rsidSect="001F77E0">
          <w:headerReference w:type="default" r:id="rId44"/>
          <w:footerReference w:type="default" r:id="rId45"/>
          <w:pgSz w:w="11907" w:h="16840" w:code="9"/>
          <w:pgMar w:top="1440" w:right="1440" w:bottom="1440" w:left="1440" w:header="709" w:footer="709" w:gutter="0"/>
          <w:cols w:space="708"/>
          <w:docGrid w:linePitch="360"/>
        </w:sectPr>
      </w:pPr>
    </w:p>
    <w:p w14:paraId="6AD500F2" w14:textId="5E01A3BD" w:rsidR="00860F8E" w:rsidRDefault="00860F8E" w:rsidP="00860F8E">
      <w:r w:rsidRPr="00D94B82">
        <w:rPr>
          <w:rStyle w:val="Heading2Char1"/>
        </w:rPr>
        <w:lastRenderedPageBreak/>
        <w:t>CASA locations</w:t>
      </w:r>
      <w:r w:rsidRPr="006C0823">
        <w:t xml:space="preserve"> </w:t>
      </w:r>
    </w:p>
    <w:p w14:paraId="7FF378ED" w14:textId="7CA472D7" w:rsidR="00D94B82" w:rsidRPr="006C0823" w:rsidRDefault="00D94B82" w:rsidP="00D94B82">
      <w:r w:rsidRPr="00D94B82">
        <w:t>Content under this heading has been removed in this version to meet accessibility standards.</w:t>
      </w:r>
    </w:p>
    <w:p w14:paraId="0892385C" w14:textId="77777777" w:rsidR="00860F8E" w:rsidRPr="00AA6995" w:rsidRDefault="00860F8E" w:rsidP="00AA6995">
      <w:pPr>
        <w:pStyle w:val="Heading2"/>
      </w:pPr>
      <w:r w:rsidRPr="00AA6995">
        <w:t>Acknowledgements</w:t>
      </w:r>
    </w:p>
    <w:p w14:paraId="6C88C6A9" w14:textId="453C42AC" w:rsidR="00860F8E" w:rsidRPr="006C0823" w:rsidRDefault="00860F8E" w:rsidP="00860F8E">
      <w:r w:rsidRPr="006C0823">
        <w:t>Drafted by: Lisa Harvey</w:t>
      </w:r>
    </w:p>
    <w:p w14:paraId="563A25CC" w14:textId="33D696E1" w:rsidR="00860F8E" w:rsidRPr="006C0823" w:rsidRDefault="00860F8E" w:rsidP="00860F8E">
      <w:r w:rsidRPr="006C0823">
        <w:t>Assisted by: Michelle Spence</w:t>
      </w:r>
    </w:p>
    <w:p w14:paraId="0FC8EC3D" w14:textId="00A1ADE6" w:rsidR="00860F8E" w:rsidRPr="006C0823" w:rsidRDefault="00860F8E" w:rsidP="00860F8E">
      <w:r w:rsidRPr="006C0823">
        <w:t>Design: Duncan</w:t>
      </w:r>
      <w:r w:rsidR="003E5664">
        <w:t xml:space="preserve"> </w:t>
      </w:r>
      <w:r w:rsidRPr="006C0823">
        <w:t>Grant</w:t>
      </w:r>
    </w:p>
    <w:p w14:paraId="2A1B8D92" w14:textId="77777777" w:rsidR="00860F8E" w:rsidRPr="006C0823" w:rsidRDefault="00860F8E" w:rsidP="00860F8E">
      <w:r w:rsidRPr="006C0823">
        <w:t>Editing: WordsWorth Writing Pty Ltd</w:t>
      </w:r>
    </w:p>
    <w:p w14:paraId="7E12D05C" w14:textId="77777777" w:rsidR="00860F8E" w:rsidRPr="006C0823" w:rsidRDefault="00860F8E" w:rsidP="00860F8E">
      <w:r w:rsidRPr="006C0823">
        <w:t>Printing: CanPrint Communications Pty Ltd</w:t>
      </w:r>
    </w:p>
    <w:p w14:paraId="32D04DB6" w14:textId="77777777" w:rsidR="00860F8E" w:rsidRPr="006C0823" w:rsidRDefault="00860F8E" w:rsidP="00860F8E">
      <w:r w:rsidRPr="006C0823">
        <w:t>Thank you to all contributors and divisional coordinators for your invaluable support and input throughout the development and drafting process.</w:t>
      </w:r>
    </w:p>
    <w:p w14:paraId="0E3A46E3" w14:textId="77777777" w:rsidR="00860F8E" w:rsidRPr="006C0823" w:rsidRDefault="00860F8E" w:rsidP="005C6FF0">
      <w:pPr>
        <w:pStyle w:val="Heading2"/>
      </w:pPr>
      <w:r w:rsidRPr="006C0823">
        <w:t>Contact details</w:t>
      </w:r>
    </w:p>
    <w:p w14:paraId="6CBE2BA2" w14:textId="77777777" w:rsidR="00860F8E" w:rsidRPr="006C0823" w:rsidRDefault="00860F8E" w:rsidP="00860F8E">
      <w:r w:rsidRPr="006C0823">
        <w:t xml:space="preserve">This report and other CASA corporate publications can be accessed online at </w:t>
      </w:r>
      <w:r w:rsidRPr="00585581">
        <w:rPr>
          <w:rStyle w:val="Hyperlink"/>
          <w:color w:val="auto"/>
          <w:u w:val="none"/>
        </w:rPr>
        <w:t>www.casa.gov.au</w:t>
      </w:r>
      <w:r w:rsidRPr="006C0823">
        <w:t xml:space="preserve">. </w:t>
      </w:r>
    </w:p>
    <w:p w14:paraId="569CD665" w14:textId="77777777" w:rsidR="00860F8E" w:rsidRPr="006C0823" w:rsidRDefault="00860F8E" w:rsidP="00860F8E">
      <w:r w:rsidRPr="006C0823">
        <w:t xml:space="preserve">Readers are invited to provide constructive feedback and suggestions for improvement to </w:t>
      </w:r>
      <w:r w:rsidRPr="00585581">
        <w:rPr>
          <w:rStyle w:val="Hyperlink"/>
          <w:color w:val="auto"/>
          <w:u w:val="none"/>
        </w:rPr>
        <w:t>annualreport@casa.gov.au</w:t>
      </w:r>
      <w:r w:rsidRPr="006C0823">
        <w:t>.</w:t>
      </w:r>
    </w:p>
    <w:p w14:paraId="59D9B3EF" w14:textId="77777777" w:rsidR="00860F8E" w:rsidRPr="006C0823" w:rsidRDefault="00860F8E" w:rsidP="00860F8E">
      <w:pPr>
        <w:pStyle w:val="BulletIntro"/>
        <w:rPr>
          <w:lang w:val="en-GB"/>
        </w:rPr>
      </w:pPr>
      <w:r w:rsidRPr="006C0823">
        <w:rPr>
          <w:lang w:val="en-GB"/>
        </w:rPr>
        <w:t>For more information on the report, or to request printed copies, please contact:</w:t>
      </w:r>
    </w:p>
    <w:p w14:paraId="0FD8D076" w14:textId="77777777" w:rsidR="00860F8E" w:rsidRPr="006C0823" w:rsidRDefault="00860F8E" w:rsidP="00860F8E">
      <w:r w:rsidRPr="006C0823">
        <w:t xml:space="preserve">Manager, Governance </w:t>
      </w:r>
      <w:r>
        <w:t>Branch</w:t>
      </w:r>
      <w:r w:rsidRPr="006C0823">
        <w:br/>
        <w:t>Civil Aviation Safety Authority</w:t>
      </w:r>
      <w:r w:rsidRPr="006C0823">
        <w:br/>
        <w:t>GPO Box 2005</w:t>
      </w:r>
      <w:r w:rsidRPr="006C0823">
        <w:br/>
        <w:t>Canberra ACT 2601</w:t>
      </w:r>
      <w:r w:rsidRPr="006C0823">
        <w:br/>
        <w:t>AUSTRALIA</w:t>
      </w:r>
    </w:p>
    <w:p w14:paraId="0BC20348" w14:textId="77777777" w:rsidR="00860F8E" w:rsidRPr="00A40479" w:rsidRDefault="00860F8E" w:rsidP="00860F8E">
      <w:pPr>
        <w:tabs>
          <w:tab w:val="left" w:pos="851"/>
        </w:tabs>
        <w:rPr>
          <w:lang w:val="fr-FR"/>
        </w:rPr>
      </w:pPr>
      <w:r w:rsidRPr="00A40479">
        <w:rPr>
          <w:lang w:val="fr-FR"/>
        </w:rPr>
        <w:t>Phone</w:t>
      </w:r>
      <w:r w:rsidRPr="00A40479">
        <w:rPr>
          <w:lang w:val="fr-FR"/>
        </w:rPr>
        <w:tab/>
        <w:t>+61 2 6217 1614</w:t>
      </w:r>
      <w:r w:rsidRPr="00A40479">
        <w:rPr>
          <w:lang w:val="fr-FR"/>
        </w:rPr>
        <w:br/>
        <w:t xml:space="preserve">Fax </w:t>
      </w:r>
      <w:r w:rsidRPr="00A40479">
        <w:rPr>
          <w:lang w:val="fr-FR"/>
        </w:rPr>
        <w:tab/>
        <w:t>+61 2 6217 1290</w:t>
      </w:r>
    </w:p>
    <w:p w14:paraId="2D048E6A" w14:textId="77777777" w:rsidR="00860F8E" w:rsidRPr="00A40479" w:rsidRDefault="00860F8E" w:rsidP="00860F8E">
      <w:pPr>
        <w:rPr>
          <w:lang w:val="fr-FR"/>
        </w:rPr>
      </w:pPr>
      <w:r w:rsidRPr="00A40479">
        <w:rPr>
          <w:lang w:val="fr-FR"/>
        </w:rPr>
        <w:t xml:space="preserve">Email: </w:t>
      </w:r>
      <w:r w:rsidRPr="00585581">
        <w:rPr>
          <w:rStyle w:val="Hyperlink"/>
          <w:color w:val="auto"/>
          <w:u w:val="none"/>
          <w:lang w:val="fr-FR"/>
        </w:rPr>
        <w:t>annualreport@casa.gov.au</w:t>
      </w:r>
    </w:p>
    <w:p w14:paraId="22D84742" w14:textId="77777777" w:rsidR="00860F8E" w:rsidRPr="006C0823" w:rsidRDefault="00860F8E" w:rsidP="00860F8E">
      <w:r w:rsidRPr="006C0823">
        <w:t xml:space="preserve">CASA regulatory instruments and publications can be accessed on the CASA website. </w:t>
      </w:r>
      <w:r w:rsidRPr="006C0823">
        <w:rPr>
          <w:iCs/>
        </w:rPr>
        <w:t>All proposed regulatory changes and related consultation documents for 201</w:t>
      </w:r>
      <w:r>
        <w:rPr>
          <w:iCs/>
        </w:rPr>
        <w:t>7</w:t>
      </w:r>
      <w:r w:rsidRPr="006C0823">
        <w:rPr>
          <w:iCs/>
        </w:rPr>
        <w:t>–1</w:t>
      </w:r>
      <w:r>
        <w:rPr>
          <w:iCs/>
        </w:rPr>
        <w:t>8</w:t>
      </w:r>
      <w:r w:rsidRPr="006C0823">
        <w:rPr>
          <w:iCs/>
        </w:rPr>
        <w:t xml:space="preserve"> are published on the CASA website and can be accessed at </w:t>
      </w:r>
      <w:hyperlink r:id="rId46" w:history="1">
        <w:r w:rsidRPr="00585581">
          <w:rPr>
            <w:rStyle w:val="Hyperlink"/>
            <w:iCs/>
            <w:color w:val="auto"/>
            <w:u w:val="none"/>
          </w:rPr>
          <w:t>www.casa.gov.au/newrules</w:t>
        </w:r>
      </w:hyperlink>
      <w:r w:rsidRPr="006C0823">
        <w:rPr>
          <w:iCs/>
        </w:rPr>
        <w:t xml:space="preserve">. </w:t>
      </w:r>
    </w:p>
    <w:p w14:paraId="5E328525" w14:textId="3AA1469E" w:rsidR="00860F8E" w:rsidRPr="006C0823" w:rsidRDefault="00860F8E" w:rsidP="00860F8E">
      <w:r w:rsidRPr="00D94B82">
        <w:rPr>
          <w:rStyle w:val="Heading3Char1"/>
        </w:rPr>
        <w:t xml:space="preserve">Australasian Reporting Awards recognition for CASA </w:t>
      </w:r>
    </w:p>
    <w:p w14:paraId="27F90155" w14:textId="77777777" w:rsidR="00860F8E" w:rsidRPr="006C0823" w:rsidRDefault="00860F8E" w:rsidP="00860F8E">
      <w:r w:rsidRPr="006C0823">
        <w:t>2013</w:t>
      </w:r>
      <w:r w:rsidRPr="006C0823">
        <w:tab/>
      </w:r>
      <w:r w:rsidRPr="006C0823">
        <w:tab/>
        <w:t>2014</w:t>
      </w:r>
      <w:r w:rsidRPr="006C0823">
        <w:tab/>
      </w:r>
      <w:r w:rsidRPr="006C0823">
        <w:tab/>
        <w:t>2015</w:t>
      </w:r>
      <w:r w:rsidRPr="006C0823">
        <w:tab/>
      </w:r>
      <w:r w:rsidRPr="006C0823">
        <w:tab/>
        <w:t>2016</w:t>
      </w:r>
      <w:r w:rsidRPr="006C0823">
        <w:tab/>
      </w:r>
      <w:r w:rsidRPr="006C0823">
        <w:tab/>
        <w:t>2017</w:t>
      </w:r>
      <w:r>
        <w:tab/>
      </w:r>
      <w:r>
        <w:tab/>
        <w:t>2018</w:t>
      </w:r>
    </w:p>
    <w:p w14:paraId="16B4D5C0" w14:textId="77777777" w:rsidR="00860F8E" w:rsidRPr="006C0823" w:rsidRDefault="00860F8E" w:rsidP="00860F8E">
      <w:r w:rsidRPr="006C0823">
        <w:t>Gold</w:t>
      </w:r>
      <w:r w:rsidRPr="006C0823">
        <w:tab/>
      </w:r>
      <w:r w:rsidRPr="006C0823">
        <w:tab/>
        <w:t>Gold</w:t>
      </w:r>
      <w:r w:rsidRPr="006C0823">
        <w:tab/>
      </w:r>
      <w:r w:rsidRPr="006C0823">
        <w:tab/>
        <w:t>Gold</w:t>
      </w:r>
      <w:r w:rsidRPr="006C0823">
        <w:tab/>
      </w:r>
      <w:r w:rsidRPr="006C0823">
        <w:tab/>
        <w:t>Gold</w:t>
      </w:r>
      <w:r w:rsidRPr="006C0823">
        <w:tab/>
      </w:r>
      <w:r w:rsidRPr="006C0823">
        <w:tab/>
        <w:t>Gold</w:t>
      </w:r>
      <w:r>
        <w:tab/>
      </w:r>
      <w:r>
        <w:tab/>
        <w:t>Gold</w:t>
      </w:r>
    </w:p>
    <w:p w14:paraId="3278DF3F" w14:textId="16B962CB" w:rsidR="00860F8E" w:rsidRPr="00320266" w:rsidRDefault="00860F8E" w:rsidP="00320266">
      <w:r w:rsidRPr="006C0823">
        <w:br w:type="page"/>
      </w:r>
    </w:p>
    <w:p w14:paraId="62194C13" w14:textId="77777777" w:rsidR="00860F8E" w:rsidRPr="006C0823" w:rsidRDefault="00860F8E" w:rsidP="00860F8E">
      <w:r w:rsidRPr="006C0823">
        <w:lastRenderedPageBreak/>
        <w:t>CASA National Headquarters</w:t>
      </w:r>
    </w:p>
    <w:p w14:paraId="7F886D15" w14:textId="77777777" w:rsidR="00860F8E" w:rsidRPr="006C0823" w:rsidRDefault="00860F8E" w:rsidP="00860F8E">
      <w:r w:rsidRPr="006C0823">
        <w:t>Aviation House</w:t>
      </w:r>
      <w:r w:rsidRPr="006C0823">
        <w:br/>
        <w:t>16 Furzer Street</w:t>
      </w:r>
      <w:r w:rsidRPr="006C0823">
        <w:br/>
        <w:t>Phillip ACT 2606</w:t>
      </w:r>
    </w:p>
    <w:p w14:paraId="2FCDCC52" w14:textId="77777777" w:rsidR="00860F8E" w:rsidRPr="006C0823" w:rsidRDefault="00860F8E" w:rsidP="00860F8E">
      <w:r w:rsidRPr="006C0823">
        <w:t>GPO Box 2005</w:t>
      </w:r>
      <w:r w:rsidRPr="006C0823">
        <w:br/>
        <w:t>Canberra ACT 2601</w:t>
      </w:r>
    </w:p>
    <w:p w14:paraId="05242BDA" w14:textId="77777777" w:rsidR="00860F8E" w:rsidRPr="006C0823" w:rsidRDefault="00860F8E" w:rsidP="00860F8E">
      <w:pPr>
        <w:tabs>
          <w:tab w:val="left" w:pos="851"/>
        </w:tabs>
      </w:pPr>
      <w:r w:rsidRPr="006C0823">
        <w:t>Phone</w:t>
      </w:r>
      <w:r w:rsidRPr="006C0823">
        <w:tab/>
        <w:t>131 757 (local call)</w:t>
      </w:r>
    </w:p>
    <w:p w14:paraId="57B2F74D" w14:textId="77777777" w:rsidR="00860F8E" w:rsidRPr="00A40479" w:rsidRDefault="00860F8E" w:rsidP="00860F8E">
      <w:pPr>
        <w:tabs>
          <w:tab w:val="left" w:pos="851"/>
        </w:tabs>
        <w:rPr>
          <w:lang w:val="fr-FR"/>
        </w:rPr>
      </w:pPr>
      <w:r w:rsidRPr="00A40479">
        <w:rPr>
          <w:lang w:val="fr-FR"/>
        </w:rPr>
        <w:t>Fax</w:t>
      </w:r>
      <w:r w:rsidRPr="00A40479">
        <w:rPr>
          <w:lang w:val="fr-FR"/>
        </w:rPr>
        <w:tab/>
        <w:t>02 6217 1209</w:t>
      </w:r>
    </w:p>
    <w:p w14:paraId="07C62C27" w14:textId="77777777" w:rsidR="00860F8E" w:rsidRPr="00A40479" w:rsidRDefault="00860F8E" w:rsidP="00860F8E">
      <w:pPr>
        <w:rPr>
          <w:lang w:val="fr-FR"/>
        </w:rPr>
      </w:pPr>
      <w:r w:rsidRPr="00A40479">
        <w:rPr>
          <w:lang w:val="fr-FR"/>
        </w:rPr>
        <w:t>Email</w:t>
      </w:r>
      <w:r w:rsidRPr="00A40479">
        <w:rPr>
          <w:lang w:val="fr-FR"/>
        </w:rPr>
        <w:tab/>
      </w:r>
      <w:r w:rsidRPr="004549CD">
        <w:rPr>
          <w:rStyle w:val="Hyperlink"/>
          <w:color w:val="auto"/>
          <w:u w:val="none"/>
          <w:lang w:val="fr-FR"/>
        </w:rPr>
        <w:t>annualreport@casa.gov.au</w:t>
      </w:r>
    </w:p>
    <w:p w14:paraId="58988C37" w14:textId="77777777" w:rsidR="00860F8E" w:rsidRPr="00A40479" w:rsidRDefault="00860F8E" w:rsidP="00860F8E">
      <w:pPr>
        <w:rPr>
          <w:lang w:val="fr-FR"/>
        </w:rPr>
      </w:pPr>
      <w:r w:rsidRPr="00A40479">
        <w:rPr>
          <w:lang w:val="fr-FR"/>
        </w:rPr>
        <w:t>Website</w:t>
      </w:r>
      <w:r w:rsidRPr="00A40479">
        <w:rPr>
          <w:lang w:val="fr-FR"/>
        </w:rPr>
        <w:tab/>
      </w:r>
      <w:r w:rsidRPr="004549CD">
        <w:rPr>
          <w:rStyle w:val="Hyperlink"/>
          <w:color w:val="auto"/>
          <w:u w:val="none"/>
          <w:lang w:val="fr-FR"/>
        </w:rPr>
        <w:t>www.casa.gov.au</w:t>
      </w:r>
    </w:p>
    <w:p w14:paraId="6F47EEB9" w14:textId="77777777" w:rsidR="00860F8E" w:rsidRPr="00A40479" w:rsidRDefault="00860F8E" w:rsidP="00860F8E">
      <w:pPr>
        <w:rPr>
          <w:lang w:val="fr-FR"/>
        </w:rPr>
      </w:pPr>
      <w:r w:rsidRPr="00A40479">
        <w:rPr>
          <w:lang w:val="fr-FR"/>
        </w:rPr>
        <w:t>Twitter</w:t>
      </w:r>
      <w:r w:rsidRPr="00A40479">
        <w:rPr>
          <w:lang w:val="fr-FR"/>
        </w:rPr>
        <w:tab/>
      </w:r>
      <w:r w:rsidRPr="004549CD">
        <w:rPr>
          <w:rStyle w:val="Hyperlink"/>
          <w:color w:val="auto"/>
          <w:u w:val="none"/>
          <w:lang w:val="fr-FR"/>
        </w:rPr>
        <w:t>@CASABriefing</w:t>
      </w:r>
    </w:p>
    <w:sectPr w:rsidR="00860F8E" w:rsidRPr="00A40479" w:rsidSect="00860F8E">
      <w:headerReference w:type="even" r:id="rId47"/>
      <w:headerReference w:type="default" r:id="rId48"/>
      <w:footerReference w:type="even" r:id="rId49"/>
      <w:footerReference w:type="default" r:id="rId5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CCCB2" w14:textId="77777777" w:rsidR="00B34FE6" w:rsidRDefault="00B34FE6">
      <w:pPr>
        <w:spacing w:after="0"/>
      </w:pPr>
      <w:r>
        <w:separator/>
      </w:r>
    </w:p>
  </w:endnote>
  <w:endnote w:type="continuationSeparator" w:id="0">
    <w:p w14:paraId="017E9E15" w14:textId="77777777" w:rsidR="00B34FE6" w:rsidRDefault="00B34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heSans-B3Light">
    <w:altName w:val="Calibri"/>
    <w:panose1 w:val="00000000000000000000"/>
    <w:charset w:val="4D"/>
    <w:family w:val="auto"/>
    <w:notTrueType/>
    <w:pitch w:val="default"/>
    <w:sig w:usb0="00000003" w:usb1="00000000" w:usb2="00000000" w:usb3="00000000" w:csb0="00000001" w:csb1="00000000"/>
  </w:font>
  <w:font w:name="Helvetica Neue L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00"/>
    <w:family w:val="roman"/>
    <w:notTrueType/>
    <w:pitch w:val="variable"/>
    <w:sig w:usb0="00000003" w:usb1="00000000" w:usb2="00000000" w:usb3="00000000" w:csb0="00000001" w:csb1="00000000"/>
  </w:font>
  <w:font w:name="Ubuntu Light">
    <w:altName w:val="Calibri"/>
    <w:charset w:val="00"/>
    <w:family w:val="auto"/>
    <w:pitch w:val="default"/>
  </w:font>
  <w:font w:name="Robot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etric415BT-LiteA">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eometric415BT-Black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B23F9" w14:textId="5FBBAC60" w:rsidR="00B34FE6" w:rsidRPr="00466E01" w:rsidRDefault="00B34FE6" w:rsidP="00466E01">
    <w:pPr>
      <w:pStyle w:val="Footer"/>
      <w:ind w:right="360"/>
    </w:pPr>
    <w:r>
      <w:fldChar w:fldCharType="begin"/>
    </w:r>
    <w:r>
      <w:instrText xml:space="preserve"> PAGE   \* MERGEFORMAT </w:instrText>
    </w:r>
    <w:r>
      <w:fldChar w:fldCharType="separate"/>
    </w:r>
    <w:r>
      <w:rPr>
        <w:noProof/>
      </w:rPr>
      <w:t>2</w:t>
    </w:r>
    <w:r>
      <w:fldChar w:fldCharType="end"/>
    </w:r>
    <w:r>
      <w:tab/>
      <w:t>CASA Annual Report 2017–18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5DAC9" w14:textId="77777777" w:rsidR="00B34FE6" w:rsidRDefault="00B34FE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47A7" w14:textId="77777777" w:rsidR="00B34FE6" w:rsidRDefault="00B34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A59C" w14:textId="3EE9CFCE" w:rsidR="00B34FE6" w:rsidRDefault="00B34FE6">
    <w:pPr>
      <w:pStyle w:val="Footer"/>
    </w:pPr>
    <w:r>
      <w:t>CASA Annual Report 2017–18</w:t>
    </w:r>
    <w:r>
      <w:tab/>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B8FF" w14:textId="54163726" w:rsidR="00B34FE6" w:rsidRDefault="00B34FE6">
    <w:pPr>
      <w:pStyle w:val="Footer"/>
      <w:ind w:right="360"/>
    </w:pPr>
    <w:r>
      <w:fldChar w:fldCharType="begin"/>
    </w:r>
    <w:r>
      <w:instrText xml:space="preserve"> PAGE   \* MERGEFORMAT </w:instrText>
    </w:r>
    <w:r>
      <w:fldChar w:fldCharType="separate"/>
    </w:r>
    <w:r>
      <w:rPr>
        <w:noProof/>
      </w:rPr>
      <w:t>16</w:t>
    </w:r>
    <w:r>
      <w:rPr>
        <w:noProof/>
      </w:rPr>
      <w:fldChar w:fldCharType="end"/>
    </w:r>
    <w:r>
      <w:tab/>
      <w:t>CASA Annual Report 2017–18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94C0" w14:textId="50FB034B" w:rsidR="00B34FE6" w:rsidRDefault="00B34FE6">
    <w:pPr>
      <w:pStyle w:val="Footer"/>
    </w:pPr>
    <w:r>
      <w:t>CASA Annual Report 2017–18</w:t>
    </w:r>
    <w:r>
      <w:tab/>
    </w:r>
    <w:r>
      <w:fldChar w:fldCharType="begin"/>
    </w:r>
    <w:r>
      <w:instrText xml:space="preserve"> PAGE   \* MERGEFORMAT </w:instrText>
    </w:r>
    <w:r>
      <w:fldChar w:fldCharType="separate"/>
    </w:r>
    <w:r>
      <w:rPr>
        <w:noProof/>
      </w:rPr>
      <w:t>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A894" w14:textId="77777777" w:rsidR="00B34FE6" w:rsidRDefault="00B34FE6">
    <w:pPr>
      <w:pStyle w:val="Footer"/>
      <w:tabs>
        <w:tab w:val="clear" w:pos="9072"/>
        <w:tab w:val="left" w:pos="7958"/>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07641" w14:textId="05D60656" w:rsidR="00B34FE6" w:rsidRDefault="00B34FE6">
    <w:pPr>
      <w:pStyle w:val="Footer"/>
      <w:rPr>
        <w:rStyle w:val="FooterChar1"/>
      </w:rPr>
    </w:pPr>
    <w:r>
      <w:rPr>
        <w:rStyle w:val="FooterChar1"/>
      </w:rPr>
      <w:t>CASA Annual Report 2017–18</w:t>
    </w:r>
    <w:r>
      <w:rPr>
        <w:rStyle w:val="FooterChar1"/>
      </w:rPr>
      <w:tab/>
    </w:r>
    <w:r>
      <w:rPr>
        <w:rStyle w:val="FooterChar1"/>
      </w:rPr>
      <w:fldChar w:fldCharType="begin"/>
    </w:r>
    <w:r>
      <w:rPr>
        <w:rStyle w:val="FooterChar1"/>
      </w:rPr>
      <w:instrText xml:space="preserve"> PAGE   \* MERGEFORMAT </w:instrText>
    </w:r>
    <w:r>
      <w:rPr>
        <w:rStyle w:val="FooterChar1"/>
      </w:rPr>
      <w:fldChar w:fldCharType="separate"/>
    </w:r>
    <w:r>
      <w:rPr>
        <w:rStyle w:val="FooterChar1"/>
        <w:noProof/>
      </w:rPr>
      <w:t>15</w:t>
    </w:r>
    <w:r>
      <w:rPr>
        <w:rStyle w:val="FooterChar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1EA2" w14:textId="7B93E059" w:rsidR="00B34FE6" w:rsidRDefault="00B34FE6">
    <w:pPr>
      <w:pStyle w:val="Footer"/>
      <w:ind w:right="360"/>
    </w:pPr>
    <w:r>
      <w:fldChar w:fldCharType="begin"/>
    </w:r>
    <w:r>
      <w:instrText xml:space="preserve"> PAGE   \* MERGEFORMAT </w:instrText>
    </w:r>
    <w:r>
      <w:fldChar w:fldCharType="separate"/>
    </w:r>
    <w:r>
      <w:rPr>
        <w:noProof/>
      </w:rPr>
      <w:t>22</w:t>
    </w:r>
    <w:r>
      <w:rPr>
        <w:noProof/>
      </w:rPr>
      <w:fldChar w:fldCharType="end"/>
    </w:r>
    <w:r>
      <w:tab/>
      <w:t>CASA Annual Report 2017–18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0D6C9" w14:textId="1D0CD0AC" w:rsidR="00B34FE6" w:rsidRDefault="00B34FE6">
    <w:pPr>
      <w:pStyle w:val="Footer"/>
    </w:pPr>
    <w:r>
      <w:t>CASA Annual Report 2017–18</w:t>
    </w:r>
    <w:r>
      <w:tab/>
    </w:r>
    <w:r>
      <w:fldChar w:fldCharType="begin"/>
    </w:r>
    <w:r>
      <w:instrText xml:space="preserve"> PAGE   \* MERGEFORMAT </w:instrText>
    </w:r>
    <w:r>
      <w:fldChar w:fldCharType="separate"/>
    </w:r>
    <w:r>
      <w:rPr>
        <w:noProof/>
      </w:rPr>
      <w:t>63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9332" w14:textId="5979AD35" w:rsidR="00B34FE6" w:rsidRDefault="00B34FE6">
    <w:pPr>
      <w:pStyle w:val="Footer"/>
    </w:pPr>
    <w:r>
      <w:t>CASA Annual Report 2014–15</w:t>
    </w:r>
    <w:r>
      <w:tab/>
    </w:r>
    <w:r>
      <w:fldChar w:fldCharType="begin"/>
    </w:r>
    <w:r>
      <w:instrText xml:space="preserve"> PAGE   \* MERGEFORMAT </w:instrText>
    </w:r>
    <w:r>
      <w:fldChar w:fldCharType="separate"/>
    </w:r>
    <w:r>
      <w:rPr>
        <w:noProof/>
      </w:rPr>
      <w:t>149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21F29" w14:textId="77777777" w:rsidR="00B34FE6" w:rsidRDefault="00B34FE6">
      <w:pPr>
        <w:spacing w:after="0"/>
      </w:pPr>
      <w:r>
        <w:separator/>
      </w:r>
    </w:p>
  </w:footnote>
  <w:footnote w:type="continuationSeparator" w:id="0">
    <w:p w14:paraId="42A9E89F" w14:textId="77777777" w:rsidR="00B34FE6" w:rsidRDefault="00B34F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B5F4" w14:textId="77777777" w:rsidR="00B34FE6" w:rsidRDefault="00B34F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F50F" w14:textId="77777777" w:rsidR="00B34FE6" w:rsidRDefault="00B34FE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18E67" w14:textId="77777777" w:rsidR="00B34FE6" w:rsidRDefault="00B34FE6">
    <w:pPr>
      <w:pStyle w:val="Header"/>
    </w:pPr>
    <w:r>
      <w:t xml:space="preserve">Part 4: </w:t>
    </w:r>
    <w:proofErr w:type="gramStart"/>
    <w:r>
      <w:t>Other</w:t>
    </w:r>
    <w:proofErr w:type="gramEnd"/>
    <w:r>
      <w:t xml:space="preserve"> accountability reporting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021A" w14:textId="77777777" w:rsidR="00B34FE6" w:rsidRDefault="00B34FE6">
    <w:pPr>
      <w:pStyle w:val="Header"/>
      <w:jc w:val="right"/>
    </w:pPr>
    <w:r>
      <w:t xml:space="preserve">Part 4: </w:t>
    </w:r>
    <w:proofErr w:type="gramStart"/>
    <w:r>
      <w:t>Other</w:t>
    </w:r>
    <w:proofErr w:type="gramEnd"/>
    <w:r>
      <w:t xml:space="preserve"> accountability reporting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106DE" w14:textId="77777777" w:rsidR="00B34FE6" w:rsidRDefault="00B34FE6">
    <w:pPr>
      <w:pStyle w:val="Header"/>
    </w:pPr>
    <w:r>
      <w:t>Part 6: Appendices and references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79A06" w14:textId="77777777" w:rsidR="00B34FE6" w:rsidRDefault="00B34FE6">
    <w:pPr>
      <w:pStyle w:val="Header"/>
      <w:jc w:val="right"/>
    </w:pPr>
    <w:r>
      <w:t>Part 6: Appendices and references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F6E7C" w14:textId="77777777" w:rsidR="00B34FE6" w:rsidRDefault="00B34FE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506C" w14:textId="77777777" w:rsidR="00B34FE6" w:rsidRDefault="00B34FE6">
    <w:pPr>
      <w:pStyle w:val="Header"/>
    </w:pPr>
    <w:r>
      <w:t>Part 6: Appendices and references</w:t>
    </w:r>
  </w:p>
  <w:p w14:paraId="429FEA78" w14:textId="77777777" w:rsidR="00B34FE6" w:rsidRDefault="00B34FE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2FBCC" w14:textId="77777777" w:rsidR="00B34FE6" w:rsidRDefault="00B34FE6">
    <w:pPr>
      <w:pStyle w:val="Header"/>
      <w:jc w:val="right"/>
    </w:pPr>
    <w:r>
      <w:t>Part 6: Appendices and references</w:t>
    </w:r>
  </w:p>
  <w:p w14:paraId="4222B2DA" w14:textId="77777777" w:rsidR="00B34FE6" w:rsidRDefault="00B34FE6"/>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64F88" w14:textId="77777777" w:rsidR="00B34FE6" w:rsidRDefault="00B34FE6">
    <w:pPr>
      <w:pStyle w:val="Header"/>
      <w:jc w:val="right"/>
    </w:pPr>
    <w:r>
      <w:t>Part 6: Appendices and references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09123" w14:textId="77777777" w:rsidR="00B34FE6" w:rsidRDefault="00B34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F544" w14:textId="77777777" w:rsidR="00B34FE6" w:rsidRDefault="00B34FE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5C7E" w14:textId="77777777" w:rsidR="00B34FE6" w:rsidRDefault="00B34FE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7E0AB" w14:textId="77777777" w:rsidR="00B34FE6" w:rsidRDefault="00B34FE6">
    <w:pPr>
      <w:pStyle w:val="Header"/>
    </w:pPr>
    <w:r>
      <w:t>Part 1: Overview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A737" w14:textId="77777777" w:rsidR="00B34FE6" w:rsidRDefault="00B34FE6">
    <w:pPr>
      <w:pStyle w:val="Header"/>
      <w:jc w:val="right"/>
    </w:pPr>
    <w:r>
      <w:t>Part 1: Overview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3980" w14:textId="77777777" w:rsidR="00B34FE6" w:rsidRPr="00290F90" w:rsidRDefault="00B34FE6" w:rsidP="003130A5">
    <w:pPr>
      <w:pStyle w:val="Header"/>
    </w:pPr>
    <w:r>
      <w:t>Part 1: Overview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C54F" w14:textId="77777777" w:rsidR="00B34FE6" w:rsidRDefault="00B34FE6">
    <w:pPr>
      <w:pStyle w:val="Header"/>
    </w:pPr>
    <w:r>
      <w:t>Part 3: Corporate governance and management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FFC7" w14:textId="77777777" w:rsidR="00B34FE6" w:rsidRDefault="00B34FE6">
    <w:pPr>
      <w:pStyle w:val="Header"/>
      <w:jc w:val="right"/>
    </w:pPr>
    <w:r>
      <w:t>Part 3: Corporate governance and management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69B0C" w14:textId="77777777" w:rsidR="00B34FE6" w:rsidRPr="000E1077" w:rsidRDefault="00B34FE6" w:rsidP="000E1077">
    <w:pPr>
      <w:pStyle w:val="Header"/>
    </w:pPr>
    <w:r>
      <w:t>Part 3: Corporate governance and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2B63" w14:textId="77777777" w:rsidR="00B34FE6" w:rsidRPr="000E1077" w:rsidRDefault="00B34FE6" w:rsidP="000E1077">
    <w:pPr>
      <w:pStyle w:val="Header"/>
      <w:jc w:val="right"/>
    </w:pPr>
    <w:r>
      <w:t>Part 3: Corporate governance and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36E1BC"/>
    <w:lvl w:ilvl="0">
      <w:start w:val="1"/>
      <w:numFmt w:val="bullet"/>
      <w:pStyle w:val="ListBullet"/>
      <w:lvlText w:val=""/>
      <w:lvlJc w:val="left"/>
      <w:pPr>
        <w:tabs>
          <w:tab w:val="num" w:pos="284"/>
        </w:tabs>
        <w:ind w:left="1134" w:hanging="283"/>
      </w:pPr>
      <w:rPr>
        <w:rFonts w:ascii="Symbol" w:hAnsi="Symbol" w:hint="default"/>
      </w:rPr>
    </w:lvl>
  </w:abstractNum>
  <w:abstractNum w:abstractNumId="1" w15:restartNumberingAfterBreak="0">
    <w:nsid w:val="00000001"/>
    <w:multiLevelType w:val="singleLevel"/>
    <w:tmpl w:val="00000000"/>
    <w:lvl w:ilvl="0">
      <w:start w:val="1"/>
      <w:numFmt w:val="bullet"/>
      <w:pStyle w:val="bulletintable"/>
      <w:lvlText w:val=""/>
      <w:lvlJc w:val="left"/>
      <w:pPr>
        <w:tabs>
          <w:tab w:val="num" w:pos="360"/>
        </w:tabs>
        <w:ind w:left="360" w:hanging="360"/>
      </w:pPr>
      <w:rPr>
        <w:rFonts w:ascii="Symbol" w:hAnsi="Symbol" w:hint="default"/>
        <w:b w:val="0"/>
        <w:i w:val="0"/>
        <w:sz w:val="20"/>
      </w:rPr>
    </w:lvl>
  </w:abstractNum>
  <w:abstractNum w:abstractNumId="2" w15:restartNumberingAfterBreak="0">
    <w:nsid w:val="00000003"/>
    <w:multiLevelType w:val="singleLevel"/>
    <w:tmpl w:val="1F08E9C2"/>
    <w:lvl w:ilvl="0">
      <w:start w:val="1"/>
      <w:numFmt w:val="bullet"/>
      <w:pStyle w:val="bulletlevel1"/>
      <w:lvlText w:val=""/>
      <w:lvlJc w:val="left"/>
      <w:pPr>
        <w:tabs>
          <w:tab w:val="num" w:pos="360"/>
        </w:tabs>
        <w:ind w:left="360" w:hanging="360"/>
      </w:pPr>
      <w:rPr>
        <w:rFonts w:ascii="Symbol" w:hAnsi="Symbol" w:hint="default"/>
        <w:sz w:val="20"/>
      </w:rPr>
    </w:lvl>
  </w:abstractNum>
  <w:abstractNum w:abstractNumId="3" w15:restartNumberingAfterBreak="0">
    <w:nsid w:val="074A4348"/>
    <w:multiLevelType w:val="hybridMultilevel"/>
    <w:tmpl w:val="AD7CED9C"/>
    <w:lvl w:ilvl="0" w:tplc="14CC1A1E">
      <w:start w:val="1"/>
      <w:numFmt w:val="bullet"/>
      <w:pStyle w:val="TableBulletLevel2"/>
      <w:lvlText w:val="-"/>
      <w:lvlJc w:val="left"/>
      <w:pPr>
        <w:tabs>
          <w:tab w:val="num" w:pos="720"/>
        </w:tabs>
        <w:ind w:left="720" w:hanging="360"/>
      </w:pPr>
      <w:rPr>
        <w:rFonts w:ascii="Verdana" w:hAnsi="Verdana"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95FF8"/>
    <w:multiLevelType w:val="hybridMultilevel"/>
    <w:tmpl w:val="ED427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10577B"/>
    <w:multiLevelType w:val="hybridMultilevel"/>
    <w:tmpl w:val="5FFA932C"/>
    <w:lvl w:ilvl="0" w:tplc="79F4ED26">
      <w:start w:val="1"/>
      <w:numFmt w:val="bullet"/>
      <w:pStyle w:val="HighlightsBullet"/>
      <w:lvlText w:val="•"/>
      <w:lvlJc w:val="left"/>
      <w:pPr>
        <w:tabs>
          <w:tab w:val="num" w:pos="720"/>
        </w:tabs>
        <w:ind w:left="720" w:hanging="360"/>
      </w:pPr>
      <w:rPr>
        <w:rFonts w:ascii="Verdana" w:hAnsi="Verdana"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1B1F3B"/>
    <w:multiLevelType w:val="hybridMultilevel"/>
    <w:tmpl w:val="785CD4CA"/>
    <w:lvl w:ilvl="0" w:tplc="90825E16">
      <w:start w:val="1"/>
      <w:numFmt w:val="bullet"/>
      <w:pStyle w:val="Style8"/>
      <w:lvlText w:val=""/>
      <w:lvlJc w:val="left"/>
      <w:pPr>
        <w:tabs>
          <w:tab w:val="num" w:pos="360"/>
        </w:tabs>
        <w:ind w:left="360" w:hanging="360"/>
      </w:pPr>
      <w:rPr>
        <w:rFonts w:ascii="Symbol" w:hAnsi="Symbol" w:hint="default"/>
      </w:rPr>
    </w:lvl>
    <w:lvl w:ilvl="1" w:tplc="0C090003">
      <w:start w:val="1"/>
      <w:numFmt w:val="bullet"/>
      <w:lvlText w:val="o"/>
      <w:lvlJc w:val="left"/>
      <w:pPr>
        <w:tabs>
          <w:tab w:val="num" w:pos="644"/>
        </w:tabs>
        <w:ind w:left="644"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15A23994">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083497"/>
    <w:multiLevelType w:val="hybridMultilevel"/>
    <w:tmpl w:val="C95087AE"/>
    <w:lvl w:ilvl="0" w:tplc="27AC746E">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693082"/>
    <w:multiLevelType w:val="hybridMultilevel"/>
    <w:tmpl w:val="45D800C6"/>
    <w:lvl w:ilvl="0" w:tplc="0809000F">
      <w:start w:val="1"/>
      <w:numFmt w:val="decimal"/>
      <w:lvlText w:val="%1."/>
      <w:lvlJc w:val="left"/>
      <w:pPr>
        <w:tabs>
          <w:tab w:val="num" w:pos="360"/>
        </w:tabs>
        <w:ind w:left="360" w:hanging="360"/>
      </w:pPr>
      <w:rPr>
        <w:rFonts w:hint="default"/>
        <w:color w:val="00000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7F5280"/>
    <w:multiLevelType w:val="hybridMultilevel"/>
    <w:tmpl w:val="4D869440"/>
    <w:lvl w:ilvl="0" w:tplc="DD0CA450">
      <w:start w:val="1"/>
      <w:numFmt w:val="bullet"/>
      <w:pStyle w:val="Bullet"/>
      <w:lvlText w:val="•"/>
      <w:lvlJc w:val="left"/>
      <w:pPr>
        <w:tabs>
          <w:tab w:val="num" w:pos="360"/>
        </w:tabs>
        <w:ind w:left="360" w:hanging="360"/>
      </w:pPr>
      <w:rPr>
        <w:rFonts w:ascii="Times New Roman" w:hAnsi="Times New Roman" w:hint="default"/>
        <w:color w:val="00000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4789C"/>
    <w:multiLevelType w:val="singleLevel"/>
    <w:tmpl w:val="B77A4D7A"/>
    <w:lvl w:ilvl="0">
      <w:start w:val="1"/>
      <w:numFmt w:val="bullet"/>
      <w:pStyle w:val="TableDash"/>
      <w:lvlText w:val=""/>
      <w:lvlJc w:val="left"/>
      <w:pPr>
        <w:tabs>
          <w:tab w:val="num" w:pos="644"/>
        </w:tabs>
        <w:ind w:left="644" w:hanging="360"/>
      </w:pPr>
      <w:rPr>
        <w:rFonts w:ascii="Symbol" w:hAnsi="Symbol" w:hint="default"/>
        <w:sz w:val="16"/>
      </w:rPr>
    </w:lvl>
  </w:abstractNum>
  <w:abstractNum w:abstractNumId="11" w15:restartNumberingAfterBreak="0">
    <w:nsid w:val="26F40B51"/>
    <w:multiLevelType w:val="hybridMultilevel"/>
    <w:tmpl w:val="0778D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A2C60"/>
    <w:multiLevelType w:val="hybridMultilevel"/>
    <w:tmpl w:val="32D6BC6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F4658D0"/>
    <w:multiLevelType w:val="hybridMultilevel"/>
    <w:tmpl w:val="C8EA310C"/>
    <w:lvl w:ilvl="0" w:tplc="FFFFFFFF">
      <w:start w:val="1"/>
      <w:numFmt w:val="bullet"/>
      <w:pStyle w:val="bulletlevel1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25C29"/>
    <w:multiLevelType w:val="hybridMultilevel"/>
    <w:tmpl w:val="D7EAD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DB0546"/>
    <w:multiLevelType w:val="hybridMultilevel"/>
    <w:tmpl w:val="1B56F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BC59D9"/>
    <w:multiLevelType w:val="hybridMultilevel"/>
    <w:tmpl w:val="7AE63C38"/>
    <w:lvl w:ilvl="0" w:tplc="FFFFFFFF">
      <w:start w:val="1"/>
      <w:numFmt w:val="bullet"/>
      <w:pStyle w:val="bulletintable2"/>
      <w:lvlText w:val="-"/>
      <w:lvlJc w:val="left"/>
      <w:pPr>
        <w:tabs>
          <w:tab w:val="num" w:pos="567"/>
        </w:tabs>
        <w:ind w:left="567"/>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E6672C"/>
    <w:multiLevelType w:val="multilevel"/>
    <w:tmpl w:val="729645AC"/>
    <w:lvl w:ilvl="0">
      <w:start w:val="1"/>
      <w:numFmt w:val="decimal"/>
      <w:pStyle w:val="Heading1NumberPBB"/>
      <w:lvlText w:val="%1"/>
      <w:lvlJc w:val="left"/>
      <w:pPr>
        <w:ind w:left="924" w:hanging="924"/>
      </w:pPr>
      <w:rPr>
        <w:rFonts w:cs="Times New Roman" w:hint="default"/>
      </w:rPr>
    </w:lvl>
    <w:lvl w:ilvl="1">
      <w:start w:val="1"/>
      <w:numFmt w:val="decimal"/>
      <w:pStyle w:val="Heading2Number"/>
      <w:lvlText w:val="%1.%2"/>
      <w:lvlJc w:val="left"/>
      <w:pPr>
        <w:ind w:left="924" w:hanging="924"/>
      </w:pPr>
      <w:rPr>
        <w:rFonts w:cs="Times New Roman" w:hint="default"/>
      </w:rPr>
    </w:lvl>
    <w:lvl w:ilvl="2">
      <w:start w:val="1"/>
      <w:numFmt w:val="lowerRoman"/>
      <w:lvlText w:val="%3."/>
      <w:lvlJc w:val="right"/>
      <w:pPr>
        <w:ind w:left="924" w:hanging="924"/>
      </w:pPr>
      <w:rPr>
        <w:rFonts w:cs="Times New Roman" w:hint="default"/>
      </w:rPr>
    </w:lvl>
    <w:lvl w:ilvl="3">
      <w:start w:val="1"/>
      <w:numFmt w:val="decimal"/>
      <w:lvlText w:val="%4."/>
      <w:lvlJc w:val="left"/>
      <w:pPr>
        <w:ind w:left="924" w:hanging="924"/>
      </w:pPr>
      <w:rPr>
        <w:rFonts w:cs="Times New Roman" w:hint="default"/>
      </w:rPr>
    </w:lvl>
    <w:lvl w:ilvl="4">
      <w:start w:val="1"/>
      <w:numFmt w:val="lowerLetter"/>
      <w:lvlText w:val="%5."/>
      <w:lvlJc w:val="left"/>
      <w:pPr>
        <w:ind w:left="924" w:hanging="924"/>
      </w:pPr>
      <w:rPr>
        <w:rFonts w:cs="Times New Roman" w:hint="default"/>
      </w:rPr>
    </w:lvl>
    <w:lvl w:ilvl="5">
      <w:start w:val="1"/>
      <w:numFmt w:val="lowerRoman"/>
      <w:lvlText w:val="%6."/>
      <w:lvlJc w:val="right"/>
      <w:pPr>
        <w:ind w:left="924" w:hanging="924"/>
      </w:pPr>
      <w:rPr>
        <w:rFonts w:cs="Times New Roman" w:hint="default"/>
      </w:rPr>
    </w:lvl>
    <w:lvl w:ilvl="6">
      <w:start w:val="1"/>
      <w:numFmt w:val="decimal"/>
      <w:lvlText w:val="%7."/>
      <w:lvlJc w:val="left"/>
      <w:pPr>
        <w:ind w:left="924" w:hanging="924"/>
      </w:pPr>
      <w:rPr>
        <w:rFonts w:cs="Times New Roman" w:hint="default"/>
      </w:rPr>
    </w:lvl>
    <w:lvl w:ilvl="7">
      <w:start w:val="1"/>
      <w:numFmt w:val="lowerLetter"/>
      <w:lvlText w:val="%8."/>
      <w:lvlJc w:val="left"/>
      <w:pPr>
        <w:ind w:left="924" w:hanging="924"/>
      </w:pPr>
      <w:rPr>
        <w:rFonts w:cs="Times New Roman" w:hint="default"/>
      </w:rPr>
    </w:lvl>
    <w:lvl w:ilvl="8">
      <w:start w:val="1"/>
      <w:numFmt w:val="lowerRoman"/>
      <w:lvlText w:val="%9."/>
      <w:lvlJc w:val="right"/>
      <w:pPr>
        <w:ind w:left="924" w:hanging="924"/>
      </w:pPr>
      <w:rPr>
        <w:rFonts w:cs="Times New Roman" w:hint="default"/>
      </w:rPr>
    </w:lvl>
  </w:abstractNum>
  <w:abstractNum w:abstractNumId="18" w15:restartNumberingAfterBreak="0">
    <w:nsid w:val="41004DC9"/>
    <w:multiLevelType w:val="hybridMultilevel"/>
    <w:tmpl w:val="9EAA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727DD8"/>
    <w:multiLevelType w:val="hybridMultilevel"/>
    <w:tmpl w:val="38184DE4"/>
    <w:lvl w:ilvl="0" w:tplc="AEE2A070">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8248B"/>
    <w:multiLevelType w:val="hybridMultilevel"/>
    <w:tmpl w:val="425AF49C"/>
    <w:lvl w:ilvl="0" w:tplc="349A68EE">
      <w:start w:val="1"/>
      <w:numFmt w:val="bullet"/>
      <w:pStyle w:val="TableBullet"/>
      <w:lvlText w:val="•"/>
      <w:lvlJc w:val="left"/>
      <w:pPr>
        <w:tabs>
          <w:tab w:val="num" w:pos="360"/>
        </w:tabs>
        <w:ind w:left="360" w:hanging="360"/>
      </w:pPr>
      <w:rPr>
        <w:rFonts w:ascii="Arial Narrow" w:hAnsi="Arial Narrow"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EB6015"/>
    <w:multiLevelType w:val="hybridMultilevel"/>
    <w:tmpl w:val="33664D32"/>
    <w:lvl w:ilvl="0" w:tplc="C64A90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A12C5B"/>
    <w:multiLevelType w:val="hybridMultilevel"/>
    <w:tmpl w:val="E57A0556"/>
    <w:lvl w:ilvl="0" w:tplc="302C6FAE">
      <w:start w:val="1"/>
      <w:numFmt w:val="bullet"/>
      <w:pStyle w:val="TableTick"/>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507CD8"/>
    <w:multiLevelType w:val="hybridMultilevel"/>
    <w:tmpl w:val="855A5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604531"/>
    <w:multiLevelType w:val="hybridMultilevel"/>
    <w:tmpl w:val="DF4C267A"/>
    <w:lvl w:ilvl="0" w:tplc="D0A84E24">
      <w:start w:val="1"/>
      <w:numFmt w:val="bullet"/>
      <w:pStyle w:val="B1"/>
      <w:lvlText w:val=""/>
      <w:lvlJc w:val="left"/>
      <w:pPr>
        <w:tabs>
          <w:tab w:val="num" w:pos="1140"/>
        </w:tabs>
        <w:ind w:left="1140" w:hanging="360"/>
      </w:pPr>
      <w:rPr>
        <w:rFonts w:ascii="Symbol" w:hAnsi="Symbol" w:hint="default"/>
        <w:sz w:val="24"/>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4824D04"/>
    <w:multiLevelType w:val="hybridMultilevel"/>
    <w:tmpl w:val="B5FE3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7F6A6A"/>
    <w:multiLevelType w:val="hybridMultilevel"/>
    <w:tmpl w:val="529EF1CE"/>
    <w:lvl w:ilvl="0" w:tplc="BFBAC27C">
      <w:start w:val="1"/>
      <w:numFmt w:val="bullet"/>
      <w:pStyle w:v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433010"/>
    <w:multiLevelType w:val="multilevel"/>
    <w:tmpl w:val="870C4018"/>
    <w:styleLink w:val="CurrentList1"/>
    <w:lvl w:ilvl="0">
      <w:start w:val="1"/>
      <w:numFmt w:val="bullet"/>
      <w:lvlText w:val=""/>
      <w:lvlJc w:val="left"/>
      <w:pPr>
        <w:tabs>
          <w:tab w:val="num" w:pos="1191"/>
        </w:tabs>
        <w:ind w:left="720" w:firstLine="40"/>
      </w:pPr>
      <w:rPr>
        <w:rFonts w:ascii="Symbol" w:hAnsi="Symbol" w:hint="default"/>
      </w:rPr>
    </w:lvl>
    <w:lvl w:ilvl="1">
      <w:start w:val="1"/>
      <w:numFmt w:val="bullet"/>
      <w:lvlText w:val="o"/>
      <w:lvlJc w:val="left"/>
      <w:pPr>
        <w:tabs>
          <w:tab w:val="num" w:pos="2160"/>
        </w:tabs>
        <w:ind w:left="180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9D45B9B"/>
    <w:multiLevelType w:val="multilevel"/>
    <w:tmpl w:val="83B8CDF4"/>
    <w:lvl w:ilvl="0">
      <w:start w:val="1"/>
      <w:numFmt w:val="decimal"/>
      <w:pStyle w:val="CASAChapterHeading1"/>
      <w:lvlText w:val="%1"/>
      <w:lvlJc w:val="left"/>
      <w:pPr>
        <w:ind w:left="567" w:hanging="567"/>
      </w:pPr>
      <w:rPr>
        <w:rFonts w:ascii="Arial" w:hAnsi="Arial" w:hint="default"/>
        <w:b/>
        <w:sz w:val="32"/>
      </w:rPr>
    </w:lvl>
    <w:lvl w:ilvl="1">
      <w:start w:val="1"/>
      <w:numFmt w:val="decimal"/>
      <w:pStyle w:val="CASAChapterHeading2"/>
      <w:lvlText w:val="%1.%2"/>
      <w:lvlJc w:val="left"/>
      <w:pPr>
        <w:ind w:left="1758" w:hanging="678"/>
      </w:pPr>
      <w:rPr>
        <w:rFonts w:hint="default"/>
      </w:rPr>
    </w:lvl>
    <w:lvl w:ilvl="2">
      <w:start w:val="1"/>
      <w:numFmt w:val="decimal"/>
      <w:pStyle w:val="CASAChapterHeading3"/>
      <w:lvlText w:val="%1.%2.%3"/>
      <w:lvlJc w:val="right"/>
      <w:pPr>
        <w:ind w:left="1219" w:hanging="793"/>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ASAChapterHeading4"/>
      <w:lvlText w:val="%1.%2.%3.%4"/>
      <w:lvlJc w:val="left"/>
      <w:pPr>
        <w:ind w:left="567"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0A02422"/>
    <w:multiLevelType w:val="hybridMultilevel"/>
    <w:tmpl w:val="ADA07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762B47"/>
    <w:multiLevelType w:val="hybridMultilevel"/>
    <w:tmpl w:val="E1F8A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BD78F6"/>
    <w:multiLevelType w:val="hybridMultilevel"/>
    <w:tmpl w:val="0E28982A"/>
    <w:lvl w:ilvl="0" w:tplc="BCCC7B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A1E3DC6"/>
    <w:multiLevelType w:val="hybridMultilevel"/>
    <w:tmpl w:val="CD9ECF3C"/>
    <w:lvl w:ilvl="0" w:tplc="CAFA8378">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472D4B"/>
    <w:multiLevelType w:val="hybridMultilevel"/>
    <w:tmpl w:val="AF586E94"/>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4" w15:restartNumberingAfterBreak="0">
    <w:nsid w:val="706F1BCD"/>
    <w:multiLevelType w:val="hybridMultilevel"/>
    <w:tmpl w:val="8F121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02397B"/>
    <w:multiLevelType w:val="singleLevel"/>
    <w:tmpl w:val="488C825A"/>
    <w:lvl w:ilvl="0">
      <w:start w:val="1"/>
      <w:numFmt w:val="bullet"/>
      <w:pStyle w:val="Dash"/>
      <w:lvlText w:val=""/>
      <w:lvlJc w:val="left"/>
      <w:pPr>
        <w:tabs>
          <w:tab w:val="num" w:pos="717"/>
        </w:tabs>
        <w:ind w:left="717" w:hanging="360"/>
      </w:pPr>
      <w:rPr>
        <w:rFonts w:ascii="Symbol" w:hAnsi="Symbol" w:hint="default"/>
        <w:sz w:val="16"/>
      </w:rPr>
    </w:lvl>
  </w:abstractNum>
  <w:abstractNum w:abstractNumId="36" w15:restartNumberingAfterBreak="0">
    <w:nsid w:val="79E50D6A"/>
    <w:multiLevelType w:val="hybridMultilevel"/>
    <w:tmpl w:val="AA82A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B71A72"/>
    <w:multiLevelType w:val="multilevel"/>
    <w:tmpl w:val="0C09001F"/>
    <w:styleLink w:val="1111116"/>
    <w:lvl w:ilvl="0">
      <w:start w:val="1"/>
      <w:numFmt w:val="decimal"/>
      <w:lvlText w:val="%1."/>
      <w:lvlJc w:val="left"/>
      <w:pPr>
        <w:tabs>
          <w:tab w:val="num" w:pos="360"/>
        </w:tabs>
        <w:ind w:left="360" w:hanging="360"/>
      </w:pPr>
      <w:rPr>
        <w:rFonts w:ascii="Times New Roman" w:hAnsi="Times New Roman" w:cs="Times New Roman"/>
        <w:b/>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7DB85095"/>
    <w:multiLevelType w:val="hybridMultilevel"/>
    <w:tmpl w:val="5DD06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5"/>
  </w:num>
  <w:num w:numId="4">
    <w:abstractNumId w:val="37"/>
  </w:num>
  <w:num w:numId="5">
    <w:abstractNumId w:val="10"/>
  </w:num>
  <w:num w:numId="6">
    <w:abstractNumId w:val="20"/>
  </w:num>
  <w:num w:numId="7">
    <w:abstractNumId w:val="5"/>
  </w:num>
  <w:num w:numId="8">
    <w:abstractNumId w:val="17"/>
  </w:num>
  <w:num w:numId="9">
    <w:abstractNumId w:val="2"/>
  </w:num>
  <w:num w:numId="10">
    <w:abstractNumId w:val="19"/>
  </w:num>
  <w:num w:numId="11">
    <w:abstractNumId w:val="24"/>
  </w:num>
  <w:num w:numId="12">
    <w:abstractNumId w:val="27"/>
  </w:num>
  <w:num w:numId="13">
    <w:abstractNumId w:val="6"/>
  </w:num>
  <w:num w:numId="14">
    <w:abstractNumId w:val="22"/>
  </w:num>
  <w:num w:numId="15">
    <w:abstractNumId w:val="3"/>
  </w:num>
  <w:num w:numId="16">
    <w:abstractNumId w:val="16"/>
  </w:num>
  <w:num w:numId="17">
    <w:abstractNumId w:val="0"/>
  </w:num>
  <w:num w:numId="18">
    <w:abstractNumId w:val="26"/>
  </w:num>
  <w:num w:numId="19">
    <w:abstractNumId w:val="13"/>
  </w:num>
  <w:num w:numId="20">
    <w:abstractNumId w:val="12"/>
  </w:num>
  <w:num w:numId="21">
    <w:abstractNumId w:val="32"/>
  </w:num>
  <w:num w:numId="22">
    <w:abstractNumId w:val="4"/>
  </w:num>
  <w:num w:numId="23">
    <w:abstractNumId w:val="28"/>
  </w:num>
  <w:num w:numId="24">
    <w:abstractNumId w:val="21"/>
  </w:num>
  <w:num w:numId="25">
    <w:abstractNumId w:val="15"/>
  </w:num>
  <w:num w:numId="26">
    <w:abstractNumId w:val="31"/>
  </w:num>
  <w:num w:numId="27">
    <w:abstractNumId w:val="33"/>
  </w:num>
  <w:num w:numId="28">
    <w:abstractNumId w:val="8"/>
  </w:num>
  <w:num w:numId="29">
    <w:abstractNumId w:val="36"/>
  </w:num>
  <w:num w:numId="30">
    <w:abstractNumId w:val="38"/>
  </w:num>
  <w:num w:numId="31">
    <w:abstractNumId w:val="14"/>
  </w:num>
  <w:num w:numId="32">
    <w:abstractNumId w:val="11"/>
  </w:num>
  <w:num w:numId="33">
    <w:abstractNumId w:val="18"/>
  </w:num>
  <w:num w:numId="34">
    <w:abstractNumId w:val="23"/>
  </w:num>
  <w:num w:numId="35">
    <w:abstractNumId w:val="25"/>
  </w:num>
  <w:num w:numId="36">
    <w:abstractNumId w:val="30"/>
  </w:num>
  <w:num w:numId="37">
    <w:abstractNumId w:val="34"/>
  </w:num>
  <w:num w:numId="38">
    <w:abstractNumId w:val="29"/>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720"/>
  <w:evenAndOddHeader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4D"/>
    <w:rsid w:val="00000971"/>
    <w:rsid w:val="000009BF"/>
    <w:rsid w:val="00000BFF"/>
    <w:rsid w:val="00000EB3"/>
    <w:rsid w:val="000010E4"/>
    <w:rsid w:val="000012B1"/>
    <w:rsid w:val="00001849"/>
    <w:rsid w:val="00001C86"/>
    <w:rsid w:val="000020FA"/>
    <w:rsid w:val="00002168"/>
    <w:rsid w:val="00002892"/>
    <w:rsid w:val="000029D0"/>
    <w:rsid w:val="000035D2"/>
    <w:rsid w:val="00004B55"/>
    <w:rsid w:val="00006508"/>
    <w:rsid w:val="00007BC8"/>
    <w:rsid w:val="00007CFC"/>
    <w:rsid w:val="00010DA4"/>
    <w:rsid w:val="0001191C"/>
    <w:rsid w:val="0001206F"/>
    <w:rsid w:val="000122B8"/>
    <w:rsid w:val="0001248E"/>
    <w:rsid w:val="000125B7"/>
    <w:rsid w:val="000128AC"/>
    <w:rsid w:val="0001346B"/>
    <w:rsid w:val="00014B91"/>
    <w:rsid w:val="000157C1"/>
    <w:rsid w:val="00016268"/>
    <w:rsid w:val="000163A5"/>
    <w:rsid w:val="00016FD8"/>
    <w:rsid w:val="00016FF0"/>
    <w:rsid w:val="000178FD"/>
    <w:rsid w:val="00017C60"/>
    <w:rsid w:val="00017DA8"/>
    <w:rsid w:val="00017ED6"/>
    <w:rsid w:val="000209E0"/>
    <w:rsid w:val="0002113D"/>
    <w:rsid w:val="000225CD"/>
    <w:rsid w:val="000249E1"/>
    <w:rsid w:val="00026241"/>
    <w:rsid w:val="0002675E"/>
    <w:rsid w:val="000268F9"/>
    <w:rsid w:val="00026B22"/>
    <w:rsid w:val="00026EE2"/>
    <w:rsid w:val="00027455"/>
    <w:rsid w:val="00027AA2"/>
    <w:rsid w:val="00030A2B"/>
    <w:rsid w:val="00030B7B"/>
    <w:rsid w:val="0003159A"/>
    <w:rsid w:val="00032A42"/>
    <w:rsid w:val="00032E8D"/>
    <w:rsid w:val="00033149"/>
    <w:rsid w:val="000331DC"/>
    <w:rsid w:val="00033833"/>
    <w:rsid w:val="000354F3"/>
    <w:rsid w:val="00035F95"/>
    <w:rsid w:val="00036721"/>
    <w:rsid w:val="00036DFB"/>
    <w:rsid w:val="00036F20"/>
    <w:rsid w:val="00037408"/>
    <w:rsid w:val="00040063"/>
    <w:rsid w:val="00040130"/>
    <w:rsid w:val="0004027D"/>
    <w:rsid w:val="000418A1"/>
    <w:rsid w:val="00041A23"/>
    <w:rsid w:val="000422F4"/>
    <w:rsid w:val="0004272F"/>
    <w:rsid w:val="00043DB6"/>
    <w:rsid w:val="00043EE4"/>
    <w:rsid w:val="00044400"/>
    <w:rsid w:val="00044676"/>
    <w:rsid w:val="00045969"/>
    <w:rsid w:val="00045D37"/>
    <w:rsid w:val="000471B4"/>
    <w:rsid w:val="00047409"/>
    <w:rsid w:val="000502C5"/>
    <w:rsid w:val="000512E6"/>
    <w:rsid w:val="00052106"/>
    <w:rsid w:val="00052600"/>
    <w:rsid w:val="00052A72"/>
    <w:rsid w:val="00052BC4"/>
    <w:rsid w:val="00053DEC"/>
    <w:rsid w:val="00053FD1"/>
    <w:rsid w:val="00054512"/>
    <w:rsid w:val="0005460E"/>
    <w:rsid w:val="000547A4"/>
    <w:rsid w:val="000547CC"/>
    <w:rsid w:val="0005633C"/>
    <w:rsid w:val="00056963"/>
    <w:rsid w:val="00056F3B"/>
    <w:rsid w:val="00057D01"/>
    <w:rsid w:val="00060752"/>
    <w:rsid w:val="00060944"/>
    <w:rsid w:val="00060E85"/>
    <w:rsid w:val="000617B8"/>
    <w:rsid w:val="00061928"/>
    <w:rsid w:val="00062514"/>
    <w:rsid w:val="00062C7A"/>
    <w:rsid w:val="00063155"/>
    <w:rsid w:val="000633A8"/>
    <w:rsid w:val="0006409E"/>
    <w:rsid w:val="000642DC"/>
    <w:rsid w:val="000642F2"/>
    <w:rsid w:val="0006466E"/>
    <w:rsid w:val="00064A5D"/>
    <w:rsid w:val="00064A74"/>
    <w:rsid w:val="00064B6C"/>
    <w:rsid w:val="00066AFD"/>
    <w:rsid w:val="000702DA"/>
    <w:rsid w:val="00070E42"/>
    <w:rsid w:val="00070FEE"/>
    <w:rsid w:val="0007127C"/>
    <w:rsid w:val="000716E0"/>
    <w:rsid w:val="00074890"/>
    <w:rsid w:val="00074B59"/>
    <w:rsid w:val="00074CFF"/>
    <w:rsid w:val="0007716B"/>
    <w:rsid w:val="000777F5"/>
    <w:rsid w:val="00080711"/>
    <w:rsid w:val="000811B1"/>
    <w:rsid w:val="0008147B"/>
    <w:rsid w:val="000819B1"/>
    <w:rsid w:val="00082BDB"/>
    <w:rsid w:val="00082D80"/>
    <w:rsid w:val="00084C97"/>
    <w:rsid w:val="00086FE5"/>
    <w:rsid w:val="000876AA"/>
    <w:rsid w:val="0008796A"/>
    <w:rsid w:val="00087B5F"/>
    <w:rsid w:val="00087CF8"/>
    <w:rsid w:val="000906E6"/>
    <w:rsid w:val="00090C19"/>
    <w:rsid w:val="00092746"/>
    <w:rsid w:val="000931F0"/>
    <w:rsid w:val="0009391F"/>
    <w:rsid w:val="00094EDA"/>
    <w:rsid w:val="000952E2"/>
    <w:rsid w:val="00095326"/>
    <w:rsid w:val="00096610"/>
    <w:rsid w:val="00096940"/>
    <w:rsid w:val="00096D8E"/>
    <w:rsid w:val="000972FF"/>
    <w:rsid w:val="00097909"/>
    <w:rsid w:val="00097F68"/>
    <w:rsid w:val="000A0204"/>
    <w:rsid w:val="000A04B1"/>
    <w:rsid w:val="000A1355"/>
    <w:rsid w:val="000A1B98"/>
    <w:rsid w:val="000A22E9"/>
    <w:rsid w:val="000A2BC6"/>
    <w:rsid w:val="000A2E91"/>
    <w:rsid w:val="000A33E2"/>
    <w:rsid w:val="000A3F8C"/>
    <w:rsid w:val="000A40C9"/>
    <w:rsid w:val="000A4AD3"/>
    <w:rsid w:val="000A4C07"/>
    <w:rsid w:val="000A4F08"/>
    <w:rsid w:val="000A52C8"/>
    <w:rsid w:val="000A5694"/>
    <w:rsid w:val="000A57C9"/>
    <w:rsid w:val="000A5937"/>
    <w:rsid w:val="000A5A23"/>
    <w:rsid w:val="000A5A56"/>
    <w:rsid w:val="000A6015"/>
    <w:rsid w:val="000A6623"/>
    <w:rsid w:val="000A70F7"/>
    <w:rsid w:val="000A73AA"/>
    <w:rsid w:val="000A7F81"/>
    <w:rsid w:val="000A7FB7"/>
    <w:rsid w:val="000B1221"/>
    <w:rsid w:val="000B1795"/>
    <w:rsid w:val="000B1ECD"/>
    <w:rsid w:val="000B2D9C"/>
    <w:rsid w:val="000B3119"/>
    <w:rsid w:val="000B4F9A"/>
    <w:rsid w:val="000B5C43"/>
    <w:rsid w:val="000B6276"/>
    <w:rsid w:val="000B6FB0"/>
    <w:rsid w:val="000B72DC"/>
    <w:rsid w:val="000C03F1"/>
    <w:rsid w:val="000C0565"/>
    <w:rsid w:val="000C09EA"/>
    <w:rsid w:val="000C0A15"/>
    <w:rsid w:val="000C4733"/>
    <w:rsid w:val="000C48BA"/>
    <w:rsid w:val="000D0186"/>
    <w:rsid w:val="000D01F0"/>
    <w:rsid w:val="000D0F3D"/>
    <w:rsid w:val="000D14A1"/>
    <w:rsid w:val="000D1D1B"/>
    <w:rsid w:val="000D349F"/>
    <w:rsid w:val="000D40CC"/>
    <w:rsid w:val="000D434B"/>
    <w:rsid w:val="000D4BBF"/>
    <w:rsid w:val="000D5028"/>
    <w:rsid w:val="000D5D3A"/>
    <w:rsid w:val="000D6458"/>
    <w:rsid w:val="000D67F9"/>
    <w:rsid w:val="000D757A"/>
    <w:rsid w:val="000D77BD"/>
    <w:rsid w:val="000D79EF"/>
    <w:rsid w:val="000D7CE7"/>
    <w:rsid w:val="000E0A9B"/>
    <w:rsid w:val="000E102C"/>
    <w:rsid w:val="000E1077"/>
    <w:rsid w:val="000E1496"/>
    <w:rsid w:val="000E154B"/>
    <w:rsid w:val="000E1FF9"/>
    <w:rsid w:val="000E3471"/>
    <w:rsid w:val="000E46B0"/>
    <w:rsid w:val="000E521B"/>
    <w:rsid w:val="000E533F"/>
    <w:rsid w:val="000E588B"/>
    <w:rsid w:val="000E6B3F"/>
    <w:rsid w:val="000E6CAF"/>
    <w:rsid w:val="000E6D91"/>
    <w:rsid w:val="000F03CC"/>
    <w:rsid w:val="000F0648"/>
    <w:rsid w:val="000F0C83"/>
    <w:rsid w:val="000F10B8"/>
    <w:rsid w:val="000F115F"/>
    <w:rsid w:val="000F17B2"/>
    <w:rsid w:val="000F1881"/>
    <w:rsid w:val="000F19A1"/>
    <w:rsid w:val="000F1BA8"/>
    <w:rsid w:val="000F1FB4"/>
    <w:rsid w:val="000F315C"/>
    <w:rsid w:val="000F442E"/>
    <w:rsid w:val="000F5328"/>
    <w:rsid w:val="000F5486"/>
    <w:rsid w:val="000F55BC"/>
    <w:rsid w:val="000F58F6"/>
    <w:rsid w:val="000F59FB"/>
    <w:rsid w:val="000F61DE"/>
    <w:rsid w:val="000F665E"/>
    <w:rsid w:val="000F6943"/>
    <w:rsid w:val="000F694A"/>
    <w:rsid w:val="000F722C"/>
    <w:rsid w:val="000F73B8"/>
    <w:rsid w:val="000F7705"/>
    <w:rsid w:val="000F7ECF"/>
    <w:rsid w:val="00100198"/>
    <w:rsid w:val="00100F28"/>
    <w:rsid w:val="0010100A"/>
    <w:rsid w:val="001022AB"/>
    <w:rsid w:val="001028FC"/>
    <w:rsid w:val="0010328B"/>
    <w:rsid w:val="001037D1"/>
    <w:rsid w:val="00103CE7"/>
    <w:rsid w:val="001048DC"/>
    <w:rsid w:val="001054CA"/>
    <w:rsid w:val="00105580"/>
    <w:rsid w:val="00107FAF"/>
    <w:rsid w:val="00110AC4"/>
    <w:rsid w:val="00110AE4"/>
    <w:rsid w:val="00110EDD"/>
    <w:rsid w:val="001110A6"/>
    <w:rsid w:val="00112217"/>
    <w:rsid w:val="0011223A"/>
    <w:rsid w:val="00114454"/>
    <w:rsid w:val="00115722"/>
    <w:rsid w:val="00115758"/>
    <w:rsid w:val="00115E3B"/>
    <w:rsid w:val="00116C58"/>
    <w:rsid w:val="00116CF6"/>
    <w:rsid w:val="00116E1E"/>
    <w:rsid w:val="00117AC3"/>
    <w:rsid w:val="00117ACA"/>
    <w:rsid w:val="00117FEB"/>
    <w:rsid w:val="001204F9"/>
    <w:rsid w:val="00120B2C"/>
    <w:rsid w:val="00121054"/>
    <w:rsid w:val="0012172A"/>
    <w:rsid w:val="00121A77"/>
    <w:rsid w:val="0012538E"/>
    <w:rsid w:val="00126129"/>
    <w:rsid w:val="00126437"/>
    <w:rsid w:val="001264B5"/>
    <w:rsid w:val="00126B0E"/>
    <w:rsid w:val="001270A5"/>
    <w:rsid w:val="0012729C"/>
    <w:rsid w:val="00130C3B"/>
    <w:rsid w:val="0013176F"/>
    <w:rsid w:val="00131C6F"/>
    <w:rsid w:val="00132383"/>
    <w:rsid w:val="00132500"/>
    <w:rsid w:val="00132546"/>
    <w:rsid w:val="00132694"/>
    <w:rsid w:val="00133CA0"/>
    <w:rsid w:val="00134336"/>
    <w:rsid w:val="00134B28"/>
    <w:rsid w:val="00134E33"/>
    <w:rsid w:val="00135E08"/>
    <w:rsid w:val="00137770"/>
    <w:rsid w:val="001404B6"/>
    <w:rsid w:val="00140B6F"/>
    <w:rsid w:val="00141EFD"/>
    <w:rsid w:val="0014242A"/>
    <w:rsid w:val="00142D82"/>
    <w:rsid w:val="0014426E"/>
    <w:rsid w:val="0014515B"/>
    <w:rsid w:val="0014772B"/>
    <w:rsid w:val="0014774D"/>
    <w:rsid w:val="00147A74"/>
    <w:rsid w:val="001502AA"/>
    <w:rsid w:val="00151747"/>
    <w:rsid w:val="00151BF3"/>
    <w:rsid w:val="00151FF2"/>
    <w:rsid w:val="001521E5"/>
    <w:rsid w:val="00153C03"/>
    <w:rsid w:val="00154032"/>
    <w:rsid w:val="00154041"/>
    <w:rsid w:val="00154138"/>
    <w:rsid w:val="00156069"/>
    <w:rsid w:val="001572D5"/>
    <w:rsid w:val="00157BE5"/>
    <w:rsid w:val="00160707"/>
    <w:rsid w:val="00160830"/>
    <w:rsid w:val="0016175C"/>
    <w:rsid w:val="0016221F"/>
    <w:rsid w:val="001625CF"/>
    <w:rsid w:val="00163371"/>
    <w:rsid w:val="00163B32"/>
    <w:rsid w:val="00164505"/>
    <w:rsid w:val="0016612D"/>
    <w:rsid w:val="00166B52"/>
    <w:rsid w:val="00167A79"/>
    <w:rsid w:val="001706B2"/>
    <w:rsid w:val="00171186"/>
    <w:rsid w:val="00171E94"/>
    <w:rsid w:val="001735AB"/>
    <w:rsid w:val="001738F3"/>
    <w:rsid w:val="00173E01"/>
    <w:rsid w:val="0017603B"/>
    <w:rsid w:val="0017614C"/>
    <w:rsid w:val="0017639C"/>
    <w:rsid w:val="00177495"/>
    <w:rsid w:val="00177792"/>
    <w:rsid w:val="0018059F"/>
    <w:rsid w:val="001806C7"/>
    <w:rsid w:val="00181042"/>
    <w:rsid w:val="00181A6A"/>
    <w:rsid w:val="0018215A"/>
    <w:rsid w:val="0018287A"/>
    <w:rsid w:val="001834BC"/>
    <w:rsid w:val="001840CD"/>
    <w:rsid w:val="00184D24"/>
    <w:rsid w:val="00186613"/>
    <w:rsid w:val="00187373"/>
    <w:rsid w:val="00190165"/>
    <w:rsid w:val="00190758"/>
    <w:rsid w:val="00190E62"/>
    <w:rsid w:val="00193B77"/>
    <w:rsid w:val="00193CA0"/>
    <w:rsid w:val="00194BB2"/>
    <w:rsid w:val="00194D55"/>
    <w:rsid w:val="001961D9"/>
    <w:rsid w:val="001969CE"/>
    <w:rsid w:val="001974AB"/>
    <w:rsid w:val="001A03CB"/>
    <w:rsid w:val="001A13CF"/>
    <w:rsid w:val="001A262E"/>
    <w:rsid w:val="001A30B0"/>
    <w:rsid w:val="001A358F"/>
    <w:rsid w:val="001A3A51"/>
    <w:rsid w:val="001A4C80"/>
    <w:rsid w:val="001A563F"/>
    <w:rsid w:val="001A57A2"/>
    <w:rsid w:val="001A5D33"/>
    <w:rsid w:val="001A6621"/>
    <w:rsid w:val="001A6ED9"/>
    <w:rsid w:val="001A7DB3"/>
    <w:rsid w:val="001B06CD"/>
    <w:rsid w:val="001B0700"/>
    <w:rsid w:val="001B07D7"/>
    <w:rsid w:val="001B1D8F"/>
    <w:rsid w:val="001B2A85"/>
    <w:rsid w:val="001B38EF"/>
    <w:rsid w:val="001B413B"/>
    <w:rsid w:val="001B4C2A"/>
    <w:rsid w:val="001B56AC"/>
    <w:rsid w:val="001B6298"/>
    <w:rsid w:val="001B6AFC"/>
    <w:rsid w:val="001C0611"/>
    <w:rsid w:val="001C0DD0"/>
    <w:rsid w:val="001C1077"/>
    <w:rsid w:val="001C1617"/>
    <w:rsid w:val="001C20B4"/>
    <w:rsid w:val="001C2401"/>
    <w:rsid w:val="001C2594"/>
    <w:rsid w:val="001C28BF"/>
    <w:rsid w:val="001C3849"/>
    <w:rsid w:val="001C3E5A"/>
    <w:rsid w:val="001C3F76"/>
    <w:rsid w:val="001C3FFE"/>
    <w:rsid w:val="001C431E"/>
    <w:rsid w:val="001C47B5"/>
    <w:rsid w:val="001C54E1"/>
    <w:rsid w:val="001C59FD"/>
    <w:rsid w:val="001C637D"/>
    <w:rsid w:val="001C6C6E"/>
    <w:rsid w:val="001D0721"/>
    <w:rsid w:val="001D0E66"/>
    <w:rsid w:val="001D125A"/>
    <w:rsid w:val="001D1A04"/>
    <w:rsid w:val="001D1AA8"/>
    <w:rsid w:val="001D1ADB"/>
    <w:rsid w:val="001D472E"/>
    <w:rsid w:val="001D5051"/>
    <w:rsid w:val="001D5930"/>
    <w:rsid w:val="001D7159"/>
    <w:rsid w:val="001D7AEB"/>
    <w:rsid w:val="001E0994"/>
    <w:rsid w:val="001E2965"/>
    <w:rsid w:val="001E2F4D"/>
    <w:rsid w:val="001E2FD2"/>
    <w:rsid w:val="001E361F"/>
    <w:rsid w:val="001E4C5A"/>
    <w:rsid w:val="001E5B09"/>
    <w:rsid w:val="001E69DD"/>
    <w:rsid w:val="001E70AB"/>
    <w:rsid w:val="001E7A7A"/>
    <w:rsid w:val="001F0B05"/>
    <w:rsid w:val="001F0C3C"/>
    <w:rsid w:val="001F1F74"/>
    <w:rsid w:val="001F4023"/>
    <w:rsid w:val="001F4251"/>
    <w:rsid w:val="001F456E"/>
    <w:rsid w:val="001F5B3D"/>
    <w:rsid w:val="001F6035"/>
    <w:rsid w:val="001F68FD"/>
    <w:rsid w:val="001F69F0"/>
    <w:rsid w:val="001F6EC9"/>
    <w:rsid w:val="001F73BE"/>
    <w:rsid w:val="001F759E"/>
    <w:rsid w:val="001F76BC"/>
    <w:rsid w:val="001F77E0"/>
    <w:rsid w:val="001F7E4D"/>
    <w:rsid w:val="002000B1"/>
    <w:rsid w:val="0020058E"/>
    <w:rsid w:val="002006E2"/>
    <w:rsid w:val="00201503"/>
    <w:rsid w:val="002018E8"/>
    <w:rsid w:val="00201D82"/>
    <w:rsid w:val="00201E20"/>
    <w:rsid w:val="00203A70"/>
    <w:rsid w:val="00203B4D"/>
    <w:rsid w:val="00204928"/>
    <w:rsid w:val="00204CDF"/>
    <w:rsid w:val="002072EA"/>
    <w:rsid w:val="0020783C"/>
    <w:rsid w:val="00210415"/>
    <w:rsid w:val="00210670"/>
    <w:rsid w:val="00210CD5"/>
    <w:rsid w:val="0021122F"/>
    <w:rsid w:val="002119BA"/>
    <w:rsid w:val="00212D56"/>
    <w:rsid w:val="0021385A"/>
    <w:rsid w:val="0021385F"/>
    <w:rsid w:val="00214633"/>
    <w:rsid w:val="00214692"/>
    <w:rsid w:val="002146C2"/>
    <w:rsid w:val="0021604F"/>
    <w:rsid w:val="002166A9"/>
    <w:rsid w:val="002168B5"/>
    <w:rsid w:val="0021692B"/>
    <w:rsid w:val="00216C8A"/>
    <w:rsid w:val="00221CC2"/>
    <w:rsid w:val="0022367C"/>
    <w:rsid w:val="00223DFC"/>
    <w:rsid w:val="002244BC"/>
    <w:rsid w:val="0022460B"/>
    <w:rsid w:val="002249D1"/>
    <w:rsid w:val="00224EE1"/>
    <w:rsid w:val="002252BF"/>
    <w:rsid w:val="00225DD1"/>
    <w:rsid w:val="00225EDD"/>
    <w:rsid w:val="00227C35"/>
    <w:rsid w:val="00230561"/>
    <w:rsid w:val="00231F01"/>
    <w:rsid w:val="002344A7"/>
    <w:rsid w:val="00235FFF"/>
    <w:rsid w:val="0023665C"/>
    <w:rsid w:val="00236930"/>
    <w:rsid w:val="00236AD9"/>
    <w:rsid w:val="00236BE2"/>
    <w:rsid w:val="00237D3B"/>
    <w:rsid w:val="00240703"/>
    <w:rsid w:val="00240F69"/>
    <w:rsid w:val="00241012"/>
    <w:rsid w:val="00242AE7"/>
    <w:rsid w:val="00242EAA"/>
    <w:rsid w:val="0024338C"/>
    <w:rsid w:val="002434D1"/>
    <w:rsid w:val="00243C5A"/>
    <w:rsid w:val="00243DEB"/>
    <w:rsid w:val="00244343"/>
    <w:rsid w:val="00244FA8"/>
    <w:rsid w:val="00245479"/>
    <w:rsid w:val="00245BD2"/>
    <w:rsid w:val="00245C91"/>
    <w:rsid w:val="00245E6E"/>
    <w:rsid w:val="00245F28"/>
    <w:rsid w:val="0024606B"/>
    <w:rsid w:val="00246391"/>
    <w:rsid w:val="0024663B"/>
    <w:rsid w:val="002466AF"/>
    <w:rsid w:val="00247AEA"/>
    <w:rsid w:val="00251206"/>
    <w:rsid w:val="0025154B"/>
    <w:rsid w:val="00252C57"/>
    <w:rsid w:val="00252C89"/>
    <w:rsid w:val="00254FA4"/>
    <w:rsid w:val="00255AF2"/>
    <w:rsid w:val="0025613F"/>
    <w:rsid w:val="002569DA"/>
    <w:rsid w:val="002573AE"/>
    <w:rsid w:val="00260129"/>
    <w:rsid w:val="0026022A"/>
    <w:rsid w:val="00260861"/>
    <w:rsid w:val="00260D7F"/>
    <w:rsid w:val="00261109"/>
    <w:rsid w:val="002616DC"/>
    <w:rsid w:val="002622B5"/>
    <w:rsid w:val="00262818"/>
    <w:rsid w:val="00262D27"/>
    <w:rsid w:val="00263241"/>
    <w:rsid w:val="00263903"/>
    <w:rsid w:val="002648E7"/>
    <w:rsid w:val="00264A0F"/>
    <w:rsid w:val="00264A7B"/>
    <w:rsid w:val="002655E3"/>
    <w:rsid w:val="00266704"/>
    <w:rsid w:val="00266E8B"/>
    <w:rsid w:val="0026707C"/>
    <w:rsid w:val="00270924"/>
    <w:rsid w:val="002721A8"/>
    <w:rsid w:val="00272A2B"/>
    <w:rsid w:val="00272BCA"/>
    <w:rsid w:val="00273BF8"/>
    <w:rsid w:val="002743B0"/>
    <w:rsid w:val="00275727"/>
    <w:rsid w:val="0027643E"/>
    <w:rsid w:val="002767B1"/>
    <w:rsid w:val="002772CB"/>
    <w:rsid w:val="002806B8"/>
    <w:rsid w:val="00280833"/>
    <w:rsid w:val="00280878"/>
    <w:rsid w:val="00280B6A"/>
    <w:rsid w:val="00280E31"/>
    <w:rsid w:val="0028110B"/>
    <w:rsid w:val="00281187"/>
    <w:rsid w:val="002811A0"/>
    <w:rsid w:val="002811D2"/>
    <w:rsid w:val="00281E52"/>
    <w:rsid w:val="00282496"/>
    <w:rsid w:val="00282779"/>
    <w:rsid w:val="00282C9D"/>
    <w:rsid w:val="00283BA5"/>
    <w:rsid w:val="00284141"/>
    <w:rsid w:val="002843A7"/>
    <w:rsid w:val="002847CA"/>
    <w:rsid w:val="00284FBD"/>
    <w:rsid w:val="002858E4"/>
    <w:rsid w:val="00285F7B"/>
    <w:rsid w:val="00286097"/>
    <w:rsid w:val="00286A62"/>
    <w:rsid w:val="00290739"/>
    <w:rsid w:val="00290EB0"/>
    <w:rsid w:val="00291B6B"/>
    <w:rsid w:val="00291D42"/>
    <w:rsid w:val="00292D80"/>
    <w:rsid w:val="0029321F"/>
    <w:rsid w:val="0029545D"/>
    <w:rsid w:val="00295B77"/>
    <w:rsid w:val="00295DB7"/>
    <w:rsid w:val="00295FF7"/>
    <w:rsid w:val="00296451"/>
    <w:rsid w:val="00296932"/>
    <w:rsid w:val="00296C4E"/>
    <w:rsid w:val="002979A4"/>
    <w:rsid w:val="002A0591"/>
    <w:rsid w:val="002A0A74"/>
    <w:rsid w:val="002A1B86"/>
    <w:rsid w:val="002A1D82"/>
    <w:rsid w:val="002A22C8"/>
    <w:rsid w:val="002A27F7"/>
    <w:rsid w:val="002A2AE7"/>
    <w:rsid w:val="002A3112"/>
    <w:rsid w:val="002A3E61"/>
    <w:rsid w:val="002A3F80"/>
    <w:rsid w:val="002A4683"/>
    <w:rsid w:val="002A5CEE"/>
    <w:rsid w:val="002A5E72"/>
    <w:rsid w:val="002A6ACC"/>
    <w:rsid w:val="002A6E4D"/>
    <w:rsid w:val="002A6F31"/>
    <w:rsid w:val="002A7685"/>
    <w:rsid w:val="002A7CC1"/>
    <w:rsid w:val="002A7D65"/>
    <w:rsid w:val="002B07EE"/>
    <w:rsid w:val="002B0E0B"/>
    <w:rsid w:val="002B1753"/>
    <w:rsid w:val="002B180A"/>
    <w:rsid w:val="002B1BBC"/>
    <w:rsid w:val="002B277C"/>
    <w:rsid w:val="002B2A35"/>
    <w:rsid w:val="002B2CC4"/>
    <w:rsid w:val="002B2D14"/>
    <w:rsid w:val="002B4075"/>
    <w:rsid w:val="002B4A0C"/>
    <w:rsid w:val="002B4A43"/>
    <w:rsid w:val="002B53A7"/>
    <w:rsid w:val="002B58B7"/>
    <w:rsid w:val="002B59EA"/>
    <w:rsid w:val="002B619C"/>
    <w:rsid w:val="002B6A2D"/>
    <w:rsid w:val="002B6E3E"/>
    <w:rsid w:val="002B7229"/>
    <w:rsid w:val="002C002B"/>
    <w:rsid w:val="002C04B5"/>
    <w:rsid w:val="002C0870"/>
    <w:rsid w:val="002C094D"/>
    <w:rsid w:val="002C0C3D"/>
    <w:rsid w:val="002C103A"/>
    <w:rsid w:val="002C139D"/>
    <w:rsid w:val="002C13D5"/>
    <w:rsid w:val="002C1796"/>
    <w:rsid w:val="002C1D1B"/>
    <w:rsid w:val="002C2420"/>
    <w:rsid w:val="002C2461"/>
    <w:rsid w:val="002C2464"/>
    <w:rsid w:val="002C295E"/>
    <w:rsid w:val="002C376D"/>
    <w:rsid w:val="002C3E75"/>
    <w:rsid w:val="002C4668"/>
    <w:rsid w:val="002C51B6"/>
    <w:rsid w:val="002C5285"/>
    <w:rsid w:val="002C5E1F"/>
    <w:rsid w:val="002C626C"/>
    <w:rsid w:val="002C6B44"/>
    <w:rsid w:val="002C7CBE"/>
    <w:rsid w:val="002D0019"/>
    <w:rsid w:val="002D01AA"/>
    <w:rsid w:val="002D0A7C"/>
    <w:rsid w:val="002D116E"/>
    <w:rsid w:val="002D1A92"/>
    <w:rsid w:val="002D3396"/>
    <w:rsid w:val="002D38F1"/>
    <w:rsid w:val="002D40BF"/>
    <w:rsid w:val="002D643E"/>
    <w:rsid w:val="002D6916"/>
    <w:rsid w:val="002D6E8F"/>
    <w:rsid w:val="002D6F67"/>
    <w:rsid w:val="002D7201"/>
    <w:rsid w:val="002D7872"/>
    <w:rsid w:val="002D78BA"/>
    <w:rsid w:val="002E07C5"/>
    <w:rsid w:val="002E0A60"/>
    <w:rsid w:val="002E1BCF"/>
    <w:rsid w:val="002E1C33"/>
    <w:rsid w:val="002E332C"/>
    <w:rsid w:val="002E47AB"/>
    <w:rsid w:val="002E71BB"/>
    <w:rsid w:val="002E78A2"/>
    <w:rsid w:val="002F011E"/>
    <w:rsid w:val="002F0B23"/>
    <w:rsid w:val="002F0B84"/>
    <w:rsid w:val="002F0E75"/>
    <w:rsid w:val="002F1126"/>
    <w:rsid w:val="002F12D4"/>
    <w:rsid w:val="002F2B2F"/>
    <w:rsid w:val="002F3A7A"/>
    <w:rsid w:val="002F6189"/>
    <w:rsid w:val="002F68A7"/>
    <w:rsid w:val="002F68BD"/>
    <w:rsid w:val="002F68ED"/>
    <w:rsid w:val="00300572"/>
    <w:rsid w:val="003009F9"/>
    <w:rsid w:val="00303215"/>
    <w:rsid w:val="003040E9"/>
    <w:rsid w:val="00304677"/>
    <w:rsid w:val="00304BC8"/>
    <w:rsid w:val="00305CA4"/>
    <w:rsid w:val="00305D56"/>
    <w:rsid w:val="00305FCB"/>
    <w:rsid w:val="003061B3"/>
    <w:rsid w:val="003065C8"/>
    <w:rsid w:val="0030694B"/>
    <w:rsid w:val="00306C92"/>
    <w:rsid w:val="00307243"/>
    <w:rsid w:val="00311CA1"/>
    <w:rsid w:val="0031255A"/>
    <w:rsid w:val="00312E87"/>
    <w:rsid w:val="003130A5"/>
    <w:rsid w:val="00313D49"/>
    <w:rsid w:val="00314933"/>
    <w:rsid w:val="003155DB"/>
    <w:rsid w:val="003167CF"/>
    <w:rsid w:val="00316CFD"/>
    <w:rsid w:val="00317125"/>
    <w:rsid w:val="003171B8"/>
    <w:rsid w:val="00320266"/>
    <w:rsid w:val="00320B69"/>
    <w:rsid w:val="0032108C"/>
    <w:rsid w:val="00321910"/>
    <w:rsid w:val="00321BAE"/>
    <w:rsid w:val="00322BC2"/>
    <w:rsid w:val="00324E7B"/>
    <w:rsid w:val="0032514F"/>
    <w:rsid w:val="00325663"/>
    <w:rsid w:val="003264D3"/>
    <w:rsid w:val="0032681B"/>
    <w:rsid w:val="00330860"/>
    <w:rsid w:val="00331F67"/>
    <w:rsid w:val="0033253B"/>
    <w:rsid w:val="003337CC"/>
    <w:rsid w:val="00333FF1"/>
    <w:rsid w:val="00334134"/>
    <w:rsid w:val="0033583D"/>
    <w:rsid w:val="00335C0E"/>
    <w:rsid w:val="00335CB0"/>
    <w:rsid w:val="00335CD1"/>
    <w:rsid w:val="00335EE2"/>
    <w:rsid w:val="00336085"/>
    <w:rsid w:val="003400C2"/>
    <w:rsid w:val="0034103B"/>
    <w:rsid w:val="00341EAA"/>
    <w:rsid w:val="00342545"/>
    <w:rsid w:val="003427E7"/>
    <w:rsid w:val="00343427"/>
    <w:rsid w:val="003445A0"/>
    <w:rsid w:val="00344AA8"/>
    <w:rsid w:val="00344DA5"/>
    <w:rsid w:val="00345428"/>
    <w:rsid w:val="0034728B"/>
    <w:rsid w:val="00347489"/>
    <w:rsid w:val="00347921"/>
    <w:rsid w:val="00351CCA"/>
    <w:rsid w:val="00351DFB"/>
    <w:rsid w:val="00352C10"/>
    <w:rsid w:val="00352E21"/>
    <w:rsid w:val="003551A6"/>
    <w:rsid w:val="003553CE"/>
    <w:rsid w:val="00355D97"/>
    <w:rsid w:val="00357AD3"/>
    <w:rsid w:val="00357E80"/>
    <w:rsid w:val="00360173"/>
    <w:rsid w:val="003604F5"/>
    <w:rsid w:val="00360578"/>
    <w:rsid w:val="003608FF"/>
    <w:rsid w:val="003614B4"/>
    <w:rsid w:val="0036278B"/>
    <w:rsid w:val="00363F74"/>
    <w:rsid w:val="00363FDE"/>
    <w:rsid w:val="00364051"/>
    <w:rsid w:val="00364366"/>
    <w:rsid w:val="0036456B"/>
    <w:rsid w:val="003646E5"/>
    <w:rsid w:val="003649FD"/>
    <w:rsid w:val="003651FE"/>
    <w:rsid w:val="003652AB"/>
    <w:rsid w:val="00365894"/>
    <w:rsid w:val="00365D8E"/>
    <w:rsid w:val="00365E53"/>
    <w:rsid w:val="0036616C"/>
    <w:rsid w:val="00366446"/>
    <w:rsid w:val="0036720B"/>
    <w:rsid w:val="003717EF"/>
    <w:rsid w:val="00371F1B"/>
    <w:rsid w:val="00372B6A"/>
    <w:rsid w:val="00373259"/>
    <w:rsid w:val="003733FD"/>
    <w:rsid w:val="003735E9"/>
    <w:rsid w:val="0037390D"/>
    <w:rsid w:val="00374327"/>
    <w:rsid w:val="00374874"/>
    <w:rsid w:val="00374FEB"/>
    <w:rsid w:val="003752A7"/>
    <w:rsid w:val="0037535C"/>
    <w:rsid w:val="00375628"/>
    <w:rsid w:val="00375C2C"/>
    <w:rsid w:val="00375D75"/>
    <w:rsid w:val="00375F30"/>
    <w:rsid w:val="00376D46"/>
    <w:rsid w:val="0037727A"/>
    <w:rsid w:val="003778C2"/>
    <w:rsid w:val="003778F9"/>
    <w:rsid w:val="00377A86"/>
    <w:rsid w:val="0038046A"/>
    <w:rsid w:val="00380663"/>
    <w:rsid w:val="00380774"/>
    <w:rsid w:val="00380937"/>
    <w:rsid w:val="00380B18"/>
    <w:rsid w:val="00380BC1"/>
    <w:rsid w:val="0038264E"/>
    <w:rsid w:val="00383278"/>
    <w:rsid w:val="00383BB4"/>
    <w:rsid w:val="00383FF9"/>
    <w:rsid w:val="00384F1E"/>
    <w:rsid w:val="0038554D"/>
    <w:rsid w:val="003862F8"/>
    <w:rsid w:val="003866E8"/>
    <w:rsid w:val="00387E30"/>
    <w:rsid w:val="00391F30"/>
    <w:rsid w:val="00392A62"/>
    <w:rsid w:val="003935B2"/>
    <w:rsid w:val="003936E3"/>
    <w:rsid w:val="00394957"/>
    <w:rsid w:val="00394FB7"/>
    <w:rsid w:val="003967CC"/>
    <w:rsid w:val="003A00EC"/>
    <w:rsid w:val="003A11BD"/>
    <w:rsid w:val="003A1BE3"/>
    <w:rsid w:val="003A1F4A"/>
    <w:rsid w:val="003A25CF"/>
    <w:rsid w:val="003A2CCA"/>
    <w:rsid w:val="003A326E"/>
    <w:rsid w:val="003A330E"/>
    <w:rsid w:val="003A3987"/>
    <w:rsid w:val="003A534C"/>
    <w:rsid w:val="003A5431"/>
    <w:rsid w:val="003A6C4E"/>
    <w:rsid w:val="003A70E3"/>
    <w:rsid w:val="003A736C"/>
    <w:rsid w:val="003A7BF4"/>
    <w:rsid w:val="003A7D47"/>
    <w:rsid w:val="003A7FCD"/>
    <w:rsid w:val="003B005D"/>
    <w:rsid w:val="003B0C7E"/>
    <w:rsid w:val="003B1612"/>
    <w:rsid w:val="003B1806"/>
    <w:rsid w:val="003B1C5A"/>
    <w:rsid w:val="003B1DAD"/>
    <w:rsid w:val="003B3435"/>
    <w:rsid w:val="003B3D54"/>
    <w:rsid w:val="003B3E86"/>
    <w:rsid w:val="003B4F3B"/>
    <w:rsid w:val="003B5E3D"/>
    <w:rsid w:val="003B66F6"/>
    <w:rsid w:val="003B6B9A"/>
    <w:rsid w:val="003B6F7A"/>
    <w:rsid w:val="003B70FB"/>
    <w:rsid w:val="003B7C05"/>
    <w:rsid w:val="003C0364"/>
    <w:rsid w:val="003C08BB"/>
    <w:rsid w:val="003C0B7A"/>
    <w:rsid w:val="003C0DFE"/>
    <w:rsid w:val="003C1B72"/>
    <w:rsid w:val="003C2868"/>
    <w:rsid w:val="003C28E8"/>
    <w:rsid w:val="003C349A"/>
    <w:rsid w:val="003C4D63"/>
    <w:rsid w:val="003C537B"/>
    <w:rsid w:val="003C539D"/>
    <w:rsid w:val="003C53A8"/>
    <w:rsid w:val="003C5B44"/>
    <w:rsid w:val="003C6997"/>
    <w:rsid w:val="003C69BD"/>
    <w:rsid w:val="003C6F57"/>
    <w:rsid w:val="003C7A1D"/>
    <w:rsid w:val="003C7BF2"/>
    <w:rsid w:val="003D0236"/>
    <w:rsid w:val="003D04BC"/>
    <w:rsid w:val="003D0F7D"/>
    <w:rsid w:val="003D1EFB"/>
    <w:rsid w:val="003D30C9"/>
    <w:rsid w:val="003D3D23"/>
    <w:rsid w:val="003D50D4"/>
    <w:rsid w:val="003D53AC"/>
    <w:rsid w:val="003D5A81"/>
    <w:rsid w:val="003D6454"/>
    <w:rsid w:val="003D653B"/>
    <w:rsid w:val="003D6AC3"/>
    <w:rsid w:val="003D7411"/>
    <w:rsid w:val="003D7B45"/>
    <w:rsid w:val="003E0879"/>
    <w:rsid w:val="003E2975"/>
    <w:rsid w:val="003E31B4"/>
    <w:rsid w:val="003E31BE"/>
    <w:rsid w:val="003E348D"/>
    <w:rsid w:val="003E3D4F"/>
    <w:rsid w:val="003E4136"/>
    <w:rsid w:val="003E4166"/>
    <w:rsid w:val="003E450C"/>
    <w:rsid w:val="003E4CBD"/>
    <w:rsid w:val="003E5664"/>
    <w:rsid w:val="003E5AE7"/>
    <w:rsid w:val="003E5B6D"/>
    <w:rsid w:val="003E6F63"/>
    <w:rsid w:val="003E738A"/>
    <w:rsid w:val="003E7545"/>
    <w:rsid w:val="003E7A98"/>
    <w:rsid w:val="003F03E1"/>
    <w:rsid w:val="003F07BE"/>
    <w:rsid w:val="003F0CC4"/>
    <w:rsid w:val="003F0DE4"/>
    <w:rsid w:val="003F0E10"/>
    <w:rsid w:val="003F1D90"/>
    <w:rsid w:val="003F2C53"/>
    <w:rsid w:val="003F2C78"/>
    <w:rsid w:val="003F3744"/>
    <w:rsid w:val="003F4683"/>
    <w:rsid w:val="003F494E"/>
    <w:rsid w:val="003F5243"/>
    <w:rsid w:val="003F5D16"/>
    <w:rsid w:val="003F6489"/>
    <w:rsid w:val="003F74EB"/>
    <w:rsid w:val="003F7664"/>
    <w:rsid w:val="004001A8"/>
    <w:rsid w:val="0040022D"/>
    <w:rsid w:val="00401BD4"/>
    <w:rsid w:val="00402115"/>
    <w:rsid w:val="0040299E"/>
    <w:rsid w:val="00404DAB"/>
    <w:rsid w:val="00406269"/>
    <w:rsid w:val="004069BE"/>
    <w:rsid w:val="0040747A"/>
    <w:rsid w:val="004076C0"/>
    <w:rsid w:val="004119B5"/>
    <w:rsid w:val="00412662"/>
    <w:rsid w:val="004151B5"/>
    <w:rsid w:val="00415281"/>
    <w:rsid w:val="0041694F"/>
    <w:rsid w:val="004169FE"/>
    <w:rsid w:val="00416DC6"/>
    <w:rsid w:val="00416F9A"/>
    <w:rsid w:val="0042104E"/>
    <w:rsid w:val="00421290"/>
    <w:rsid w:val="00421DB2"/>
    <w:rsid w:val="0042215D"/>
    <w:rsid w:val="00422448"/>
    <w:rsid w:val="00423040"/>
    <w:rsid w:val="00423127"/>
    <w:rsid w:val="0042337E"/>
    <w:rsid w:val="00423AA8"/>
    <w:rsid w:val="004244A4"/>
    <w:rsid w:val="004255C1"/>
    <w:rsid w:val="00425676"/>
    <w:rsid w:val="00425A89"/>
    <w:rsid w:val="00425DF2"/>
    <w:rsid w:val="004260A3"/>
    <w:rsid w:val="004269BE"/>
    <w:rsid w:val="00426FA6"/>
    <w:rsid w:val="00427316"/>
    <w:rsid w:val="004276D0"/>
    <w:rsid w:val="00427B16"/>
    <w:rsid w:val="00427F66"/>
    <w:rsid w:val="004303EC"/>
    <w:rsid w:val="00430900"/>
    <w:rsid w:val="004311C0"/>
    <w:rsid w:val="00432213"/>
    <w:rsid w:val="004322A4"/>
    <w:rsid w:val="004326B7"/>
    <w:rsid w:val="00433123"/>
    <w:rsid w:val="004331E5"/>
    <w:rsid w:val="00433B2D"/>
    <w:rsid w:val="00433BCD"/>
    <w:rsid w:val="00433C2B"/>
    <w:rsid w:val="00434D8B"/>
    <w:rsid w:val="0043582C"/>
    <w:rsid w:val="00435A94"/>
    <w:rsid w:val="0043671E"/>
    <w:rsid w:val="00436AD7"/>
    <w:rsid w:val="00436B40"/>
    <w:rsid w:val="00436F3D"/>
    <w:rsid w:val="00437FEE"/>
    <w:rsid w:val="0044040E"/>
    <w:rsid w:val="0044078D"/>
    <w:rsid w:val="00440891"/>
    <w:rsid w:val="00440A96"/>
    <w:rsid w:val="00441099"/>
    <w:rsid w:val="004419E8"/>
    <w:rsid w:val="00442B53"/>
    <w:rsid w:val="00443C95"/>
    <w:rsid w:val="00444616"/>
    <w:rsid w:val="004458A6"/>
    <w:rsid w:val="00445B4E"/>
    <w:rsid w:val="00446BFA"/>
    <w:rsid w:val="004472B4"/>
    <w:rsid w:val="004475D3"/>
    <w:rsid w:val="00450C1C"/>
    <w:rsid w:val="004510EA"/>
    <w:rsid w:val="0045120D"/>
    <w:rsid w:val="00452744"/>
    <w:rsid w:val="0045296A"/>
    <w:rsid w:val="00452DF8"/>
    <w:rsid w:val="004549CD"/>
    <w:rsid w:val="00455056"/>
    <w:rsid w:val="00455CC3"/>
    <w:rsid w:val="00456B14"/>
    <w:rsid w:val="00456D0D"/>
    <w:rsid w:val="00456D96"/>
    <w:rsid w:val="004573DB"/>
    <w:rsid w:val="00457C3D"/>
    <w:rsid w:val="004600FA"/>
    <w:rsid w:val="00461420"/>
    <w:rsid w:val="00461546"/>
    <w:rsid w:val="004617D3"/>
    <w:rsid w:val="0046186E"/>
    <w:rsid w:val="00462613"/>
    <w:rsid w:val="00463EAB"/>
    <w:rsid w:val="00463FCC"/>
    <w:rsid w:val="00464065"/>
    <w:rsid w:val="004641AA"/>
    <w:rsid w:val="0046451A"/>
    <w:rsid w:val="00466E01"/>
    <w:rsid w:val="00467352"/>
    <w:rsid w:val="00467499"/>
    <w:rsid w:val="00467E28"/>
    <w:rsid w:val="00470B8E"/>
    <w:rsid w:val="0047137A"/>
    <w:rsid w:val="0047168A"/>
    <w:rsid w:val="00471939"/>
    <w:rsid w:val="00471E87"/>
    <w:rsid w:val="0047272D"/>
    <w:rsid w:val="0047277D"/>
    <w:rsid w:val="00472922"/>
    <w:rsid w:val="00473A1C"/>
    <w:rsid w:val="00473B08"/>
    <w:rsid w:val="0047760B"/>
    <w:rsid w:val="00477635"/>
    <w:rsid w:val="0047767E"/>
    <w:rsid w:val="004778D8"/>
    <w:rsid w:val="00480026"/>
    <w:rsid w:val="004818F9"/>
    <w:rsid w:val="00482D9A"/>
    <w:rsid w:val="00482E20"/>
    <w:rsid w:val="00482ED7"/>
    <w:rsid w:val="004846EF"/>
    <w:rsid w:val="00484AC3"/>
    <w:rsid w:val="00485F0D"/>
    <w:rsid w:val="00486689"/>
    <w:rsid w:val="00486C02"/>
    <w:rsid w:val="0048729B"/>
    <w:rsid w:val="00490524"/>
    <w:rsid w:val="00490929"/>
    <w:rsid w:val="00491B1E"/>
    <w:rsid w:val="00491D13"/>
    <w:rsid w:val="00491EFD"/>
    <w:rsid w:val="00491F07"/>
    <w:rsid w:val="00492B27"/>
    <w:rsid w:val="004939A7"/>
    <w:rsid w:val="00493B76"/>
    <w:rsid w:val="00493EFB"/>
    <w:rsid w:val="00494483"/>
    <w:rsid w:val="004945D2"/>
    <w:rsid w:val="00494876"/>
    <w:rsid w:val="00494F4A"/>
    <w:rsid w:val="004957EB"/>
    <w:rsid w:val="004959C2"/>
    <w:rsid w:val="004972EE"/>
    <w:rsid w:val="00497697"/>
    <w:rsid w:val="004A11B1"/>
    <w:rsid w:val="004A2341"/>
    <w:rsid w:val="004A23BF"/>
    <w:rsid w:val="004A2551"/>
    <w:rsid w:val="004A26E5"/>
    <w:rsid w:val="004A2CF5"/>
    <w:rsid w:val="004A32A8"/>
    <w:rsid w:val="004A36F3"/>
    <w:rsid w:val="004A3B35"/>
    <w:rsid w:val="004A3C6A"/>
    <w:rsid w:val="004A481E"/>
    <w:rsid w:val="004A53CA"/>
    <w:rsid w:val="004A5A04"/>
    <w:rsid w:val="004A69A4"/>
    <w:rsid w:val="004A6F3D"/>
    <w:rsid w:val="004A7252"/>
    <w:rsid w:val="004A74DC"/>
    <w:rsid w:val="004B00E9"/>
    <w:rsid w:val="004B09D9"/>
    <w:rsid w:val="004B0F17"/>
    <w:rsid w:val="004B0FD1"/>
    <w:rsid w:val="004B1082"/>
    <w:rsid w:val="004B17B5"/>
    <w:rsid w:val="004B20DE"/>
    <w:rsid w:val="004B293E"/>
    <w:rsid w:val="004B2CC2"/>
    <w:rsid w:val="004B37C7"/>
    <w:rsid w:val="004B3C71"/>
    <w:rsid w:val="004B4019"/>
    <w:rsid w:val="004B486B"/>
    <w:rsid w:val="004B5C63"/>
    <w:rsid w:val="004B6DF7"/>
    <w:rsid w:val="004B795D"/>
    <w:rsid w:val="004B7E24"/>
    <w:rsid w:val="004C0163"/>
    <w:rsid w:val="004C12CB"/>
    <w:rsid w:val="004C18B1"/>
    <w:rsid w:val="004C276D"/>
    <w:rsid w:val="004C37F4"/>
    <w:rsid w:val="004C3E4D"/>
    <w:rsid w:val="004C4405"/>
    <w:rsid w:val="004C4672"/>
    <w:rsid w:val="004C487C"/>
    <w:rsid w:val="004C5B9C"/>
    <w:rsid w:val="004C676B"/>
    <w:rsid w:val="004C6873"/>
    <w:rsid w:val="004C68B5"/>
    <w:rsid w:val="004C6DEA"/>
    <w:rsid w:val="004C6EE4"/>
    <w:rsid w:val="004C6FC7"/>
    <w:rsid w:val="004D0D10"/>
    <w:rsid w:val="004D13D4"/>
    <w:rsid w:val="004D1AD4"/>
    <w:rsid w:val="004D1F27"/>
    <w:rsid w:val="004D2BFA"/>
    <w:rsid w:val="004D3E1A"/>
    <w:rsid w:val="004D4357"/>
    <w:rsid w:val="004D439D"/>
    <w:rsid w:val="004D4CE0"/>
    <w:rsid w:val="004D5018"/>
    <w:rsid w:val="004D59E6"/>
    <w:rsid w:val="004D5FFE"/>
    <w:rsid w:val="004E02E3"/>
    <w:rsid w:val="004E188F"/>
    <w:rsid w:val="004E1A76"/>
    <w:rsid w:val="004E1D87"/>
    <w:rsid w:val="004E2148"/>
    <w:rsid w:val="004E247A"/>
    <w:rsid w:val="004E3160"/>
    <w:rsid w:val="004E334A"/>
    <w:rsid w:val="004E356E"/>
    <w:rsid w:val="004E3ACF"/>
    <w:rsid w:val="004E5E3E"/>
    <w:rsid w:val="004E6938"/>
    <w:rsid w:val="004E77A7"/>
    <w:rsid w:val="004F080C"/>
    <w:rsid w:val="004F0C56"/>
    <w:rsid w:val="004F4034"/>
    <w:rsid w:val="004F445C"/>
    <w:rsid w:val="004F4618"/>
    <w:rsid w:val="004F4ACC"/>
    <w:rsid w:val="004F63DB"/>
    <w:rsid w:val="004F63F5"/>
    <w:rsid w:val="004F6E95"/>
    <w:rsid w:val="004F7B9B"/>
    <w:rsid w:val="0050080E"/>
    <w:rsid w:val="00501FFB"/>
    <w:rsid w:val="0050220E"/>
    <w:rsid w:val="005023BD"/>
    <w:rsid w:val="00503243"/>
    <w:rsid w:val="00503327"/>
    <w:rsid w:val="005033FA"/>
    <w:rsid w:val="00504AC0"/>
    <w:rsid w:val="00504F6F"/>
    <w:rsid w:val="005052C7"/>
    <w:rsid w:val="00505A3E"/>
    <w:rsid w:val="00505B49"/>
    <w:rsid w:val="0050632E"/>
    <w:rsid w:val="00512F9A"/>
    <w:rsid w:val="005137D2"/>
    <w:rsid w:val="00513DAB"/>
    <w:rsid w:val="00514046"/>
    <w:rsid w:val="00514178"/>
    <w:rsid w:val="00515EED"/>
    <w:rsid w:val="00516F15"/>
    <w:rsid w:val="00516F6F"/>
    <w:rsid w:val="00520A83"/>
    <w:rsid w:val="005216F2"/>
    <w:rsid w:val="00522CF6"/>
    <w:rsid w:val="00524ADB"/>
    <w:rsid w:val="00524E1A"/>
    <w:rsid w:val="00525148"/>
    <w:rsid w:val="0052650D"/>
    <w:rsid w:val="00526C80"/>
    <w:rsid w:val="00526E80"/>
    <w:rsid w:val="0052798E"/>
    <w:rsid w:val="0053052B"/>
    <w:rsid w:val="005309D2"/>
    <w:rsid w:val="00530A0D"/>
    <w:rsid w:val="00530B59"/>
    <w:rsid w:val="00531AEB"/>
    <w:rsid w:val="00531CA0"/>
    <w:rsid w:val="005324C6"/>
    <w:rsid w:val="00532C25"/>
    <w:rsid w:val="0053345B"/>
    <w:rsid w:val="0053488C"/>
    <w:rsid w:val="00534C6E"/>
    <w:rsid w:val="00534E64"/>
    <w:rsid w:val="005356BA"/>
    <w:rsid w:val="0053586A"/>
    <w:rsid w:val="00535B43"/>
    <w:rsid w:val="00535C23"/>
    <w:rsid w:val="0053660F"/>
    <w:rsid w:val="00536980"/>
    <w:rsid w:val="00536B69"/>
    <w:rsid w:val="00537209"/>
    <w:rsid w:val="00537F29"/>
    <w:rsid w:val="00540246"/>
    <w:rsid w:val="00540DC7"/>
    <w:rsid w:val="005410E7"/>
    <w:rsid w:val="00541529"/>
    <w:rsid w:val="005436E2"/>
    <w:rsid w:val="00543BEB"/>
    <w:rsid w:val="00543F9A"/>
    <w:rsid w:val="005440A7"/>
    <w:rsid w:val="0054429D"/>
    <w:rsid w:val="0054457F"/>
    <w:rsid w:val="0054524C"/>
    <w:rsid w:val="0054557C"/>
    <w:rsid w:val="0054659F"/>
    <w:rsid w:val="00546C6E"/>
    <w:rsid w:val="00546E02"/>
    <w:rsid w:val="00546E08"/>
    <w:rsid w:val="00547DE1"/>
    <w:rsid w:val="00551849"/>
    <w:rsid w:val="00552E22"/>
    <w:rsid w:val="0055384B"/>
    <w:rsid w:val="00553BEA"/>
    <w:rsid w:val="00554298"/>
    <w:rsid w:val="00554766"/>
    <w:rsid w:val="005553AB"/>
    <w:rsid w:val="00556CA1"/>
    <w:rsid w:val="005575E1"/>
    <w:rsid w:val="00557E4F"/>
    <w:rsid w:val="00560DC1"/>
    <w:rsid w:val="0056127A"/>
    <w:rsid w:val="00561CB1"/>
    <w:rsid w:val="005626C0"/>
    <w:rsid w:val="00562E73"/>
    <w:rsid w:val="00562EEF"/>
    <w:rsid w:val="00562FA4"/>
    <w:rsid w:val="00563643"/>
    <w:rsid w:val="00563F85"/>
    <w:rsid w:val="00564EC3"/>
    <w:rsid w:val="00566258"/>
    <w:rsid w:val="0056666E"/>
    <w:rsid w:val="00566895"/>
    <w:rsid w:val="00567359"/>
    <w:rsid w:val="005679CD"/>
    <w:rsid w:val="0057093F"/>
    <w:rsid w:val="0057096E"/>
    <w:rsid w:val="00570E66"/>
    <w:rsid w:val="005714CB"/>
    <w:rsid w:val="00571A71"/>
    <w:rsid w:val="00571D78"/>
    <w:rsid w:val="00573B7D"/>
    <w:rsid w:val="00574324"/>
    <w:rsid w:val="00574505"/>
    <w:rsid w:val="00574707"/>
    <w:rsid w:val="0057483E"/>
    <w:rsid w:val="00575201"/>
    <w:rsid w:val="00575374"/>
    <w:rsid w:val="005776E3"/>
    <w:rsid w:val="00582564"/>
    <w:rsid w:val="00582F61"/>
    <w:rsid w:val="00583080"/>
    <w:rsid w:val="0058339A"/>
    <w:rsid w:val="00584583"/>
    <w:rsid w:val="00585581"/>
    <w:rsid w:val="005856D2"/>
    <w:rsid w:val="0058575C"/>
    <w:rsid w:val="00585882"/>
    <w:rsid w:val="00585E9F"/>
    <w:rsid w:val="00585EFD"/>
    <w:rsid w:val="00585F64"/>
    <w:rsid w:val="00587458"/>
    <w:rsid w:val="005874AF"/>
    <w:rsid w:val="0059007D"/>
    <w:rsid w:val="00592F69"/>
    <w:rsid w:val="005932BD"/>
    <w:rsid w:val="005937C4"/>
    <w:rsid w:val="00594587"/>
    <w:rsid w:val="00595520"/>
    <w:rsid w:val="00595581"/>
    <w:rsid w:val="00595D1D"/>
    <w:rsid w:val="005974A0"/>
    <w:rsid w:val="005A0436"/>
    <w:rsid w:val="005A130B"/>
    <w:rsid w:val="005A2406"/>
    <w:rsid w:val="005A300E"/>
    <w:rsid w:val="005A321F"/>
    <w:rsid w:val="005A48B5"/>
    <w:rsid w:val="005A6CD4"/>
    <w:rsid w:val="005A7FA3"/>
    <w:rsid w:val="005B02B9"/>
    <w:rsid w:val="005B0C09"/>
    <w:rsid w:val="005B10AD"/>
    <w:rsid w:val="005B1225"/>
    <w:rsid w:val="005B2055"/>
    <w:rsid w:val="005B214A"/>
    <w:rsid w:val="005B2A5B"/>
    <w:rsid w:val="005B30D0"/>
    <w:rsid w:val="005B665B"/>
    <w:rsid w:val="005B6E50"/>
    <w:rsid w:val="005C0F25"/>
    <w:rsid w:val="005C19E9"/>
    <w:rsid w:val="005C1EAF"/>
    <w:rsid w:val="005C1EED"/>
    <w:rsid w:val="005C23E9"/>
    <w:rsid w:val="005C252B"/>
    <w:rsid w:val="005C25A8"/>
    <w:rsid w:val="005C271A"/>
    <w:rsid w:val="005C28B4"/>
    <w:rsid w:val="005C29F9"/>
    <w:rsid w:val="005C2EC3"/>
    <w:rsid w:val="005C3BD4"/>
    <w:rsid w:val="005C4084"/>
    <w:rsid w:val="005C4982"/>
    <w:rsid w:val="005C4B75"/>
    <w:rsid w:val="005C5295"/>
    <w:rsid w:val="005C5DA8"/>
    <w:rsid w:val="005C62F0"/>
    <w:rsid w:val="005C685C"/>
    <w:rsid w:val="005C68D5"/>
    <w:rsid w:val="005C6FF0"/>
    <w:rsid w:val="005C7A96"/>
    <w:rsid w:val="005D0167"/>
    <w:rsid w:val="005D0C0F"/>
    <w:rsid w:val="005D1786"/>
    <w:rsid w:val="005D1D37"/>
    <w:rsid w:val="005D2670"/>
    <w:rsid w:val="005D2D8A"/>
    <w:rsid w:val="005D3523"/>
    <w:rsid w:val="005D3EFA"/>
    <w:rsid w:val="005D4AC9"/>
    <w:rsid w:val="005D5E43"/>
    <w:rsid w:val="005D6085"/>
    <w:rsid w:val="005D646B"/>
    <w:rsid w:val="005D6EED"/>
    <w:rsid w:val="005D7420"/>
    <w:rsid w:val="005D78BB"/>
    <w:rsid w:val="005D7A73"/>
    <w:rsid w:val="005D7A8A"/>
    <w:rsid w:val="005E0595"/>
    <w:rsid w:val="005E0C71"/>
    <w:rsid w:val="005E0DC0"/>
    <w:rsid w:val="005E13D4"/>
    <w:rsid w:val="005E16D8"/>
    <w:rsid w:val="005E1971"/>
    <w:rsid w:val="005E21BB"/>
    <w:rsid w:val="005E343D"/>
    <w:rsid w:val="005E3549"/>
    <w:rsid w:val="005E42FB"/>
    <w:rsid w:val="005E4FA8"/>
    <w:rsid w:val="005E5BAD"/>
    <w:rsid w:val="005E5FDE"/>
    <w:rsid w:val="005E6822"/>
    <w:rsid w:val="005E6FC6"/>
    <w:rsid w:val="005E70FB"/>
    <w:rsid w:val="005E7640"/>
    <w:rsid w:val="005E7AB8"/>
    <w:rsid w:val="005E7AD5"/>
    <w:rsid w:val="005F00A0"/>
    <w:rsid w:val="005F0715"/>
    <w:rsid w:val="005F18B4"/>
    <w:rsid w:val="005F2D8F"/>
    <w:rsid w:val="005F30BE"/>
    <w:rsid w:val="005F36F9"/>
    <w:rsid w:val="005F3ECB"/>
    <w:rsid w:val="005F4116"/>
    <w:rsid w:val="005F467C"/>
    <w:rsid w:val="005F4A5A"/>
    <w:rsid w:val="005F5654"/>
    <w:rsid w:val="005F5BB7"/>
    <w:rsid w:val="005F5FB0"/>
    <w:rsid w:val="005F642A"/>
    <w:rsid w:val="005F6B8C"/>
    <w:rsid w:val="005F6F77"/>
    <w:rsid w:val="005F6FD7"/>
    <w:rsid w:val="006000BE"/>
    <w:rsid w:val="006006B9"/>
    <w:rsid w:val="006006BD"/>
    <w:rsid w:val="00601150"/>
    <w:rsid w:val="006015AF"/>
    <w:rsid w:val="00601D9F"/>
    <w:rsid w:val="006030EB"/>
    <w:rsid w:val="006054E0"/>
    <w:rsid w:val="0060550C"/>
    <w:rsid w:val="00606392"/>
    <w:rsid w:val="006069ED"/>
    <w:rsid w:val="006072F1"/>
    <w:rsid w:val="006076CF"/>
    <w:rsid w:val="0061017F"/>
    <w:rsid w:val="006104C8"/>
    <w:rsid w:val="00610E20"/>
    <w:rsid w:val="006114B9"/>
    <w:rsid w:val="006135B3"/>
    <w:rsid w:val="006139FD"/>
    <w:rsid w:val="00614007"/>
    <w:rsid w:val="00614A4F"/>
    <w:rsid w:val="0061597A"/>
    <w:rsid w:val="00615E0D"/>
    <w:rsid w:val="00616CE9"/>
    <w:rsid w:val="00617072"/>
    <w:rsid w:val="006203A5"/>
    <w:rsid w:val="006203F1"/>
    <w:rsid w:val="006216BE"/>
    <w:rsid w:val="00621C7B"/>
    <w:rsid w:val="006221DF"/>
    <w:rsid w:val="00622304"/>
    <w:rsid w:val="00623459"/>
    <w:rsid w:val="00623D66"/>
    <w:rsid w:val="00623FFA"/>
    <w:rsid w:val="006240A6"/>
    <w:rsid w:val="00624B7A"/>
    <w:rsid w:val="00624DF5"/>
    <w:rsid w:val="00624F2E"/>
    <w:rsid w:val="00625542"/>
    <w:rsid w:val="0062573C"/>
    <w:rsid w:val="00625D1D"/>
    <w:rsid w:val="00625E3F"/>
    <w:rsid w:val="00625E73"/>
    <w:rsid w:val="00625F6B"/>
    <w:rsid w:val="0062619D"/>
    <w:rsid w:val="006263F4"/>
    <w:rsid w:val="00626DFC"/>
    <w:rsid w:val="0062703A"/>
    <w:rsid w:val="006276EB"/>
    <w:rsid w:val="00630235"/>
    <w:rsid w:val="00630A0D"/>
    <w:rsid w:val="00630FEA"/>
    <w:rsid w:val="0063180B"/>
    <w:rsid w:val="00631BFA"/>
    <w:rsid w:val="00631E26"/>
    <w:rsid w:val="00632C37"/>
    <w:rsid w:val="00633872"/>
    <w:rsid w:val="00635051"/>
    <w:rsid w:val="006360C4"/>
    <w:rsid w:val="0063669F"/>
    <w:rsid w:val="00636CD6"/>
    <w:rsid w:val="0064000C"/>
    <w:rsid w:val="00640806"/>
    <w:rsid w:val="00640846"/>
    <w:rsid w:val="00641EB7"/>
    <w:rsid w:val="006434DE"/>
    <w:rsid w:val="00643A86"/>
    <w:rsid w:val="00643F15"/>
    <w:rsid w:val="0064410C"/>
    <w:rsid w:val="00644A81"/>
    <w:rsid w:val="006458D6"/>
    <w:rsid w:val="00645914"/>
    <w:rsid w:val="006463C5"/>
    <w:rsid w:val="006474D3"/>
    <w:rsid w:val="006478E0"/>
    <w:rsid w:val="00650EBF"/>
    <w:rsid w:val="0065178F"/>
    <w:rsid w:val="00651D1D"/>
    <w:rsid w:val="0065278F"/>
    <w:rsid w:val="00652C98"/>
    <w:rsid w:val="00654329"/>
    <w:rsid w:val="00654808"/>
    <w:rsid w:val="00654A7E"/>
    <w:rsid w:val="00654E5E"/>
    <w:rsid w:val="006550CD"/>
    <w:rsid w:val="00655CFD"/>
    <w:rsid w:val="00656708"/>
    <w:rsid w:val="00656CA6"/>
    <w:rsid w:val="00657287"/>
    <w:rsid w:val="00660B28"/>
    <w:rsid w:val="006611D8"/>
    <w:rsid w:val="006615A2"/>
    <w:rsid w:val="006633BE"/>
    <w:rsid w:val="0066393A"/>
    <w:rsid w:val="006645BC"/>
    <w:rsid w:val="006650BC"/>
    <w:rsid w:val="006656FE"/>
    <w:rsid w:val="00665BE0"/>
    <w:rsid w:val="0066642A"/>
    <w:rsid w:val="006665BA"/>
    <w:rsid w:val="006667C6"/>
    <w:rsid w:val="00666BE7"/>
    <w:rsid w:val="00667758"/>
    <w:rsid w:val="00667BE5"/>
    <w:rsid w:val="00667F2D"/>
    <w:rsid w:val="006702CE"/>
    <w:rsid w:val="00671E4E"/>
    <w:rsid w:val="00672DFE"/>
    <w:rsid w:val="006746F5"/>
    <w:rsid w:val="006749DB"/>
    <w:rsid w:val="00674F8D"/>
    <w:rsid w:val="00675F5C"/>
    <w:rsid w:val="006767DD"/>
    <w:rsid w:val="00676DBC"/>
    <w:rsid w:val="00676E53"/>
    <w:rsid w:val="00676FF7"/>
    <w:rsid w:val="0067705C"/>
    <w:rsid w:val="006771FE"/>
    <w:rsid w:val="006777F4"/>
    <w:rsid w:val="00677D78"/>
    <w:rsid w:val="006809AB"/>
    <w:rsid w:val="00681057"/>
    <w:rsid w:val="00682039"/>
    <w:rsid w:val="00682722"/>
    <w:rsid w:val="0068296D"/>
    <w:rsid w:val="006837BE"/>
    <w:rsid w:val="00683E9C"/>
    <w:rsid w:val="00684616"/>
    <w:rsid w:val="00684793"/>
    <w:rsid w:val="0068482B"/>
    <w:rsid w:val="00684938"/>
    <w:rsid w:val="00684B67"/>
    <w:rsid w:val="00684CDA"/>
    <w:rsid w:val="00687135"/>
    <w:rsid w:val="006878D1"/>
    <w:rsid w:val="00687B61"/>
    <w:rsid w:val="00687E4A"/>
    <w:rsid w:val="006909D9"/>
    <w:rsid w:val="00691568"/>
    <w:rsid w:val="00692AD3"/>
    <w:rsid w:val="006938F8"/>
    <w:rsid w:val="00693BB4"/>
    <w:rsid w:val="00695D01"/>
    <w:rsid w:val="00695EC5"/>
    <w:rsid w:val="00696D16"/>
    <w:rsid w:val="006974CC"/>
    <w:rsid w:val="006A0479"/>
    <w:rsid w:val="006A1466"/>
    <w:rsid w:val="006A3990"/>
    <w:rsid w:val="006A451E"/>
    <w:rsid w:val="006A49C0"/>
    <w:rsid w:val="006A4FEB"/>
    <w:rsid w:val="006A56A7"/>
    <w:rsid w:val="006A7FCB"/>
    <w:rsid w:val="006B0DD7"/>
    <w:rsid w:val="006B11FE"/>
    <w:rsid w:val="006B2678"/>
    <w:rsid w:val="006B2CF7"/>
    <w:rsid w:val="006B3207"/>
    <w:rsid w:val="006B3669"/>
    <w:rsid w:val="006B3ADD"/>
    <w:rsid w:val="006B3D84"/>
    <w:rsid w:val="006B3EC2"/>
    <w:rsid w:val="006B496F"/>
    <w:rsid w:val="006B56DE"/>
    <w:rsid w:val="006B5907"/>
    <w:rsid w:val="006B5E11"/>
    <w:rsid w:val="006B6A2F"/>
    <w:rsid w:val="006B7330"/>
    <w:rsid w:val="006B7780"/>
    <w:rsid w:val="006B7811"/>
    <w:rsid w:val="006C0823"/>
    <w:rsid w:val="006C0CE4"/>
    <w:rsid w:val="006C1810"/>
    <w:rsid w:val="006C1ED8"/>
    <w:rsid w:val="006C2A3F"/>
    <w:rsid w:val="006C32FD"/>
    <w:rsid w:val="006C362B"/>
    <w:rsid w:val="006C36C1"/>
    <w:rsid w:val="006C539B"/>
    <w:rsid w:val="006C56DA"/>
    <w:rsid w:val="006C5C1F"/>
    <w:rsid w:val="006C640F"/>
    <w:rsid w:val="006C665E"/>
    <w:rsid w:val="006C7184"/>
    <w:rsid w:val="006C75CF"/>
    <w:rsid w:val="006C7E25"/>
    <w:rsid w:val="006D0AAD"/>
    <w:rsid w:val="006D265E"/>
    <w:rsid w:val="006D2B36"/>
    <w:rsid w:val="006D2D62"/>
    <w:rsid w:val="006D2DF7"/>
    <w:rsid w:val="006D342A"/>
    <w:rsid w:val="006D3994"/>
    <w:rsid w:val="006D429D"/>
    <w:rsid w:val="006D44DE"/>
    <w:rsid w:val="006D4C26"/>
    <w:rsid w:val="006D4CE3"/>
    <w:rsid w:val="006D54A2"/>
    <w:rsid w:val="006D694B"/>
    <w:rsid w:val="006D6FF4"/>
    <w:rsid w:val="006D761C"/>
    <w:rsid w:val="006D7767"/>
    <w:rsid w:val="006D7A18"/>
    <w:rsid w:val="006D7F5E"/>
    <w:rsid w:val="006E0109"/>
    <w:rsid w:val="006E0592"/>
    <w:rsid w:val="006E0C60"/>
    <w:rsid w:val="006E11D9"/>
    <w:rsid w:val="006E13EF"/>
    <w:rsid w:val="006E152D"/>
    <w:rsid w:val="006E22B4"/>
    <w:rsid w:val="006E2310"/>
    <w:rsid w:val="006E247D"/>
    <w:rsid w:val="006E2539"/>
    <w:rsid w:val="006E25D2"/>
    <w:rsid w:val="006E2848"/>
    <w:rsid w:val="006E3993"/>
    <w:rsid w:val="006E3F03"/>
    <w:rsid w:val="006E4179"/>
    <w:rsid w:val="006E4645"/>
    <w:rsid w:val="006E4CAD"/>
    <w:rsid w:val="006E5296"/>
    <w:rsid w:val="006E67A5"/>
    <w:rsid w:val="006E6C4A"/>
    <w:rsid w:val="006E79A8"/>
    <w:rsid w:val="006E7E83"/>
    <w:rsid w:val="006F007E"/>
    <w:rsid w:val="006F0B15"/>
    <w:rsid w:val="006F180C"/>
    <w:rsid w:val="006F2052"/>
    <w:rsid w:val="006F2800"/>
    <w:rsid w:val="006F43E3"/>
    <w:rsid w:val="006F4D23"/>
    <w:rsid w:val="006F4E80"/>
    <w:rsid w:val="006F56E7"/>
    <w:rsid w:val="006F6229"/>
    <w:rsid w:val="007003DA"/>
    <w:rsid w:val="007007C9"/>
    <w:rsid w:val="00700AC2"/>
    <w:rsid w:val="007018CC"/>
    <w:rsid w:val="00701EAF"/>
    <w:rsid w:val="0070243A"/>
    <w:rsid w:val="0070331E"/>
    <w:rsid w:val="007035CD"/>
    <w:rsid w:val="00704D8E"/>
    <w:rsid w:val="00705EDA"/>
    <w:rsid w:val="007064E0"/>
    <w:rsid w:val="00706E2F"/>
    <w:rsid w:val="0070716A"/>
    <w:rsid w:val="00707300"/>
    <w:rsid w:val="00707373"/>
    <w:rsid w:val="00707C50"/>
    <w:rsid w:val="00707CE4"/>
    <w:rsid w:val="00707EA9"/>
    <w:rsid w:val="007103A7"/>
    <w:rsid w:val="00711D63"/>
    <w:rsid w:val="0071206B"/>
    <w:rsid w:val="00712867"/>
    <w:rsid w:val="00712B5F"/>
    <w:rsid w:val="00714760"/>
    <w:rsid w:val="0071567F"/>
    <w:rsid w:val="00716562"/>
    <w:rsid w:val="00716E72"/>
    <w:rsid w:val="00717AA8"/>
    <w:rsid w:val="007208DC"/>
    <w:rsid w:val="00720B8C"/>
    <w:rsid w:val="00720D5E"/>
    <w:rsid w:val="00720F2D"/>
    <w:rsid w:val="00721384"/>
    <w:rsid w:val="007218AC"/>
    <w:rsid w:val="00721943"/>
    <w:rsid w:val="00721BEC"/>
    <w:rsid w:val="0072242A"/>
    <w:rsid w:val="007229B7"/>
    <w:rsid w:val="00722E05"/>
    <w:rsid w:val="00723863"/>
    <w:rsid w:val="007246C2"/>
    <w:rsid w:val="0072629D"/>
    <w:rsid w:val="00727605"/>
    <w:rsid w:val="00730490"/>
    <w:rsid w:val="00730DA3"/>
    <w:rsid w:val="0073128C"/>
    <w:rsid w:val="00731AE3"/>
    <w:rsid w:val="00733C0D"/>
    <w:rsid w:val="00735648"/>
    <w:rsid w:val="007365B2"/>
    <w:rsid w:val="0073698A"/>
    <w:rsid w:val="0073707D"/>
    <w:rsid w:val="00740107"/>
    <w:rsid w:val="00740282"/>
    <w:rsid w:val="0074159D"/>
    <w:rsid w:val="0074186C"/>
    <w:rsid w:val="00742B89"/>
    <w:rsid w:val="00742CE3"/>
    <w:rsid w:val="00745278"/>
    <w:rsid w:val="00745357"/>
    <w:rsid w:val="00745C4C"/>
    <w:rsid w:val="00747045"/>
    <w:rsid w:val="00750316"/>
    <w:rsid w:val="00750ABA"/>
    <w:rsid w:val="00751691"/>
    <w:rsid w:val="00751818"/>
    <w:rsid w:val="007519A7"/>
    <w:rsid w:val="00751F98"/>
    <w:rsid w:val="00752CBB"/>
    <w:rsid w:val="0075310C"/>
    <w:rsid w:val="007537A4"/>
    <w:rsid w:val="00756508"/>
    <w:rsid w:val="00756603"/>
    <w:rsid w:val="007578EC"/>
    <w:rsid w:val="00757A87"/>
    <w:rsid w:val="00757A8D"/>
    <w:rsid w:val="007604D6"/>
    <w:rsid w:val="00760B0E"/>
    <w:rsid w:val="00764678"/>
    <w:rsid w:val="007648DB"/>
    <w:rsid w:val="007649A1"/>
    <w:rsid w:val="0076510D"/>
    <w:rsid w:val="0076578E"/>
    <w:rsid w:val="00765BD7"/>
    <w:rsid w:val="00767CB9"/>
    <w:rsid w:val="00770184"/>
    <w:rsid w:val="007708B6"/>
    <w:rsid w:val="00770BB7"/>
    <w:rsid w:val="00771201"/>
    <w:rsid w:val="00771827"/>
    <w:rsid w:val="0077270B"/>
    <w:rsid w:val="00772EDF"/>
    <w:rsid w:val="00773586"/>
    <w:rsid w:val="00775397"/>
    <w:rsid w:val="007757A8"/>
    <w:rsid w:val="00777F03"/>
    <w:rsid w:val="00780668"/>
    <w:rsid w:val="0078111D"/>
    <w:rsid w:val="0078187A"/>
    <w:rsid w:val="00782063"/>
    <w:rsid w:val="007826C1"/>
    <w:rsid w:val="00782D18"/>
    <w:rsid w:val="007834A4"/>
    <w:rsid w:val="007837EF"/>
    <w:rsid w:val="00783958"/>
    <w:rsid w:val="00784E8F"/>
    <w:rsid w:val="00785518"/>
    <w:rsid w:val="00785AF0"/>
    <w:rsid w:val="00785F06"/>
    <w:rsid w:val="00786D04"/>
    <w:rsid w:val="00786F03"/>
    <w:rsid w:val="0078738B"/>
    <w:rsid w:val="00787DF3"/>
    <w:rsid w:val="00787E98"/>
    <w:rsid w:val="007900BE"/>
    <w:rsid w:val="007903FF"/>
    <w:rsid w:val="007909A4"/>
    <w:rsid w:val="0079117E"/>
    <w:rsid w:val="007920A9"/>
    <w:rsid w:val="00792110"/>
    <w:rsid w:val="00792553"/>
    <w:rsid w:val="00792D26"/>
    <w:rsid w:val="00792E2D"/>
    <w:rsid w:val="00792EEF"/>
    <w:rsid w:val="00793983"/>
    <w:rsid w:val="00793CB2"/>
    <w:rsid w:val="00793E2D"/>
    <w:rsid w:val="00794E7B"/>
    <w:rsid w:val="007953CC"/>
    <w:rsid w:val="00795CD9"/>
    <w:rsid w:val="007961DB"/>
    <w:rsid w:val="007A13C1"/>
    <w:rsid w:val="007A251B"/>
    <w:rsid w:val="007A32F1"/>
    <w:rsid w:val="007A3CDE"/>
    <w:rsid w:val="007A4F5A"/>
    <w:rsid w:val="007A636D"/>
    <w:rsid w:val="007B041F"/>
    <w:rsid w:val="007B1E9A"/>
    <w:rsid w:val="007B2382"/>
    <w:rsid w:val="007B2743"/>
    <w:rsid w:val="007B3AD4"/>
    <w:rsid w:val="007B3B45"/>
    <w:rsid w:val="007B3F2E"/>
    <w:rsid w:val="007B4093"/>
    <w:rsid w:val="007B4265"/>
    <w:rsid w:val="007B50F5"/>
    <w:rsid w:val="007B625E"/>
    <w:rsid w:val="007B62D0"/>
    <w:rsid w:val="007B6B2E"/>
    <w:rsid w:val="007B6D8C"/>
    <w:rsid w:val="007B756E"/>
    <w:rsid w:val="007B79DB"/>
    <w:rsid w:val="007B7B33"/>
    <w:rsid w:val="007B7EBF"/>
    <w:rsid w:val="007C0A19"/>
    <w:rsid w:val="007C0CFF"/>
    <w:rsid w:val="007C2143"/>
    <w:rsid w:val="007C2F76"/>
    <w:rsid w:val="007C387E"/>
    <w:rsid w:val="007C45D4"/>
    <w:rsid w:val="007C4935"/>
    <w:rsid w:val="007C4AAC"/>
    <w:rsid w:val="007C5728"/>
    <w:rsid w:val="007C61A8"/>
    <w:rsid w:val="007C6827"/>
    <w:rsid w:val="007C6E89"/>
    <w:rsid w:val="007C70E9"/>
    <w:rsid w:val="007C732E"/>
    <w:rsid w:val="007C7C62"/>
    <w:rsid w:val="007D131E"/>
    <w:rsid w:val="007D1AAC"/>
    <w:rsid w:val="007D3F27"/>
    <w:rsid w:val="007D4383"/>
    <w:rsid w:val="007D492E"/>
    <w:rsid w:val="007D4CC4"/>
    <w:rsid w:val="007D4FBA"/>
    <w:rsid w:val="007D65DA"/>
    <w:rsid w:val="007D6F3A"/>
    <w:rsid w:val="007D7210"/>
    <w:rsid w:val="007D742A"/>
    <w:rsid w:val="007D7A82"/>
    <w:rsid w:val="007E0768"/>
    <w:rsid w:val="007E0B93"/>
    <w:rsid w:val="007E0E2B"/>
    <w:rsid w:val="007E28A4"/>
    <w:rsid w:val="007E30E5"/>
    <w:rsid w:val="007E35E9"/>
    <w:rsid w:val="007E3AEA"/>
    <w:rsid w:val="007E4962"/>
    <w:rsid w:val="007E4CA1"/>
    <w:rsid w:val="007E5858"/>
    <w:rsid w:val="007E5B33"/>
    <w:rsid w:val="007E6422"/>
    <w:rsid w:val="007E68E6"/>
    <w:rsid w:val="007E6EBE"/>
    <w:rsid w:val="007E752C"/>
    <w:rsid w:val="007E7746"/>
    <w:rsid w:val="007F1263"/>
    <w:rsid w:val="007F1974"/>
    <w:rsid w:val="007F1A2D"/>
    <w:rsid w:val="007F1F10"/>
    <w:rsid w:val="007F29D7"/>
    <w:rsid w:val="007F3520"/>
    <w:rsid w:val="007F39DF"/>
    <w:rsid w:val="007F3C3D"/>
    <w:rsid w:val="007F474E"/>
    <w:rsid w:val="007F4B5A"/>
    <w:rsid w:val="007F527C"/>
    <w:rsid w:val="007F5291"/>
    <w:rsid w:val="007F5504"/>
    <w:rsid w:val="007F60CA"/>
    <w:rsid w:val="00800517"/>
    <w:rsid w:val="00801821"/>
    <w:rsid w:val="00801864"/>
    <w:rsid w:val="00801B27"/>
    <w:rsid w:val="008024E5"/>
    <w:rsid w:val="008031DD"/>
    <w:rsid w:val="00803788"/>
    <w:rsid w:val="00804F4B"/>
    <w:rsid w:val="00805074"/>
    <w:rsid w:val="00805370"/>
    <w:rsid w:val="008053A1"/>
    <w:rsid w:val="0080560E"/>
    <w:rsid w:val="008056D8"/>
    <w:rsid w:val="00806FF5"/>
    <w:rsid w:val="008073B6"/>
    <w:rsid w:val="0080770E"/>
    <w:rsid w:val="00810952"/>
    <w:rsid w:val="0081102B"/>
    <w:rsid w:val="0081172E"/>
    <w:rsid w:val="008122A0"/>
    <w:rsid w:val="00812404"/>
    <w:rsid w:val="00812701"/>
    <w:rsid w:val="008131F4"/>
    <w:rsid w:val="00813A9B"/>
    <w:rsid w:val="00814217"/>
    <w:rsid w:val="00814598"/>
    <w:rsid w:val="00814666"/>
    <w:rsid w:val="00815335"/>
    <w:rsid w:val="0081542D"/>
    <w:rsid w:val="008158A1"/>
    <w:rsid w:val="00816200"/>
    <w:rsid w:val="008165F7"/>
    <w:rsid w:val="008170B9"/>
    <w:rsid w:val="0081729D"/>
    <w:rsid w:val="008172E6"/>
    <w:rsid w:val="0081760C"/>
    <w:rsid w:val="00817718"/>
    <w:rsid w:val="00817D2A"/>
    <w:rsid w:val="00820008"/>
    <w:rsid w:val="008211E8"/>
    <w:rsid w:val="00822B98"/>
    <w:rsid w:val="00823776"/>
    <w:rsid w:val="00823A47"/>
    <w:rsid w:val="00824A05"/>
    <w:rsid w:val="00824D55"/>
    <w:rsid w:val="00825472"/>
    <w:rsid w:val="00825C01"/>
    <w:rsid w:val="00825F07"/>
    <w:rsid w:val="00826033"/>
    <w:rsid w:val="0082728A"/>
    <w:rsid w:val="00827494"/>
    <w:rsid w:val="0083065A"/>
    <w:rsid w:val="00830FC2"/>
    <w:rsid w:val="00832DB6"/>
    <w:rsid w:val="00833167"/>
    <w:rsid w:val="00833D2F"/>
    <w:rsid w:val="00833DB4"/>
    <w:rsid w:val="00834EC2"/>
    <w:rsid w:val="0083546D"/>
    <w:rsid w:val="00835811"/>
    <w:rsid w:val="00836415"/>
    <w:rsid w:val="00840977"/>
    <w:rsid w:val="00840CE2"/>
    <w:rsid w:val="00840F75"/>
    <w:rsid w:val="00841ADC"/>
    <w:rsid w:val="00841C26"/>
    <w:rsid w:val="008420C7"/>
    <w:rsid w:val="0084275A"/>
    <w:rsid w:val="008428C6"/>
    <w:rsid w:val="00843180"/>
    <w:rsid w:val="008445D6"/>
    <w:rsid w:val="00844793"/>
    <w:rsid w:val="008456B6"/>
    <w:rsid w:val="008463DB"/>
    <w:rsid w:val="00846610"/>
    <w:rsid w:val="0084661A"/>
    <w:rsid w:val="00847CEF"/>
    <w:rsid w:val="00847FA4"/>
    <w:rsid w:val="00847FC6"/>
    <w:rsid w:val="008501AD"/>
    <w:rsid w:val="008505BE"/>
    <w:rsid w:val="00850E53"/>
    <w:rsid w:val="00851287"/>
    <w:rsid w:val="00851687"/>
    <w:rsid w:val="008516D8"/>
    <w:rsid w:val="008519EC"/>
    <w:rsid w:val="00851ACE"/>
    <w:rsid w:val="00851D3C"/>
    <w:rsid w:val="0085234D"/>
    <w:rsid w:val="00852351"/>
    <w:rsid w:val="0085242A"/>
    <w:rsid w:val="008526B6"/>
    <w:rsid w:val="0085308B"/>
    <w:rsid w:val="00855084"/>
    <w:rsid w:val="0085523E"/>
    <w:rsid w:val="00855D9E"/>
    <w:rsid w:val="00857585"/>
    <w:rsid w:val="00857AC4"/>
    <w:rsid w:val="008608F0"/>
    <w:rsid w:val="00860F8E"/>
    <w:rsid w:val="0086106C"/>
    <w:rsid w:val="008638A7"/>
    <w:rsid w:val="00863A6F"/>
    <w:rsid w:val="00864275"/>
    <w:rsid w:val="00864495"/>
    <w:rsid w:val="008648FF"/>
    <w:rsid w:val="00864DDA"/>
    <w:rsid w:val="00864F80"/>
    <w:rsid w:val="0086559C"/>
    <w:rsid w:val="008659C8"/>
    <w:rsid w:val="00866416"/>
    <w:rsid w:val="008666DB"/>
    <w:rsid w:val="008674AC"/>
    <w:rsid w:val="00867653"/>
    <w:rsid w:val="00870AB5"/>
    <w:rsid w:val="00870D7A"/>
    <w:rsid w:val="00870FFB"/>
    <w:rsid w:val="00871C78"/>
    <w:rsid w:val="00872E18"/>
    <w:rsid w:val="008732D7"/>
    <w:rsid w:val="00873550"/>
    <w:rsid w:val="00873C2E"/>
    <w:rsid w:val="00873D4F"/>
    <w:rsid w:val="00873ECE"/>
    <w:rsid w:val="008740C2"/>
    <w:rsid w:val="00874BEC"/>
    <w:rsid w:val="00874DC6"/>
    <w:rsid w:val="00875095"/>
    <w:rsid w:val="0087598A"/>
    <w:rsid w:val="00875BBF"/>
    <w:rsid w:val="00876069"/>
    <w:rsid w:val="00876109"/>
    <w:rsid w:val="0087616E"/>
    <w:rsid w:val="00877F58"/>
    <w:rsid w:val="00880CD7"/>
    <w:rsid w:val="00880D09"/>
    <w:rsid w:val="00881C1B"/>
    <w:rsid w:val="00881C76"/>
    <w:rsid w:val="008821AC"/>
    <w:rsid w:val="00882AA5"/>
    <w:rsid w:val="00883A74"/>
    <w:rsid w:val="008858C5"/>
    <w:rsid w:val="008858DA"/>
    <w:rsid w:val="00886265"/>
    <w:rsid w:val="00891846"/>
    <w:rsid w:val="00891A7A"/>
    <w:rsid w:val="00891C06"/>
    <w:rsid w:val="00891CC6"/>
    <w:rsid w:val="00892050"/>
    <w:rsid w:val="008951D5"/>
    <w:rsid w:val="008957B9"/>
    <w:rsid w:val="00896616"/>
    <w:rsid w:val="008970F2"/>
    <w:rsid w:val="00897C9E"/>
    <w:rsid w:val="008A17DD"/>
    <w:rsid w:val="008A185F"/>
    <w:rsid w:val="008A19EA"/>
    <w:rsid w:val="008A27A0"/>
    <w:rsid w:val="008A3181"/>
    <w:rsid w:val="008A5215"/>
    <w:rsid w:val="008A5A64"/>
    <w:rsid w:val="008A5F46"/>
    <w:rsid w:val="008A6A03"/>
    <w:rsid w:val="008A6FE2"/>
    <w:rsid w:val="008A796C"/>
    <w:rsid w:val="008A7B9C"/>
    <w:rsid w:val="008B18B4"/>
    <w:rsid w:val="008B26D4"/>
    <w:rsid w:val="008B2BB0"/>
    <w:rsid w:val="008B3471"/>
    <w:rsid w:val="008B4350"/>
    <w:rsid w:val="008B445E"/>
    <w:rsid w:val="008B45C3"/>
    <w:rsid w:val="008B4A41"/>
    <w:rsid w:val="008B5F95"/>
    <w:rsid w:val="008B6A0E"/>
    <w:rsid w:val="008B7306"/>
    <w:rsid w:val="008B79D2"/>
    <w:rsid w:val="008C0D84"/>
    <w:rsid w:val="008C1377"/>
    <w:rsid w:val="008C2BC5"/>
    <w:rsid w:val="008C2D5A"/>
    <w:rsid w:val="008C4B94"/>
    <w:rsid w:val="008C4E21"/>
    <w:rsid w:val="008C4F88"/>
    <w:rsid w:val="008C50B6"/>
    <w:rsid w:val="008C5367"/>
    <w:rsid w:val="008C56A5"/>
    <w:rsid w:val="008C5951"/>
    <w:rsid w:val="008C5A94"/>
    <w:rsid w:val="008C63F4"/>
    <w:rsid w:val="008C6DB7"/>
    <w:rsid w:val="008C6ECF"/>
    <w:rsid w:val="008C7691"/>
    <w:rsid w:val="008C7799"/>
    <w:rsid w:val="008C7A2E"/>
    <w:rsid w:val="008C7EC7"/>
    <w:rsid w:val="008D021C"/>
    <w:rsid w:val="008D0248"/>
    <w:rsid w:val="008D05CB"/>
    <w:rsid w:val="008D09A0"/>
    <w:rsid w:val="008D165D"/>
    <w:rsid w:val="008D19C2"/>
    <w:rsid w:val="008D1C38"/>
    <w:rsid w:val="008D1E05"/>
    <w:rsid w:val="008D2FC8"/>
    <w:rsid w:val="008D300A"/>
    <w:rsid w:val="008D33B9"/>
    <w:rsid w:val="008D3BB3"/>
    <w:rsid w:val="008D3D59"/>
    <w:rsid w:val="008D3D90"/>
    <w:rsid w:val="008D5299"/>
    <w:rsid w:val="008D5CF8"/>
    <w:rsid w:val="008D661C"/>
    <w:rsid w:val="008D69B8"/>
    <w:rsid w:val="008D71B7"/>
    <w:rsid w:val="008D7862"/>
    <w:rsid w:val="008E0F22"/>
    <w:rsid w:val="008E168D"/>
    <w:rsid w:val="008E16EA"/>
    <w:rsid w:val="008E2289"/>
    <w:rsid w:val="008E2608"/>
    <w:rsid w:val="008E2A9C"/>
    <w:rsid w:val="008E2FE5"/>
    <w:rsid w:val="008E32FD"/>
    <w:rsid w:val="008E34BD"/>
    <w:rsid w:val="008E35DD"/>
    <w:rsid w:val="008E404C"/>
    <w:rsid w:val="008E416D"/>
    <w:rsid w:val="008E4922"/>
    <w:rsid w:val="008E4FB4"/>
    <w:rsid w:val="008E5B59"/>
    <w:rsid w:val="008E5FFB"/>
    <w:rsid w:val="008E62AA"/>
    <w:rsid w:val="008E640B"/>
    <w:rsid w:val="008E66C7"/>
    <w:rsid w:val="008E6CEE"/>
    <w:rsid w:val="008F0059"/>
    <w:rsid w:val="008F028B"/>
    <w:rsid w:val="008F03F6"/>
    <w:rsid w:val="008F06B9"/>
    <w:rsid w:val="008F0C43"/>
    <w:rsid w:val="008F1455"/>
    <w:rsid w:val="008F24E4"/>
    <w:rsid w:val="008F4459"/>
    <w:rsid w:val="008F4922"/>
    <w:rsid w:val="008F4D7B"/>
    <w:rsid w:val="008F4E3E"/>
    <w:rsid w:val="008F6B14"/>
    <w:rsid w:val="008F7460"/>
    <w:rsid w:val="008F7F45"/>
    <w:rsid w:val="00900D57"/>
    <w:rsid w:val="0090109D"/>
    <w:rsid w:val="009012E2"/>
    <w:rsid w:val="00901E8C"/>
    <w:rsid w:val="009022C7"/>
    <w:rsid w:val="00902489"/>
    <w:rsid w:val="00902B2F"/>
    <w:rsid w:val="00903175"/>
    <w:rsid w:val="0090376A"/>
    <w:rsid w:val="00903A63"/>
    <w:rsid w:val="00903CCF"/>
    <w:rsid w:val="00903E42"/>
    <w:rsid w:val="00904717"/>
    <w:rsid w:val="00904C97"/>
    <w:rsid w:val="00910A43"/>
    <w:rsid w:val="00910C65"/>
    <w:rsid w:val="00910E4F"/>
    <w:rsid w:val="00912A9D"/>
    <w:rsid w:val="00912CE8"/>
    <w:rsid w:val="0091308A"/>
    <w:rsid w:val="009130C3"/>
    <w:rsid w:val="009131BC"/>
    <w:rsid w:val="0091396F"/>
    <w:rsid w:val="0091561E"/>
    <w:rsid w:val="009157A7"/>
    <w:rsid w:val="009159FB"/>
    <w:rsid w:val="00916161"/>
    <w:rsid w:val="009169E5"/>
    <w:rsid w:val="00916CE0"/>
    <w:rsid w:val="0091739A"/>
    <w:rsid w:val="009175C0"/>
    <w:rsid w:val="00920C72"/>
    <w:rsid w:val="0092273B"/>
    <w:rsid w:val="00922A6D"/>
    <w:rsid w:val="00923616"/>
    <w:rsid w:val="00923CC4"/>
    <w:rsid w:val="009240C6"/>
    <w:rsid w:val="00924458"/>
    <w:rsid w:val="00924721"/>
    <w:rsid w:val="0092533C"/>
    <w:rsid w:val="00925F62"/>
    <w:rsid w:val="009262F3"/>
    <w:rsid w:val="00926CE7"/>
    <w:rsid w:val="00927A2C"/>
    <w:rsid w:val="00927B59"/>
    <w:rsid w:val="00927C81"/>
    <w:rsid w:val="00927D6B"/>
    <w:rsid w:val="00927ECD"/>
    <w:rsid w:val="00930075"/>
    <w:rsid w:val="0093126A"/>
    <w:rsid w:val="00931D45"/>
    <w:rsid w:val="009327DD"/>
    <w:rsid w:val="00932A5E"/>
    <w:rsid w:val="00932F65"/>
    <w:rsid w:val="00933096"/>
    <w:rsid w:val="00933B4D"/>
    <w:rsid w:val="00933EE2"/>
    <w:rsid w:val="00934F9F"/>
    <w:rsid w:val="009355FE"/>
    <w:rsid w:val="00935FFE"/>
    <w:rsid w:val="009364C1"/>
    <w:rsid w:val="00936566"/>
    <w:rsid w:val="009369A0"/>
    <w:rsid w:val="00937F7F"/>
    <w:rsid w:val="0094038C"/>
    <w:rsid w:val="00940E31"/>
    <w:rsid w:val="00940EC0"/>
    <w:rsid w:val="00941E06"/>
    <w:rsid w:val="0094219B"/>
    <w:rsid w:val="0094227D"/>
    <w:rsid w:val="00942C00"/>
    <w:rsid w:val="00943154"/>
    <w:rsid w:val="0094377F"/>
    <w:rsid w:val="009442C4"/>
    <w:rsid w:val="009442E0"/>
    <w:rsid w:val="00944AD3"/>
    <w:rsid w:val="009450D2"/>
    <w:rsid w:val="0094565B"/>
    <w:rsid w:val="00946894"/>
    <w:rsid w:val="00947C53"/>
    <w:rsid w:val="00951558"/>
    <w:rsid w:val="00951644"/>
    <w:rsid w:val="009518B5"/>
    <w:rsid w:val="00951D62"/>
    <w:rsid w:val="00952297"/>
    <w:rsid w:val="00952A14"/>
    <w:rsid w:val="009537B5"/>
    <w:rsid w:val="00953C3F"/>
    <w:rsid w:val="00953DF9"/>
    <w:rsid w:val="00955DCB"/>
    <w:rsid w:val="00955E50"/>
    <w:rsid w:val="00956702"/>
    <w:rsid w:val="009570ED"/>
    <w:rsid w:val="00960120"/>
    <w:rsid w:val="0096098D"/>
    <w:rsid w:val="00960BC1"/>
    <w:rsid w:val="009611AE"/>
    <w:rsid w:val="00961F6A"/>
    <w:rsid w:val="009639E6"/>
    <w:rsid w:val="00963B53"/>
    <w:rsid w:val="00963DD9"/>
    <w:rsid w:val="0096422C"/>
    <w:rsid w:val="009647B8"/>
    <w:rsid w:val="00964976"/>
    <w:rsid w:val="0096758B"/>
    <w:rsid w:val="0096773F"/>
    <w:rsid w:val="00967B18"/>
    <w:rsid w:val="00967D47"/>
    <w:rsid w:val="009709CA"/>
    <w:rsid w:val="00970D09"/>
    <w:rsid w:val="00971F19"/>
    <w:rsid w:val="00971F8E"/>
    <w:rsid w:val="00972264"/>
    <w:rsid w:val="00972DED"/>
    <w:rsid w:val="0097359A"/>
    <w:rsid w:val="00973675"/>
    <w:rsid w:val="009745FF"/>
    <w:rsid w:val="00974632"/>
    <w:rsid w:val="009750D5"/>
    <w:rsid w:val="00975730"/>
    <w:rsid w:val="00975D1F"/>
    <w:rsid w:val="009779BF"/>
    <w:rsid w:val="00977A29"/>
    <w:rsid w:val="00980B20"/>
    <w:rsid w:val="00980E7B"/>
    <w:rsid w:val="009824DF"/>
    <w:rsid w:val="00983191"/>
    <w:rsid w:val="009834E4"/>
    <w:rsid w:val="009839BA"/>
    <w:rsid w:val="00984E1C"/>
    <w:rsid w:val="00985317"/>
    <w:rsid w:val="00985ADC"/>
    <w:rsid w:val="00985EAE"/>
    <w:rsid w:val="009863D5"/>
    <w:rsid w:val="009865DC"/>
    <w:rsid w:val="00986D7A"/>
    <w:rsid w:val="00986EAA"/>
    <w:rsid w:val="00987CCC"/>
    <w:rsid w:val="009904D9"/>
    <w:rsid w:val="00990F80"/>
    <w:rsid w:val="00992125"/>
    <w:rsid w:val="00992777"/>
    <w:rsid w:val="0099344F"/>
    <w:rsid w:val="00993615"/>
    <w:rsid w:val="0099371F"/>
    <w:rsid w:val="00993BAF"/>
    <w:rsid w:val="0099459A"/>
    <w:rsid w:val="00995AA4"/>
    <w:rsid w:val="00995AE8"/>
    <w:rsid w:val="00995E20"/>
    <w:rsid w:val="0099631F"/>
    <w:rsid w:val="00996A34"/>
    <w:rsid w:val="00996F13"/>
    <w:rsid w:val="0099746E"/>
    <w:rsid w:val="009A0534"/>
    <w:rsid w:val="009A05AC"/>
    <w:rsid w:val="009A13DA"/>
    <w:rsid w:val="009A2153"/>
    <w:rsid w:val="009A301B"/>
    <w:rsid w:val="009A3284"/>
    <w:rsid w:val="009A35F7"/>
    <w:rsid w:val="009A36AA"/>
    <w:rsid w:val="009A3986"/>
    <w:rsid w:val="009A5756"/>
    <w:rsid w:val="009A61F6"/>
    <w:rsid w:val="009A64CC"/>
    <w:rsid w:val="009A6C3B"/>
    <w:rsid w:val="009A72E0"/>
    <w:rsid w:val="009B00A7"/>
    <w:rsid w:val="009B1E11"/>
    <w:rsid w:val="009B26D8"/>
    <w:rsid w:val="009B35B4"/>
    <w:rsid w:val="009B3892"/>
    <w:rsid w:val="009B41D6"/>
    <w:rsid w:val="009B42F2"/>
    <w:rsid w:val="009B49FA"/>
    <w:rsid w:val="009B4C43"/>
    <w:rsid w:val="009B4F26"/>
    <w:rsid w:val="009B5621"/>
    <w:rsid w:val="009B5CD9"/>
    <w:rsid w:val="009B625E"/>
    <w:rsid w:val="009B658A"/>
    <w:rsid w:val="009B719D"/>
    <w:rsid w:val="009C004C"/>
    <w:rsid w:val="009C0652"/>
    <w:rsid w:val="009C06CE"/>
    <w:rsid w:val="009C0ACE"/>
    <w:rsid w:val="009C137F"/>
    <w:rsid w:val="009C14B6"/>
    <w:rsid w:val="009C298B"/>
    <w:rsid w:val="009C4276"/>
    <w:rsid w:val="009C4FDC"/>
    <w:rsid w:val="009C57EC"/>
    <w:rsid w:val="009C5B65"/>
    <w:rsid w:val="009C5D43"/>
    <w:rsid w:val="009C60E8"/>
    <w:rsid w:val="009C7451"/>
    <w:rsid w:val="009D00A1"/>
    <w:rsid w:val="009D107B"/>
    <w:rsid w:val="009D1652"/>
    <w:rsid w:val="009D1DCA"/>
    <w:rsid w:val="009D2412"/>
    <w:rsid w:val="009D2DC1"/>
    <w:rsid w:val="009D418F"/>
    <w:rsid w:val="009D4A96"/>
    <w:rsid w:val="009D6658"/>
    <w:rsid w:val="009D6DA9"/>
    <w:rsid w:val="009D743F"/>
    <w:rsid w:val="009D749E"/>
    <w:rsid w:val="009D74E5"/>
    <w:rsid w:val="009D765E"/>
    <w:rsid w:val="009E1976"/>
    <w:rsid w:val="009E2B78"/>
    <w:rsid w:val="009E2E3C"/>
    <w:rsid w:val="009E2FC9"/>
    <w:rsid w:val="009E38A7"/>
    <w:rsid w:val="009E498F"/>
    <w:rsid w:val="009E5A50"/>
    <w:rsid w:val="009E5A5A"/>
    <w:rsid w:val="009E6D75"/>
    <w:rsid w:val="009E6E29"/>
    <w:rsid w:val="009E765E"/>
    <w:rsid w:val="009E7693"/>
    <w:rsid w:val="009E7D8A"/>
    <w:rsid w:val="009F0946"/>
    <w:rsid w:val="009F2710"/>
    <w:rsid w:val="009F3687"/>
    <w:rsid w:val="009F3705"/>
    <w:rsid w:val="009F4792"/>
    <w:rsid w:val="009F47F1"/>
    <w:rsid w:val="009F53CB"/>
    <w:rsid w:val="009F54BC"/>
    <w:rsid w:val="009F5A7E"/>
    <w:rsid w:val="009F5B7F"/>
    <w:rsid w:val="009F5D63"/>
    <w:rsid w:val="009F6B89"/>
    <w:rsid w:val="009F72CE"/>
    <w:rsid w:val="009F72E8"/>
    <w:rsid w:val="009F76C9"/>
    <w:rsid w:val="009F7CBD"/>
    <w:rsid w:val="009F7E33"/>
    <w:rsid w:val="00A00D19"/>
    <w:rsid w:val="00A012DE"/>
    <w:rsid w:val="00A0163A"/>
    <w:rsid w:val="00A01870"/>
    <w:rsid w:val="00A01BF5"/>
    <w:rsid w:val="00A02240"/>
    <w:rsid w:val="00A0237A"/>
    <w:rsid w:val="00A03548"/>
    <w:rsid w:val="00A04CFC"/>
    <w:rsid w:val="00A0646D"/>
    <w:rsid w:val="00A0660B"/>
    <w:rsid w:val="00A06800"/>
    <w:rsid w:val="00A06E48"/>
    <w:rsid w:val="00A075ED"/>
    <w:rsid w:val="00A10001"/>
    <w:rsid w:val="00A11801"/>
    <w:rsid w:val="00A11D46"/>
    <w:rsid w:val="00A11FA0"/>
    <w:rsid w:val="00A122C6"/>
    <w:rsid w:val="00A125ED"/>
    <w:rsid w:val="00A12A27"/>
    <w:rsid w:val="00A1452A"/>
    <w:rsid w:val="00A14A21"/>
    <w:rsid w:val="00A14E78"/>
    <w:rsid w:val="00A14F38"/>
    <w:rsid w:val="00A150CA"/>
    <w:rsid w:val="00A17584"/>
    <w:rsid w:val="00A1764D"/>
    <w:rsid w:val="00A17C90"/>
    <w:rsid w:val="00A208BF"/>
    <w:rsid w:val="00A20C43"/>
    <w:rsid w:val="00A2157C"/>
    <w:rsid w:val="00A21F0D"/>
    <w:rsid w:val="00A238E4"/>
    <w:rsid w:val="00A2478F"/>
    <w:rsid w:val="00A25FB0"/>
    <w:rsid w:val="00A267AC"/>
    <w:rsid w:val="00A267D1"/>
    <w:rsid w:val="00A27418"/>
    <w:rsid w:val="00A279F3"/>
    <w:rsid w:val="00A27AEC"/>
    <w:rsid w:val="00A301CA"/>
    <w:rsid w:val="00A309F1"/>
    <w:rsid w:val="00A30A54"/>
    <w:rsid w:val="00A30B39"/>
    <w:rsid w:val="00A31370"/>
    <w:rsid w:val="00A336EC"/>
    <w:rsid w:val="00A33C51"/>
    <w:rsid w:val="00A33CD1"/>
    <w:rsid w:val="00A341AE"/>
    <w:rsid w:val="00A34645"/>
    <w:rsid w:val="00A36562"/>
    <w:rsid w:val="00A37334"/>
    <w:rsid w:val="00A37963"/>
    <w:rsid w:val="00A4001E"/>
    <w:rsid w:val="00A4039F"/>
    <w:rsid w:val="00A40479"/>
    <w:rsid w:val="00A405EC"/>
    <w:rsid w:val="00A40630"/>
    <w:rsid w:val="00A4147F"/>
    <w:rsid w:val="00A42472"/>
    <w:rsid w:val="00A42AAA"/>
    <w:rsid w:val="00A430F2"/>
    <w:rsid w:val="00A43349"/>
    <w:rsid w:val="00A43903"/>
    <w:rsid w:val="00A4391B"/>
    <w:rsid w:val="00A44497"/>
    <w:rsid w:val="00A45FBB"/>
    <w:rsid w:val="00A46CFE"/>
    <w:rsid w:val="00A46E37"/>
    <w:rsid w:val="00A47794"/>
    <w:rsid w:val="00A47E7E"/>
    <w:rsid w:val="00A51BDF"/>
    <w:rsid w:val="00A51DFC"/>
    <w:rsid w:val="00A529D6"/>
    <w:rsid w:val="00A532EC"/>
    <w:rsid w:val="00A53C13"/>
    <w:rsid w:val="00A545AA"/>
    <w:rsid w:val="00A54622"/>
    <w:rsid w:val="00A54ED7"/>
    <w:rsid w:val="00A55641"/>
    <w:rsid w:val="00A57B3E"/>
    <w:rsid w:val="00A57C9B"/>
    <w:rsid w:val="00A57E95"/>
    <w:rsid w:val="00A60B99"/>
    <w:rsid w:val="00A621CA"/>
    <w:rsid w:val="00A63645"/>
    <w:rsid w:val="00A63715"/>
    <w:rsid w:val="00A64137"/>
    <w:rsid w:val="00A64D82"/>
    <w:rsid w:val="00A652B5"/>
    <w:rsid w:val="00A654B0"/>
    <w:rsid w:val="00A665E8"/>
    <w:rsid w:val="00A66D27"/>
    <w:rsid w:val="00A66EDF"/>
    <w:rsid w:val="00A67E6F"/>
    <w:rsid w:val="00A7116A"/>
    <w:rsid w:val="00A7188C"/>
    <w:rsid w:val="00A7283E"/>
    <w:rsid w:val="00A72889"/>
    <w:rsid w:val="00A728DC"/>
    <w:rsid w:val="00A72CEC"/>
    <w:rsid w:val="00A735A6"/>
    <w:rsid w:val="00A7386A"/>
    <w:rsid w:val="00A73963"/>
    <w:rsid w:val="00A739B6"/>
    <w:rsid w:val="00A73EE8"/>
    <w:rsid w:val="00A74003"/>
    <w:rsid w:val="00A74ED6"/>
    <w:rsid w:val="00A74F06"/>
    <w:rsid w:val="00A7538F"/>
    <w:rsid w:val="00A76359"/>
    <w:rsid w:val="00A76B3B"/>
    <w:rsid w:val="00A77ECE"/>
    <w:rsid w:val="00A77F4B"/>
    <w:rsid w:val="00A8038C"/>
    <w:rsid w:val="00A805C7"/>
    <w:rsid w:val="00A80F9B"/>
    <w:rsid w:val="00A81002"/>
    <w:rsid w:val="00A81096"/>
    <w:rsid w:val="00A81377"/>
    <w:rsid w:val="00A82B26"/>
    <w:rsid w:val="00A831CE"/>
    <w:rsid w:val="00A847FC"/>
    <w:rsid w:val="00A8550F"/>
    <w:rsid w:val="00A858B3"/>
    <w:rsid w:val="00A85F92"/>
    <w:rsid w:val="00A86663"/>
    <w:rsid w:val="00A867A3"/>
    <w:rsid w:val="00A8718D"/>
    <w:rsid w:val="00A87C86"/>
    <w:rsid w:val="00A906BE"/>
    <w:rsid w:val="00A90B71"/>
    <w:rsid w:val="00A90EA7"/>
    <w:rsid w:val="00A914D6"/>
    <w:rsid w:val="00A91A68"/>
    <w:rsid w:val="00A9251E"/>
    <w:rsid w:val="00A94556"/>
    <w:rsid w:val="00A94C3A"/>
    <w:rsid w:val="00A94DE1"/>
    <w:rsid w:val="00A95093"/>
    <w:rsid w:val="00A95702"/>
    <w:rsid w:val="00A95B12"/>
    <w:rsid w:val="00A95C6C"/>
    <w:rsid w:val="00A95E01"/>
    <w:rsid w:val="00A96469"/>
    <w:rsid w:val="00A97BA5"/>
    <w:rsid w:val="00AA0610"/>
    <w:rsid w:val="00AA0BD6"/>
    <w:rsid w:val="00AA1914"/>
    <w:rsid w:val="00AA2B2E"/>
    <w:rsid w:val="00AA2B51"/>
    <w:rsid w:val="00AA2ED2"/>
    <w:rsid w:val="00AA41A8"/>
    <w:rsid w:val="00AA5CA5"/>
    <w:rsid w:val="00AA6995"/>
    <w:rsid w:val="00AA7009"/>
    <w:rsid w:val="00AA77DF"/>
    <w:rsid w:val="00AB0699"/>
    <w:rsid w:val="00AB2602"/>
    <w:rsid w:val="00AB266C"/>
    <w:rsid w:val="00AB2D95"/>
    <w:rsid w:val="00AB3770"/>
    <w:rsid w:val="00AB3805"/>
    <w:rsid w:val="00AB390B"/>
    <w:rsid w:val="00AB563B"/>
    <w:rsid w:val="00AB62C2"/>
    <w:rsid w:val="00AB69D2"/>
    <w:rsid w:val="00AB6D40"/>
    <w:rsid w:val="00AB74D5"/>
    <w:rsid w:val="00AB7587"/>
    <w:rsid w:val="00AB7835"/>
    <w:rsid w:val="00AC0445"/>
    <w:rsid w:val="00AC11F7"/>
    <w:rsid w:val="00AC1942"/>
    <w:rsid w:val="00AC24DA"/>
    <w:rsid w:val="00AC3031"/>
    <w:rsid w:val="00AC3361"/>
    <w:rsid w:val="00AC3579"/>
    <w:rsid w:val="00AC3AAC"/>
    <w:rsid w:val="00AC46B5"/>
    <w:rsid w:val="00AC4EF8"/>
    <w:rsid w:val="00AC52AD"/>
    <w:rsid w:val="00AC63C5"/>
    <w:rsid w:val="00AC67C9"/>
    <w:rsid w:val="00AC6F38"/>
    <w:rsid w:val="00AD007F"/>
    <w:rsid w:val="00AD0425"/>
    <w:rsid w:val="00AD050C"/>
    <w:rsid w:val="00AD0518"/>
    <w:rsid w:val="00AD1091"/>
    <w:rsid w:val="00AD2573"/>
    <w:rsid w:val="00AD372E"/>
    <w:rsid w:val="00AD5C87"/>
    <w:rsid w:val="00AD6F34"/>
    <w:rsid w:val="00AD7041"/>
    <w:rsid w:val="00AD7F88"/>
    <w:rsid w:val="00AE00C6"/>
    <w:rsid w:val="00AE12B8"/>
    <w:rsid w:val="00AE18AF"/>
    <w:rsid w:val="00AE23C7"/>
    <w:rsid w:val="00AE28B8"/>
    <w:rsid w:val="00AE414C"/>
    <w:rsid w:val="00AE530C"/>
    <w:rsid w:val="00AE586E"/>
    <w:rsid w:val="00AE6414"/>
    <w:rsid w:val="00AE6A1F"/>
    <w:rsid w:val="00AE6ADE"/>
    <w:rsid w:val="00AE6CC6"/>
    <w:rsid w:val="00AE7400"/>
    <w:rsid w:val="00AE76CC"/>
    <w:rsid w:val="00AF066C"/>
    <w:rsid w:val="00AF0EF4"/>
    <w:rsid w:val="00AF23B9"/>
    <w:rsid w:val="00AF2710"/>
    <w:rsid w:val="00AF2832"/>
    <w:rsid w:val="00AF3EF6"/>
    <w:rsid w:val="00B0099B"/>
    <w:rsid w:val="00B009DE"/>
    <w:rsid w:val="00B00FC9"/>
    <w:rsid w:val="00B01263"/>
    <w:rsid w:val="00B015F5"/>
    <w:rsid w:val="00B02385"/>
    <w:rsid w:val="00B0302B"/>
    <w:rsid w:val="00B03188"/>
    <w:rsid w:val="00B0434B"/>
    <w:rsid w:val="00B049E5"/>
    <w:rsid w:val="00B04BFC"/>
    <w:rsid w:val="00B04E1F"/>
    <w:rsid w:val="00B0598D"/>
    <w:rsid w:val="00B06818"/>
    <w:rsid w:val="00B0712E"/>
    <w:rsid w:val="00B07B9D"/>
    <w:rsid w:val="00B07ED6"/>
    <w:rsid w:val="00B1198C"/>
    <w:rsid w:val="00B12643"/>
    <w:rsid w:val="00B12C02"/>
    <w:rsid w:val="00B12ED0"/>
    <w:rsid w:val="00B137AE"/>
    <w:rsid w:val="00B15041"/>
    <w:rsid w:val="00B158E7"/>
    <w:rsid w:val="00B15E07"/>
    <w:rsid w:val="00B15EA2"/>
    <w:rsid w:val="00B1699D"/>
    <w:rsid w:val="00B16FDA"/>
    <w:rsid w:val="00B2108C"/>
    <w:rsid w:val="00B2227A"/>
    <w:rsid w:val="00B224D5"/>
    <w:rsid w:val="00B22ED8"/>
    <w:rsid w:val="00B23822"/>
    <w:rsid w:val="00B23C44"/>
    <w:rsid w:val="00B241B8"/>
    <w:rsid w:val="00B24A38"/>
    <w:rsid w:val="00B25064"/>
    <w:rsid w:val="00B25960"/>
    <w:rsid w:val="00B26CDC"/>
    <w:rsid w:val="00B31092"/>
    <w:rsid w:val="00B31464"/>
    <w:rsid w:val="00B31B12"/>
    <w:rsid w:val="00B31C5C"/>
    <w:rsid w:val="00B32F59"/>
    <w:rsid w:val="00B3350D"/>
    <w:rsid w:val="00B3364C"/>
    <w:rsid w:val="00B33F45"/>
    <w:rsid w:val="00B34FE6"/>
    <w:rsid w:val="00B368AE"/>
    <w:rsid w:val="00B37006"/>
    <w:rsid w:val="00B376AF"/>
    <w:rsid w:val="00B37704"/>
    <w:rsid w:val="00B37BCC"/>
    <w:rsid w:val="00B4003E"/>
    <w:rsid w:val="00B411F9"/>
    <w:rsid w:val="00B42173"/>
    <w:rsid w:val="00B4219C"/>
    <w:rsid w:val="00B4319F"/>
    <w:rsid w:val="00B43570"/>
    <w:rsid w:val="00B43F5B"/>
    <w:rsid w:val="00B44D0E"/>
    <w:rsid w:val="00B44F68"/>
    <w:rsid w:val="00B454FB"/>
    <w:rsid w:val="00B45C6F"/>
    <w:rsid w:val="00B47C6F"/>
    <w:rsid w:val="00B504A2"/>
    <w:rsid w:val="00B51009"/>
    <w:rsid w:val="00B51504"/>
    <w:rsid w:val="00B51D24"/>
    <w:rsid w:val="00B52E63"/>
    <w:rsid w:val="00B53390"/>
    <w:rsid w:val="00B5459E"/>
    <w:rsid w:val="00B547A8"/>
    <w:rsid w:val="00B54E7B"/>
    <w:rsid w:val="00B56924"/>
    <w:rsid w:val="00B56F3A"/>
    <w:rsid w:val="00B57178"/>
    <w:rsid w:val="00B57BDE"/>
    <w:rsid w:val="00B57FEA"/>
    <w:rsid w:val="00B60417"/>
    <w:rsid w:val="00B61819"/>
    <w:rsid w:val="00B64347"/>
    <w:rsid w:val="00B64DD2"/>
    <w:rsid w:val="00B6555F"/>
    <w:rsid w:val="00B658A6"/>
    <w:rsid w:val="00B66D27"/>
    <w:rsid w:val="00B66EF2"/>
    <w:rsid w:val="00B708EF"/>
    <w:rsid w:val="00B70EBD"/>
    <w:rsid w:val="00B729F7"/>
    <w:rsid w:val="00B72B01"/>
    <w:rsid w:val="00B73E0C"/>
    <w:rsid w:val="00B77598"/>
    <w:rsid w:val="00B802E9"/>
    <w:rsid w:val="00B80338"/>
    <w:rsid w:val="00B80D94"/>
    <w:rsid w:val="00B80E20"/>
    <w:rsid w:val="00B80E5D"/>
    <w:rsid w:val="00B81A50"/>
    <w:rsid w:val="00B81BEF"/>
    <w:rsid w:val="00B823AA"/>
    <w:rsid w:val="00B8287B"/>
    <w:rsid w:val="00B83AFA"/>
    <w:rsid w:val="00B84175"/>
    <w:rsid w:val="00B84274"/>
    <w:rsid w:val="00B84DFD"/>
    <w:rsid w:val="00B84FEE"/>
    <w:rsid w:val="00B85284"/>
    <w:rsid w:val="00B8566E"/>
    <w:rsid w:val="00B85E80"/>
    <w:rsid w:val="00B85F6A"/>
    <w:rsid w:val="00B86671"/>
    <w:rsid w:val="00B86C9A"/>
    <w:rsid w:val="00B86E84"/>
    <w:rsid w:val="00B8773C"/>
    <w:rsid w:val="00B87AB2"/>
    <w:rsid w:val="00B87B60"/>
    <w:rsid w:val="00B87BE5"/>
    <w:rsid w:val="00B87E56"/>
    <w:rsid w:val="00B87FA2"/>
    <w:rsid w:val="00B90467"/>
    <w:rsid w:val="00B912C0"/>
    <w:rsid w:val="00B9191B"/>
    <w:rsid w:val="00B919BF"/>
    <w:rsid w:val="00B91D5D"/>
    <w:rsid w:val="00B91F3B"/>
    <w:rsid w:val="00B92EBC"/>
    <w:rsid w:val="00B95787"/>
    <w:rsid w:val="00B96D74"/>
    <w:rsid w:val="00B976F5"/>
    <w:rsid w:val="00BA0281"/>
    <w:rsid w:val="00BA02DE"/>
    <w:rsid w:val="00BA09B1"/>
    <w:rsid w:val="00BA10F2"/>
    <w:rsid w:val="00BA12AF"/>
    <w:rsid w:val="00BA18BC"/>
    <w:rsid w:val="00BA1E0F"/>
    <w:rsid w:val="00BA2B4E"/>
    <w:rsid w:val="00BA2E49"/>
    <w:rsid w:val="00BA3496"/>
    <w:rsid w:val="00BA3B6A"/>
    <w:rsid w:val="00BA4230"/>
    <w:rsid w:val="00BA43C0"/>
    <w:rsid w:val="00BA4530"/>
    <w:rsid w:val="00BA4858"/>
    <w:rsid w:val="00BA62CD"/>
    <w:rsid w:val="00BA67A0"/>
    <w:rsid w:val="00BA6E99"/>
    <w:rsid w:val="00BA7091"/>
    <w:rsid w:val="00BA7D00"/>
    <w:rsid w:val="00BB1D02"/>
    <w:rsid w:val="00BB1F27"/>
    <w:rsid w:val="00BB2303"/>
    <w:rsid w:val="00BB2335"/>
    <w:rsid w:val="00BB2870"/>
    <w:rsid w:val="00BB298B"/>
    <w:rsid w:val="00BB2E0B"/>
    <w:rsid w:val="00BB2EE3"/>
    <w:rsid w:val="00BB35BD"/>
    <w:rsid w:val="00BB415B"/>
    <w:rsid w:val="00BB41E9"/>
    <w:rsid w:val="00BB4BE4"/>
    <w:rsid w:val="00BB5657"/>
    <w:rsid w:val="00BB6139"/>
    <w:rsid w:val="00BB64DE"/>
    <w:rsid w:val="00BB6B82"/>
    <w:rsid w:val="00BB7BB9"/>
    <w:rsid w:val="00BB7E1B"/>
    <w:rsid w:val="00BB7F5C"/>
    <w:rsid w:val="00BC1162"/>
    <w:rsid w:val="00BC18A1"/>
    <w:rsid w:val="00BC1A64"/>
    <w:rsid w:val="00BC1D6C"/>
    <w:rsid w:val="00BC256A"/>
    <w:rsid w:val="00BC28C8"/>
    <w:rsid w:val="00BC2E94"/>
    <w:rsid w:val="00BC3337"/>
    <w:rsid w:val="00BC3E3A"/>
    <w:rsid w:val="00BC54B2"/>
    <w:rsid w:val="00BC5FB7"/>
    <w:rsid w:val="00BC669D"/>
    <w:rsid w:val="00BC7818"/>
    <w:rsid w:val="00BD0E50"/>
    <w:rsid w:val="00BD237F"/>
    <w:rsid w:val="00BD42AB"/>
    <w:rsid w:val="00BD42BF"/>
    <w:rsid w:val="00BD43F8"/>
    <w:rsid w:val="00BD4782"/>
    <w:rsid w:val="00BD4CE5"/>
    <w:rsid w:val="00BD54C2"/>
    <w:rsid w:val="00BD582E"/>
    <w:rsid w:val="00BD5902"/>
    <w:rsid w:val="00BD5968"/>
    <w:rsid w:val="00BD72BA"/>
    <w:rsid w:val="00BD7487"/>
    <w:rsid w:val="00BE00FB"/>
    <w:rsid w:val="00BE0E52"/>
    <w:rsid w:val="00BE18C8"/>
    <w:rsid w:val="00BE27FE"/>
    <w:rsid w:val="00BE3454"/>
    <w:rsid w:val="00BE3B4D"/>
    <w:rsid w:val="00BE3BB8"/>
    <w:rsid w:val="00BE51F3"/>
    <w:rsid w:val="00BE5D79"/>
    <w:rsid w:val="00BE5E8E"/>
    <w:rsid w:val="00BE6571"/>
    <w:rsid w:val="00BF115F"/>
    <w:rsid w:val="00BF1636"/>
    <w:rsid w:val="00BF189E"/>
    <w:rsid w:val="00BF1C08"/>
    <w:rsid w:val="00BF1C54"/>
    <w:rsid w:val="00BF2702"/>
    <w:rsid w:val="00BF2888"/>
    <w:rsid w:val="00BF2D0D"/>
    <w:rsid w:val="00BF2E4F"/>
    <w:rsid w:val="00BF33CB"/>
    <w:rsid w:val="00BF34B1"/>
    <w:rsid w:val="00BF442C"/>
    <w:rsid w:val="00BF47D0"/>
    <w:rsid w:val="00BF5D81"/>
    <w:rsid w:val="00BF6718"/>
    <w:rsid w:val="00BF6E8B"/>
    <w:rsid w:val="00BF70D6"/>
    <w:rsid w:val="00BF7B5B"/>
    <w:rsid w:val="00BF7C6B"/>
    <w:rsid w:val="00C002C1"/>
    <w:rsid w:val="00C013BE"/>
    <w:rsid w:val="00C013DE"/>
    <w:rsid w:val="00C01B04"/>
    <w:rsid w:val="00C0271A"/>
    <w:rsid w:val="00C02818"/>
    <w:rsid w:val="00C02A8B"/>
    <w:rsid w:val="00C02B25"/>
    <w:rsid w:val="00C02FCF"/>
    <w:rsid w:val="00C03E6A"/>
    <w:rsid w:val="00C050EE"/>
    <w:rsid w:val="00C06C47"/>
    <w:rsid w:val="00C06D40"/>
    <w:rsid w:val="00C07EAB"/>
    <w:rsid w:val="00C1036F"/>
    <w:rsid w:val="00C104BB"/>
    <w:rsid w:val="00C11ACA"/>
    <w:rsid w:val="00C11E72"/>
    <w:rsid w:val="00C126A1"/>
    <w:rsid w:val="00C13F70"/>
    <w:rsid w:val="00C14A60"/>
    <w:rsid w:val="00C15098"/>
    <w:rsid w:val="00C152DC"/>
    <w:rsid w:val="00C15454"/>
    <w:rsid w:val="00C156A9"/>
    <w:rsid w:val="00C158FE"/>
    <w:rsid w:val="00C2085F"/>
    <w:rsid w:val="00C20A7C"/>
    <w:rsid w:val="00C21111"/>
    <w:rsid w:val="00C218D1"/>
    <w:rsid w:val="00C21BCD"/>
    <w:rsid w:val="00C23029"/>
    <w:rsid w:val="00C23F49"/>
    <w:rsid w:val="00C24A1C"/>
    <w:rsid w:val="00C24F4E"/>
    <w:rsid w:val="00C250F5"/>
    <w:rsid w:val="00C25572"/>
    <w:rsid w:val="00C2623A"/>
    <w:rsid w:val="00C26288"/>
    <w:rsid w:val="00C267E0"/>
    <w:rsid w:val="00C26F62"/>
    <w:rsid w:val="00C27834"/>
    <w:rsid w:val="00C27F03"/>
    <w:rsid w:val="00C32CE7"/>
    <w:rsid w:val="00C33AA0"/>
    <w:rsid w:val="00C340E0"/>
    <w:rsid w:val="00C347B1"/>
    <w:rsid w:val="00C34BBD"/>
    <w:rsid w:val="00C3516F"/>
    <w:rsid w:val="00C3521E"/>
    <w:rsid w:val="00C360B3"/>
    <w:rsid w:val="00C3685E"/>
    <w:rsid w:val="00C373AC"/>
    <w:rsid w:val="00C37439"/>
    <w:rsid w:val="00C374C8"/>
    <w:rsid w:val="00C37D2C"/>
    <w:rsid w:val="00C4028F"/>
    <w:rsid w:val="00C409E1"/>
    <w:rsid w:val="00C40A1B"/>
    <w:rsid w:val="00C40BE0"/>
    <w:rsid w:val="00C40DEF"/>
    <w:rsid w:val="00C41CB6"/>
    <w:rsid w:val="00C42480"/>
    <w:rsid w:val="00C431D3"/>
    <w:rsid w:val="00C43891"/>
    <w:rsid w:val="00C44423"/>
    <w:rsid w:val="00C45F94"/>
    <w:rsid w:val="00C4652B"/>
    <w:rsid w:val="00C46C7B"/>
    <w:rsid w:val="00C470FB"/>
    <w:rsid w:val="00C473FA"/>
    <w:rsid w:val="00C501B2"/>
    <w:rsid w:val="00C50256"/>
    <w:rsid w:val="00C52645"/>
    <w:rsid w:val="00C53CFF"/>
    <w:rsid w:val="00C54E61"/>
    <w:rsid w:val="00C5544C"/>
    <w:rsid w:val="00C5700D"/>
    <w:rsid w:val="00C61223"/>
    <w:rsid w:val="00C6288C"/>
    <w:rsid w:val="00C64C9E"/>
    <w:rsid w:val="00C66539"/>
    <w:rsid w:val="00C66595"/>
    <w:rsid w:val="00C667EC"/>
    <w:rsid w:val="00C66CF9"/>
    <w:rsid w:val="00C66E31"/>
    <w:rsid w:val="00C67734"/>
    <w:rsid w:val="00C710CA"/>
    <w:rsid w:val="00C71BA2"/>
    <w:rsid w:val="00C71C50"/>
    <w:rsid w:val="00C71E23"/>
    <w:rsid w:val="00C71FB1"/>
    <w:rsid w:val="00C72B35"/>
    <w:rsid w:val="00C73732"/>
    <w:rsid w:val="00C73BF7"/>
    <w:rsid w:val="00C741ED"/>
    <w:rsid w:val="00C745A8"/>
    <w:rsid w:val="00C747E9"/>
    <w:rsid w:val="00C74AAC"/>
    <w:rsid w:val="00C74B1D"/>
    <w:rsid w:val="00C74B4A"/>
    <w:rsid w:val="00C75203"/>
    <w:rsid w:val="00C754DA"/>
    <w:rsid w:val="00C76425"/>
    <w:rsid w:val="00C76E79"/>
    <w:rsid w:val="00C776D4"/>
    <w:rsid w:val="00C777C0"/>
    <w:rsid w:val="00C77878"/>
    <w:rsid w:val="00C77ABC"/>
    <w:rsid w:val="00C814AE"/>
    <w:rsid w:val="00C814F4"/>
    <w:rsid w:val="00C82778"/>
    <w:rsid w:val="00C82C84"/>
    <w:rsid w:val="00C83278"/>
    <w:rsid w:val="00C83571"/>
    <w:rsid w:val="00C840AE"/>
    <w:rsid w:val="00C84BB4"/>
    <w:rsid w:val="00C84CD5"/>
    <w:rsid w:val="00C852B2"/>
    <w:rsid w:val="00C85E52"/>
    <w:rsid w:val="00C86213"/>
    <w:rsid w:val="00C8636D"/>
    <w:rsid w:val="00C86920"/>
    <w:rsid w:val="00C86D6F"/>
    <w:rsid w:val="00C8729B"/>
    <w:rsid w:val="00C91118"/>
    <w:rsid w:val="00C916F6"/>
    <w:rsid w:val="00C91AE0"/>
    <w:rsid w:val="00C92767"/>
    <w:rsid w:val="00C93D6B"/>
    <w:rsid w:val="00C94969"/>
    <w:rsid w:val="00C94EF3"/>
    <w:rsid w:val="00C95470"/>
    <w:rsid w:val="00C96A28"/>
    <w:rsid w:val="00C977E3"/>
    <w:rsid w:val="00CA1B59"/>
    <w:rsid w:val="00CA237A"/>
    <w:rsid w:val="00CA2C4F"/>
    <w:rsid w:val="00CA3119"/>
    <w:rsid w:val="00CA4135"/>
    <w:rsid w:val="00CA57AC"/>
    <w:rsid w:val="00CA7012"/>
    <w:rsid w:val="00CA7049"/>
    <w:rsid w:val="00CA7908"/>
    <w:rsid w:val="00CB03DB"/>
    <w:rsid w:val="00CB0BF2"/>
    <w:rsid w:val="00CB0EA8"/>
    <w:rsid w:val="00CB1B11"/>
    <w:rsid w:val="00CB24DD"/>
    <w:rsid w:val="00CB28DC"/>
    <w:rsid w:val="00CB2C19"/>
    <w:rsid w:val="00CB2F30"/>
    <w:rsid w:val="00CB62C3"/>
    <w:rsid w:val="00CB6C17"/>
    <w:rsid w:val="00CB75AB"/>
    <w:rsid w:val="00CB760E"/>
    <w:rsid w:val="00CC0224"/>
    <w:rsid w:val="00CC03E3"/>
    <w:rsid w:val="00CC09EC"/>
    <w:rsid w:val="00CC0A57"/>
    <w:rsid w:val="00CC0E8C"/>
    <w:rsid w:val="00CC14DA"/>
    <w:rsid w:val="00CC1BC2"/>
    <w:rsid w:val="00CC217A"/>
    <w:rsid w:val="00CC2FBC"/>
    <w:rsid w:val="00CC3580"/>
    <w:rsid w:val="00CC3CEC"/>
    <w:rsid w:val="00CC3FFD"/>
    <w:rsid w:val="00CC48B7"/>
    <w:rsid w:val="00CC4B52"/>
    <w:rsid w:val="00CC4C11"/>
    <w:rsid w:val="00CC501B"/>
    <w:rsid w:val="00CC719E"/>
    <w:rsid w:val="00CD04E2"/>
    <w:rsid w:val="00CD0AEE"/>
    <w:rsid w:val="00CD13B8"/>
    <w:rsid w:val="00CD2194"/>
    <w:rsid w:val="00CD2D7B"/>
    <w:rsid w:val="00CD318A"/>
    <w:rsid w:val="00CD3733"/>
    <w:rsid w:val="00CD3FFD"/>
    <w:rsid w:val="00CD46CC"/>
    <w:rsid w:val="00CD493E"/>
    <w:rsid w:val="00CD499D"/>
    <w:rsid w:val="00CD4C63"/>
    <w:rsid w:val="00CD5AB2"/>
    <w:rsid w:val="00CD5C28"/>
    <w:rsid w:val="00CD64EF"/>
    <w:rsid w:val="00CD68E3"/>
    <w:rsid w:val="00CD713D"/>
    <w:rsid w:val="00CD7ABA"/>
    <w:rsid w:val="00CE003F"/>
    <w:rsid w:val="00CE0170"/>
    <w:rsid w:val="00CE06C1"/>
    <w:rsid w:val="00CE096C"/>
    <w:rsid w:val="00CE1245"/>
    <w:rsid w:val="00CE1A20"/>
    <w:rsid w:val="00CE1A78"/>
    <w:rsid w:val="00CE2CB6"/>
    <w:rsid w:val="00CE2FBE"/>
    <w:rsid w:val="00CE45DC"/>
    <w:rsid w:val="00CE4862"/>
    <w:rsid w:val="00CE4FFB"/>
    <w:rsid w:val="00CE54BC"/>
    <w:rsid w:val="00CE5518"/>
    <w:rsid w:val="00CE60BB"/>
    <w:rsid w:val="00CE6A93"/>
    <w:rsid w:val="00CF0E35"/>
    <w:rsid w:val="00CF18CB"/>
    <w:rsid w:val="00CF1E8C"/>
    <w:rsid w:val="00CF22C9"/>
    <w:rsid w:val="00CF2C6B"/>
    <w:rsid w:val="00CF2EA6"/>
    <w:rsid w:val="00CF3550"/>
    <w:rsid w:val="00CF4148"/>
    <w:rsid w:val="00CF56AF"/>
    <w:rsid w:val="00CF660B"/>
    <w:rsid w:val="00CF6B27"/>
    <w:rsid w:val="00CF7B1D"/>
    <w:rsid w:val="00D002E3"/>
    <w:rsid w:val="00D007ED"/>
    <w:rsid w:val="00D00BBB"/>
    <w:rsid w:val="00D01191"/>
    <w:rsid w:val="00D01981"/>
    <w:rsid w:val="00D02D1C"/>
    <w:rsid w:val="00D030A7"/>
    <w:rsid w:val="00D0345B"/>
    <w:rsid w:val="00D03DB3"/>
    <w:rsid w:val="00D03F8F"/>
    <w:rsid w:val="00D04053"/>
    <w:rsid w:val="00D04532"/>
    <w:rsid w:val="00D046EE"/>
    <w:rsid w:val="00D04CE7"/>
    <w:rsid w:val="00D04F21"/>
    <w:rsid w:val="00D055B6"/>
    <w:rsid w:val="00D0572A"/>
    <w:rsid w:val="00D05E4B"/>
    <w:rsid w:val="00D05F36"/>
    <w:rsid w:val="00D061DB"/>
    <w:rsid w:val="00D07CEB"/>
    <w:rsid w:val="00D07EA9"/>
    <w:rsid w:val="00D11934"/>
    <w:rsid w:val="00D12106"/>
    <w:rsid w:val="00D12409"/>
    <w:rsid w:val="00D126D2"/>
    <w:rsid w:val="00D12CA4"/>
    <w:rsid w:val="00D12FC6"/>
    <w:rsid w:val="00D13175"/>
    <w:rsid w:val="00D137C5"/>
    <w:rsid w:val="00D13B23"/>
    <w:rsid w:val="00D14AFF"/>
    <w:rsid w:val="00D14E70"/>
    <w:rsid w:val="00D15263"/>
    <w:rsid w:val="00D157FB"/>
    <w:rsid w:val="00D16245"/>
    <w:rsid w:val="00D163B5"/>
    <w:rsid w:val="00D17097"/>
    <w:rsid w:val="00D17A42"/>
    <w:rsid w:val="00D20A6F"/>
    <w:rsid w:val="00D20D42"/>
    <w:rsid w:val="00D21213"/>
    <w:rsid w:val="00D21897"/>
    <w:rsid w:val="00D21989"/>
    <w:rsid w:val="00D21EE8"/>
    <w:rsid w:val="00D220D0"/>
    <w:rsid w:val="00D22330"/>
    <w:rsid w:val="00D224C1"/>
    <w:rsid w:val="00D22D1E"/>
    <w:rsid w:val="00D23518"/>
    <w:rsid w:val="00D23786"/>
    <w:rsid w:val="00D2464D"/>
    <w:rsid w:val="00D252CA"/>
    <w:rsid w:val="00D25CB2"/>
    <w:rsid w:val="00D25EB6"/>
    <w:rsid w:val="00D26120"/>
    <w:rsid w:val="00D268BF"/>
    <w:rsid w:val="00D26DFA"/>
    <w:rsid w:val="00D26EB9"/>
    <w:rsid w:val="00D27896"/>
    <w:rsid w:val="00D3064A"/>
    <w:rsid w:val="00D3201E"/>
    <w:rsid w:val="00D3237C"/>
    <w:rsid w:val="00D325EB"/>
    <w:rsid w:val="00D32FBF"/>
    <w:rsid w:val="00D33617"/>
    <w:rsid w:val="00D33E67"/>
    <w:rsid w:val="00D341C3"/>
    <w:rsid w:val="00D34319"/>
    <w:rsid w:val="00D34A15"/>
    <w:rsid w:val="00D35905"/>
    <w:rsid w:val="00D35C6F"/>
    <w:rsid w:val="00D36274"/>
    <w:rsid w:val="00D36385"/>
    <w:rsid w:val="00D366B0"/>
    <w:rsid w:val="00D375A5"/>
    <w:rsid w:val="00D404F4"/>
    <w:rsid w:val="00D40E05"/>
    <w:rsid w:val="00D41D50"/>
    <w:rsid w:val="00D42541"/>
    <w:rsid w:val="00D42A08"/>
    <w:rsid w:val="00D459AF"/>
    <w:rsid w:val="00D4641C"/>
    <w:rsid w:val="00D4693B"/>
    <w:rsid w:val="00D4697F"/>
    <w:rsid w:val="00D46A3E"/>
    <w:rsid w:val="00D472B7"/>
    <w:rsid w:val="00D47A25"/>
    <w:rsid w:val="00D47DEB"/>
    <w:rsid w:val="00D47F5A"/>
    <w:rsid w:val="00D500AA"/>
    <w:rsid w:val="00D506D3"/>
    <w:rsid w:val="00D50DD1"/>
    <w:rsid w:val="00D510A2"/>
    <w:rsid w:val="00D51428"/>
    <w:rsid w:val="00D529C6"/>
    <w:rsid w:val="00D5374E"/>
    <w:rsid w:val="00D5488A"/>
    <w:rsid w:val="00D55601"/>
    <w:rsid w:val="00D5627D"/>
    <w:rsid w:val="00D56520"/>
    <w:rsid w:val="00D56FB8"/>
    <w:rsid w:val="00D57288"/>
    <w:rsid w:val="00D57388"/>
    <w:rsid w:val="00D57AD2"/>
    <w:rsid w:val="00D603CB"/>
    <w:rsid w:val="00D60AF4"/>
    <w:rsid w:val="00D60DD7"/>
    <w:rsid w:val="00D61646"/>
    <w:rsid w:val="00D6185D"/>
    <w:rsid w:val="00D61871"/>
    <w:rsid w:val="00D62281"/>
    <w:rsid w:val="00D623EA"/>
    <w:rsid w:val="00D6268A"/>
    <w:rsid w:val="00D62B10"/>
    <w:rsid w:val="00D62E44"/>
    <w:rsid w:val="00D630B1"/>
    <w:rsid w:val="00D6310E"/>
    <w:rsid w:val="00D6370C"/>
    <w:rsid w:val="00D63968"/>
    <w:rsid w:val="00D64CB0"/>
    <w:rsid w:val="00D65506"/>
    <w:rsid w:val="00D6573F"/>
    <w:rsid w:val="00D657D6"/>
    <w:rsid w:val="00D669C5"/>
    <w:rsid w:val="00D672F9"/>
    <w:rsid w:val="00D6772E"/>
    <w:rsid w:val="00D71776"/>
    <w:rsid w:val="00D7188A"/>
    <w:rsid w:val="00D71C41"/>
    <w:rsid w:val="00D7217C"/>
    <w:rsid w:val="00D72321"/>
    <w:rsid w:val="00D72A47"/>
    <w:rsid w:val="00D72C2E"/>
    <w:rsid w:val="00D730FE"/>
    <w:rsid w:val="00D732A5"/>
    <w:rsid w:val="00D73603"/>
    <w:rsid w:val="00D7407B"/>
    <w:rsid w:val="00D74475"/>
    <w:rsid w:val="00D7488E"/>
    <w:rsid w:val="00D75BC9"/>
    <w:rsid w:val="00D7627B"/>
    <w:rsid w:val="00D76C5D"/>
    <w:rsid w:val="00D76C95"/>
    <w:rsid w:val="00D76D11"/>
    <w:rsid w:val="00D80CA3"/>
    <w:rsid w:val="00D81175"/>
    <w:rsid w:val="00D814E3"/>
    <w:rsid w:val="00D81550"/>
    <w:rsid w:val="00D81C80"/>
    <w:rsid w:val="00D835C7"/>
    <w:rsid w:val="00D844CE"/>
    <w:rsid w:val="00D8480C"/>
    <w:rsid w:val="00D8523E"/>
    <w:rsid w:val="00D874A0"/>
    <w:rsid w:val="00D90008"/>
    <w:rsid w:val="00D906CB"/>
    <w:rsid w:val="00D9171E"/>
    <w:rsid w:val="00D9272B"/>
    <w:rsid w:val="00D92AB7"/>
    <w:rsid w:val="00D92AD2"/>
    <w:rsid w:val="00D94320"/>
    <w:rsid w:val="00D94B82"/>
    <w:rsid w:val="00D94C85"/>
    <w:rsid w:val="00D95A47"/>
    <w:rsid w:val="00D967FA"/>
    <w:rsid w:val="00D968CF"/>
    <w:rsid w:val="00D969C8"/>
    <w:rsid w:val="00D96B37"/>
    <w:rsid w:val="00D96BA1"/>
    <w:rsid w:val="00D97A3F"/>
    <w:rsid w:val="00D97F8B"/>
    <w:rsid w:val="00DA00A5"/>
    <w:rsid w:val="00DA1FAB"/>
    <w:rsid w:val="00DA2D6B"/>
    <w:rsid w:val="00DA2EB6"/>
    <w:rsid w:val="00DA3D33"/>
    <w:rsid w:val="00DA4219"/>
    <w:rsid w:val="00DA56E7"/>
    <w:rsid w:val="00DA59AC"/>
    <w:rsid w:val="00DA5BEE"/>
    <w:rsid w:val="00DA615C"/>
    <w:rsid w:val="00DA6619"/>
    <w:rsid w:val="00DA7037"/>
    <w:rsid w:val="00DA71E3"/>
    <w:rsid w:val="00DA7633"/>
    <w:rsid w:val="00DA7A35"/>
    <w:rsid w:val="00DA7ADD"/>
    <w:rsid w:val="00DA7F0E"/>
    <w:rsid w:val="00DB0243"/>
    <w:rsid w:val="00DB16B0"/>
    <w:rsid w:val="00DB173B"/>
    <w:rsid w:val="00DB264B"/>
    <w:rsid w:val="00DB28C1"/>
    <w:rsid w:val="00DB3694"/>
    <w:rsid w:val="00DB37A5"/>
    <w:rsid w:val="00DB3C7F"/>
    <w:rsid w:val="00DB507B"/>
    <w:rsid w:val="00DB6487"/>
    <w:rsid w:val="00DB660F"/>
    <w:rsid w:val="00DB774C"/>
    <w:rsid w:val="00DB7E2E"/>
    <w:rsid w:val="00DC0058"/>
    <w:rsid w:val="00DC0731"/>
    <w:rsid w:val="00DC0B39"/>
    <w:rsid w:val="00DC10AD"/>
    <w:rsid w:val="00DC1DDA"/>
    <w:rsid w:val="00DC1E9A"/>
    <w:rsid w:val="00DC287E"/>
    <w:rsid w:val="00DC29DD"/>
    <w:rsid w:val="00DC2A9D"/>
    <w:rsid w:val="00DC3207"/>
    <w:rsid w:val="00DC3C16"/>
    <w:rsid w:val="00DC5043"/>
    <w:rsid w:val="00DC54D7"/>
    <w:rsid w:val="00DC5839"/>
    <w:rsid w:val="00DC65F7"/>
    <w:rsid w:val="00DC67AC"/>
    <w:rsid w:val="00DC6CFF"/>
    <w:rsid w:val="00DC6D35"/>
    <w:rsid w:val="00DC71D9"/>
    <w:rsid w:val="00DC764F"/>
    <w:rsid w:val="00DC7836"/>
    <w:rsid w:val="00DD1AFD"/>
    <w:rsid w:val="00DD2260"/>
    <w:rsid w:val="00DD2317"/>
    <w:rsid w:val="00DD3684"/>
    <w:rsid w:val="00DD3AC5"/>
    <w:rsid w:val="00DD44ED"/>
    <w:rsid w:val="00DD4A5A"/>
    <w:rsid w:val="00DD4AA7"/>
    <w:rsid w:val="00DD6319"/>
    <w:rsid w:val="00DD6B08"/>
    <w:rsid w:val="00DD6C50"/>
    <w:rsid w:val="00DD725A"/>
    <w:rsid w:val="00DD72F1"/>
    <w:rsid w:val="00DE08B7"/>
    <w:rsid w:val="00DE0E72"/>
    <w:rsid w:val="00DE14CC"/>
    <w:rsid w:val="00DE1BF3"/>
    <w:rsid w:val="00DE236A"/>
    <w:rsid w:val="00DE23F9"/>
    <w:rsid w:val="00DE2619"/>
    <w:rsid w:val="00DE2A46"/>
    <w:rsid w:val="00DE2C13"/>
    <w:rsid w:val="00DE2C4B"/>
    <w:rsid w:val="00DE3DF3"/>
    <w:rsid w:val="00DE4028"/>
    <w:rsid w:val="00DE495A"/>
    <w:rsid w:val="00DE61E0"/>
    <w:rsid w:val="00DE6AFC"/>
    <w:rsid w:val="00DE71A1"/>
    <w:rsid w:val="00DE788A"/>
    <w:rsid w:val="00DE7C68"/>
    <w:rsid w:val="00DE7FE5"/>
    <w:rsid w:val="00DF0EDE"/>
    <w:rsid w:val="00DF11B4"/>
    <w:rsid w:val="00DF16F3"/>
    <w:rsid w:val="00DF173A"/>
    <w:rsid w:val="00DF30BC"/>
    <w:rsid w:val="00DF3857"/>
    <w:rsid w:val="00DF38C6"/>
    <w:rsid w:val="00DF3A93"/>
    <w:rsid w:val="00DF65BC"/>
    <w:rsid w:val="00DF6882"/>
    <w:rsid w:val="00DF69C2"/>
    <w:rsid w:val="00DF720A"/>
    <w:rsid w:val="00E007A5"/>
    <w:rsid w:val="00E0094D"/>
    <w:rsid w:val="00E01F49"/>
    <w:rsid w:val="00E01F5C"/>
    <w:rsid w:val="00E033AF"/>
    <w:rsid w:val="00E0479F"/>
    <w:rsid w:val="00E047EB"/>
    <w:rsid w:val="00E04952"/>
    <w:rsid w:val="00E04C1D"/>
    <w:rsid w:val="00E04D53"/>
    <w:rsid w:val="00E06041"/>
    <w:rsid w:val="00E07241"/>
    <w:rsid w:val="00E07493"/>
    <w:rsid w:val="00E074A7"/>
    <w:rsid w:val="00E07AE4"/>
    <w:rsid w:val="00E1021A"/>
    <w:rsid w:val="00E103F3"/>
    <w:rsid w:val="00E1064A"/>
    <w:rsid w:val="00E10A8D"/>
    <w:rsid w:val="00E10B82"/>
    <w:rsid w:val="00E10F80"/>
    <w:rsid w:val="00E11031"/>
    <w:rsid w:val="00E11074"/>
    <w:rsid w:val="00E118C7"/>
    <w:rsid w:val="00E11F09"/>
    <w:rsid w:val="00E131E1"/>
    <w:rsid w:val="00E1427C"/>
    <w:rsid w:val="00E1476F"/>
    <w:rsid w:val="00E14A73"/>
    <w:rsid w:val="00E1526F"/>
    <w:rsid w:val="00E17009"/>
    <w:rsid w:val="00E1723C"/>
    <w:rsid w:val="00E174B0"/>
    <w:rsid w:val="00E21283"/>
    <w:rsid w:val="00E214B3"/>
    <w:rsid w:val="00E219AE"/>
    <w:rsid w:val="00E21ACF"/>
    <w:rsid w:val="00E21D84"/>
    <w:rsid w:val="00E24851"/>
    <w:rsid w:val="00E24FF1"/>
    <w:rsid w:val="00E2520E"/>
    <w:rsid w:val="00E25B70"/>
    <w:rsid w:val="00E269BD"/>
    <w:rsid w:val="00E26CF7"/>
    <w:rsid w:val="00E26E12"/>
    <w:rsid w:val="00E2713F"/>
    <w:rsid w:val="00E272D7"/>
    <w:rsid w:val="00E2753C"/>
    <w:rsid w:val="00E27A48"/>
    <w:rsid w:val="00E3009A"/>
    <w:rsid w:val="00E308E5"/>
    <w:rsid w:val="00E319A1"/>
    <w:rsid w:val="00E320D5"/>
    <w:rsid w:val="00E32735"/>
    <w:rsid w:val="00E32C39"/>
    <w:rsid w:val="00E32EC4"/>
    <w:rsid w:val="00E339D6"/>
    <w:rsid w:val="00E34286"/>
    <w:rsid w:val="00E34873"/>
    <w:rsid w:val="00E34BF8"/>
    <w:rsid w:val="00E356E9"/>
    <w:rsid w:val="00E35B2E"/>
    <w:rsid w:val="00E363F7"/>
    <w:rsid w:val="00E36E3A"/>
    <w:rsid w:val="00E36F06"/>
    <w:rsid w:val="00E3718B"/>
    <w:rsid w:val="00E40D93"/>
    <w:rsid w:val="00E415B0"/>
    <w:rsid w:val="00E41D87"/>
    <w:rsid w:val="00E41F3E"/>
    <w:rsid w:val="00E42424"/>
    <w:rsid w:val="00E43EC9"/>
    <w:rsid w:val="00E43FF2"/>
    <w:rsid w:val="00E44562"/>
    <w:rsid w:val="00E44981"/>
    <w:rsid w:val="00E44AFB"/>
    <w:rsid w:val="00E44EE1"/>
    <w:rsid w:val="00E468DE"/>
    <w:rsid w:val="00E469DE"/>
    <w:rsid w:val="00E470C5"/>
    <w:rsid w:val="00E4761D"/>
    <w:rsid w:val="00E50105"/>
    <w:rsid w:val="00E51546"/>
    <w:rsid w:val="00E517C9"/>
    <w:rsid w:val="00E53177"/>
    <w:rsid w:val="00E535F9"/>
    <w:rsid w:val="00E53AA3"/>
    <w:rsid w:val="00E542A2"/>
    <w:rsid w:val="00E54771"/>
    <w:rsid w:val="00E54C5F"/>
    <w:rsid w:val="00E54DC0"/>
    <w:rsid w:val="00E5529D"/>
    <w:rsid w:val="00E5608B"/>
    <w:rsid w:val="00E56C0A"/>
    <w:rsid w:val="00E57600"/>
    <w:rsid w:val="00E57DCE"/>
    <w:rsid w:val="00E62BA3"/>
    <w:rsid w:val="00E641D3"/>
    <w:rsid w:val="00E64E21"/>
    <w:rsid w:val="00E65A7C"/>
    <w:rsid w:val="00E67B6B"/>
    <w:rsid w:val="00E70596"/>
    <w:rsid w:val="00E74155"/>
    <w:rsid w:val="00E7495F"/>
    <w:rsid w:val="00E75622"/>
    <w:rsid w:val="00E758AD"/>
    <w:rsid w:val="00E76093"/>
    <w:rsid w:val="00E76591"/>
    <w:rsid w:val="00E76989"/>
    <w:rsid w:val="00E777F6"/>
    <w:rsid w:val="00E77B4E"/>
    <w:rsid w:val="00E77BD6"/>
    <w:rsid w:val="00E80189"/>
    <w:rsid w:val="00E80461"/>
    <w:rsid w:val="00E805E3"/>
    <w:rsid w:val="00E8075C"/>
    <w:rsid w:val="00E81725"/>
    <w:rsid w:val="00E818EF"/>
    <w:rsid w:val="00E8339F"/>
    <w:rsid w:val="00E849B5"/>
    <w:rsid w:val="00E853D3"/>
    <w:rsid w:val="00E85DA5"/>
    <w:rsid w:val="00E85EBF"/>
    <w:rsid w:val="00E86058"/>
    <w:rsid w:val="00E869EC"/>
    <w:rsid w:val="00E90B19"/>
    <w:rsid w:val="00E90B25"/>
    <w:rsid w:val="00E92150"/>
    <w:rsid w:val="00E92513"/>
    <w:rsid w:val="00E92F9E"/>
    <w:rsid w:val="00E93B33"/>
    <w:rsid w:val="00E946AA"/>
    <w:rsid w:val="00E950B8"/>
    <w:rsid w:val="00E95256"/>
    <w:rsid w:val="00E953E1"/>
    <w:rsid w:val="00E95499"/>
    <w:rsid w:val="00E9578F"/>
    <w:rsid w:val="00E96FC5"/>
    <w:rsid w:val="00E97C26"/>
    <w:rsid w:val="00E97E89"/>
    <w:rsid w:val="00EA127F"/>
    <w:rsid w:val="00EA20D7"/>
    <w:rsid w:val="00EA214A"/>
    <w:rsid w:val="00EA2E42"/>
    <w:rsid w:val="00EA3661"/>
    <w:rsid w:val="00EA4F30"/>
    <w:rsid w:val="00EA53AC"/>
    <w:rsid w:val="00EA5630"/>
    <w:rsid w:val="00EA5E15"/>
    <w:rsid w:val="00EA6197"/>
    <w:rsid w:val="00EA6777"/>
    <w:rsid w:val="00EA6809"/>
    <w:rsid w:val="00EA74CF"/>
    <w:rsid w:val="00EA7685"/>
    <w:rsid w:val="00EA7E32"/>
    <w:rsid w:val="00EA7E3E"/>
    <w:rsid w:val="00EB0802"/>
    <w:rsid w:val="00EB0CCD"/>
    <w:rsid w:val="00EB0FA6"/>
    <w:rsid w:val="00EB10ED"/>
    <w:rsid w:val="00EB179F"/>
    <w:rsid w:val="00EB1874"/>
    <w:rsid w:val="00EB1FDA"/>
    <w:rsid w:val="00EB3374"/>
    <w:rsid w:val="00EB34F0"/>
    <w:rsid w:val="00EB3535"/>
    <w:rsid w:val="00EB4098"/>
    <w:rsid w:val="00EB41F1"/>
    <w:rsid w:val="00EB51C2"/>
    <w:rsid w:val="00EB6092"/>
    <w:rsid w:val="00EB6509"/>
    <w:rsid w:val="00EB677A"/>
    <w:rsid w:val="00EB6E06"/>
    <w:rsid w:val="00EB6E11"/>
    <w:rsid w:val="00EB764D"/>
    <w:rsid w:val="00EC06E3"/>
    <w:rsid w:val="00EC15E1"/>
    <w:rsid w:val="00EC344D"/>
    <w:rsid w:val="00EC3506"/>
    <w:rsid w:val="00EC3827"/>
    <w:rsid w:val="00EC3945"/>
    <w:rsid w:val="00EC40E5"/>
    <w:rsid w:val="00EC429E"/>
    <w:rsid w:val="00EC4611"/>
    <w:rsid w:val="00EC4808"/>
    <w:rsid w:val="00EC63A6"/>
    <w:rsid w:val="00EC6BEE"/>
    <w:rsid w:val="00EC75CB"/>
    <w:rsid w:val="00EC7F7E"/>
    <w:rsid w:val="00ED0C58"/>
    <w:rsid w:val="00ED100B"/>
    <w:rsid w:val="00ED17E9"/>
    <w:rsid w:val="00ED1CFF"/>
    <w:rsid w:val="00ED1DD2"/>
    <w:rsid w:val="00ED207A"/>
    <w:rsid w:val="00ED2489"/>
    <w:rsid w:val="00ED2707"/>
    <w:rsid w:val="00ED4B50"/>
    <w:rsid w:val="00ED4C37"/>
    <w:rsid w:val="00ED4D13"/>
    <w:rsid w:val="00ED4DFA"/>
    <w:rsid w:val="00ED5E53"/>
    <w:rsid w:val="00ED6A25"/>
    <w:rsid w:val="00ED74FB"/>
    <w:rsid w:val="00ED74FE"/>
    <w:rsid w:val="00EE196A"/>
    <w:rsid w:val="00EE2565"/>
    <w:rsid w:val="00EE28C2"/>
    <w:rsid w:val="00EE2D6C"/>
    <w:rsid w:val="00EE325B"/>
    <w:rsid w:val="00EE431F"/>
    <w:rsid w:val="00EE45EE"/>
    <w:rsid w:val="00EE46D1"/>
    <w:rsid w:val="00EE4B77"/>
    <w:rsid w:val="00EE52B0"/>
    <w:rsid w:val="00EE530C"/>
    <w:rsid w:val="00EE63DB"/>
    <w:rsid w:val="00EE6545"/>
    <w:rsid w:val="00EE69FE"/>
    <w:rsid w:val="00EE6D08"/>
    <w:rsid w:val="00EF050B"/>
    <w:rsid w:val="00EF062A"/>
    <w:rsid w:val="00EF0F27"/>
    <w:rsid w:val="00EF1020"/>
    <w:rsid w:val="00EF1B40"/>
    <w:rsid w:val="00EF2CDE"/>
    <w:rsid w:val="00EF3C9A"/>
    <w:rsid w:val="00EF3DE4"/>
    <w:rsid w:val="00EF461D"/>
    <w:rsid w:val="00EF4896"/>
    <w:rsid w:val="00EF5614"/>
    <w:rsid w:val="00EF6063"/>
    <w:rsid w:val="00EF655C"/>
    <w:rsid w:val="00EF67F4"/>
    <w:rsid w:val="00EF6B18"/>
    <w:rsid w:val="00EF73E8"/>
    <w:rsid w:val="00F0048B"/>
    <w:rsid w:val="00F007C2"/>
    <w:rsid w:val="00F016FB"/>
    <w:rsid w:val="00F01735"/>
    <w:rsid w:val="00F01950"/>
    <w:rsid w:val="00F01CCF"/>
    <w:rsid w:val="00F01D6C"/>
    <w:rsid w:val="00F028C8"/>
    <w:rsid w:val="00F02D0F"/>
    <w:rsid w:val="00F033FC"/>
    <w:rsid w:val="00F03F6B"/>
    <w:rsid w:val="00F05B50"/>
    <w:rsid w:val="00F05FA4"/>
    <w:rsid w:val="00F075B3"/>
    <w:rsid w:val="00F07682"/>
    <w:rsid w:val="00F1049F"/>
    <w:rsid w:val="00F10A21"/>
    <w:rsid w:val="00F11ECF"/>
    <w:rsid w:val="00F12C02"/>
    <w:rsid w:val="00F131F9"/>
    <w:rsid w:val="00F139C2"/>
    <w:rsid w:val="00F14D6A"/>
    <w:rsid w:val="00F14FDE"/>
    <w:rsid w:val="00F15219"/>
    <w:rsid w:val="00F15C0E"/>
    <w:rsid w:val="00F15C70"/>
    <w:rsid w:val="00F1633C"/>
    <w:rsid w:val="00F166C7"/>
    <w:rsid w:val="00F16CB6"/>
    <w:rsid w:val="00F176A2"/>
    <w:rsid w:val="00F1774D"/>
    <w:rsid w:val="00F208C2"/>
    <w:rsid w:val="00F20E5B"/>
    <w:rsid w:val="00F20EF4"/>
    <w:rsid w:val="00F21724"/>
    <w:rsid w:val="00F224F3"/>
    <w:rsid w:val="00F22C1E"/>
    <w:rsid w:val="00F2462B"/>
    <w:rsid w:val="00F24A68"/>
    <w:rsid w:val="00F24AAC"/>
    <w:rsid w:val="00F260BA"/>
    <w:rsid w:val="00F26DDC"/>
    <w:rsid w:val="00F26FEB"/>
    <w:rsid w:val="00F27393"/>
    <w:rsid w:val="00F27D67"/>
    <w:rsid w:val="00F30BC8"/>
    <w:rsid w:val="00F31086"/>
    <w:rsid w:val="00F3181E"/>
    <w:rsid w:val="00F31AD3"/>
    <w:rsid w:val="00F33DA1"/>
    <w:rsid w:val="00F33DC1"/>
    <w:rsid w:val="00F33EA3"/>
    <w:rsid w:val="00F34169"/>
    <w:rsid w:val="00F34522"/>
    <w:rsid w:val="00F34729"/>
    <w:rsid w:val="00F3488D"/>
    <w:rsid w:val="00F34C05"/>
    <w:rsid w:val="00F34E90"/>
    <w:rsid w:val="00F35002"/>
    <w:rsid w:val="00F3567D"/>
    <w:rsid w:val="00F365F9"/>
    <w:rsid w:val="00F37DFB"/>
    <w:rsid w:val="00F40E14"/>
    <w:rsid w:val="00F41AC3"/>
    <w:rsid w:val="00F42A96"/>
    <w:rsid w:val="00F43C23"/>
    <w:rsid w:val="00F4504F"/>
    <w:rsid w:val="00F467B4"/>
    <w:rsid w:val="00F46C02"/>
    <w:rsid w:val="00F474B1"/>
    <w:rsid w:val="00F475C1"/>
    <w:rsid w:val="00F50078"/>
    <w:rsid w:val="00F50B61"/>
    <w:rsid w:val="00F52535"/>
    <w:rsid w:val="00F527FF"/>
    <w:rsid w:val="00F5401F"/>
    <w:rsid w:val="00F54B0D"/>
    <w:rsid w:val="00F54E8F"/>
    <w:rsid w:val="00F54EE2"/>
    <w:rsid w:val="00F55930"/>
    <w:rsid w:val="00F55B9F"/>
    <w:rsid w:val="00F576D1"/>
    <w:rsid w:val="00F57A82"/>
    <w:rsid w:val="00F604EB"/>
    <w:rsid w:val="00F605C8"/>
    <w:rsid w:val="00F6078D"/>
    <w:rsid w:val="00F6099C"/>
    <w:rsid w:val="00F62BCD"/>
    <w:rsid w:val="00F6393A"/>
    <w:rsid w:val="00F63C9B"/>
    <w:rsid w:val="00F63DF1"/>
    <w:rsid w:val="00F63F65"/>
    <w:rsid w:val="00F64295"/>
    <w:rsid w:val="00F65111"/>
    <w:rsid w:val="00F656D5"/>
    <w:rsid w:val="00F66372"/>
    <w:rsid w:val="00F6772F"/>
    <w:rsid w:val="00F67792"/>
    <w:rsid w:val="00F679A6"/>
    <w:rsid w:val="00F67ABB"/>
    <w:rsid w:val="00F67BC6"/>
    <w:rsid w:val="00F7016F"/>
    <w:rsid w:val="00F7131E"/>
    <w:rsid w:val="00F71EFC"/>
    <w:rsid w:val="00F71F63"/>
    <w:rsid w:val="00F71FE9"/>
    <w:rsid w:val="00F72860"/>
    <w:rsid w:val="00F72910"/>
    <w:rsid w:val="00F736A8"/>
    <w:rsid w:val="00F73F4D"/>
    <w:rsid w:val="00F74BA2"/>
    <w:rsid w:val="00F75B8D"/>
    <w:rsid w:val="00F761A7"/>
    <w:rsid w:val="00F76625"/>
    <w:rsid w:val="00F770DC"/>
    <w:rsid w:val="00F7783B"/>
    <w:rsid w:val="00F8012D"/>
    <w:rsid w:val="00F80350"/>
    <w:rsid w:val="00F803A9"/>
    <w:rsid w:val="00F80703"/>
    <w:rsid w:val="00F81A60"/>
    <w:rsid w:val="00F8285D"/>
    <w:rsid w:val="00F82F8C"/>
    <w:rsid w:val="00F84A72"/>
    <w:rsid w:val="00F84C8E"/>
    <w:rsid w:val="00F85255"/>
    <w:rsid w:val="00F854C7"/>
    <w:rsid w:val="00F85EC4"/>
    <w:rsid w:val="00F86253"/>
    <w:rsid w:val="00F87904"/>
    <w:rsid w:val="00F87B46"/>
    <w:rsid w:val="00F87D05"/>
    <w:rsid w:val="00F9021A"/>
    <w:rsid w:val="00F90517"/>
    <w:rsid w:val="00F91272"/>
    <w:rsid w:val="00F91359"/>
    <w:rsid w:val="00F914DB"/>
    <w:rsid w:val="00F921AC"/>
    <w:rsid w:val="00F92C77"/>
    <w:rsid w:val="00F92D61"/>
    <w:rsid w:val="00F9343C"/>
    <w:rsid w:val="00F93653"/>
    <w:rsid w:val="00F939A4"/>
    <w:rsid w:val="00F93C68"/>
    <w:rsid w:val="00F93D0A"/>
    <w:rsid w:val="00F93ED8"/>
    <w:rsid w:val="00F93F82"/>
    <w:rsid w:val="00F9526D"/>
    <w:rsid w:val="00F952AC"/>
    <w:rsid w:val="00F967AE"/>
    <w:rsid w:val="00F96A44"/>
    <w:rsid w:val="00F96EAB"/>
    <w:rsid w:val="00F973AB"/>
    <w:rsid w:val="00F97748"/>
    <w:rsid w:val="00F97DFA"/>
    <w:rsid w:val="00FA0EC6"/>
    <w:rsid w:val="00FA17EE"/>
    <w:rsid w:val="00FA1EC1"/>
    <w:rsid w:val="00FA21FB"/>
    <w:rsid w:val="00FA2256"/>
    <w:rsid w:val="00FA2612"/>
    <w:rsid w:val="00FA37D9"/>
    <w:rsid w:val="00FA39D7"/>
    <w:rsid w:val="00FA3F82"/>
    <w:rsid w:val="00FA4E13"/>
    <w:rsid w:val="00FA51A7"/>
    <w:rsid w:val="00FA548A"/>
    <w:rsid w:val="00FA65D8"/>
    <w:rsid w:val="00FA7B5B"/>
    <w:rsid w:val="00FB0C7E"/>
    <w:rsid w:val="00FB2733"/>
    <w:rsid w:val="00FB3056"/>
    <w:rsid w:val="00FB371C"/>
    <w:rsid w:val="00FB4B1D"/>
    <w:rsid w:val="00FB5A57"/>
    <w:rsid w:val="00FB5BF0"/>
    <w:rsid w:val="00FB6723"/>
    <w:rsid w:val="00FB6CEF"/>
    <w:rsid w:val="00FB6CF3"/>
    <w:rsid w:val="00FC0EFD"/>
    <w:rsid w:val="00FC1506"/>
    <w:rsid w:val="00FC1C34"/>
    <w:rsid w:val="00FC35EF"/>
    <w:rsid w:val="00FC36DD"/>
    <w:rsid w:val="00FC47F0"/>
    <w:rsid w:val="00FC4FB0"/>
    <w:rsid w:val="00FC5340"/>
    <w:rsid w:val="00FC561F"/>
    <w:rsid w:val="00FC5B70"/>
    <w:rsid w:val="00FC6D95"/>
    <w:rsid w:val="00FC71E5"/>
    <w:rsid w:val="00FC79C0"/>
    <w:rsid w:val="00FC7B39"/>
    <w:rsid w:val="00FD116A"/>
    <w:rsid w:val="00FD1326"/>
    <w:rsid w:val="00FD1808"/>
    <w:rsid w:val="00FD1F4F"/>
    <w:rsid w:val="00FD223B"/>
    <w:rsid w:val="00FD2864"/>
    <w:rsid w:val="00FD3469"/>
    <w:rsid w:val="00FD3BED"/>
    <w:rsid w:val="00FD3F2E"/>
    <w:rsid w:val="00FD43A6"/>
    <w:rsid w:val="00FD4E40"/>
    <w:rsid w:val="00FD59FC"/>
    <w:rsid w:val="00FD5A1E"/>
    <w:rsid w:val="00FD67C5"/>
    <w:rsid w:val="00FD6A0D"/>
    <w:rsid w:val="00FD747C"/>
    <w:rsid w:val="00FD7F78"/>
    <w:rsid w:val="00FE06C0"/>
    <w:rsid w:val="00FE1A3C"/>
    <w:rsid w:val="00FE268A"/>
    <w:rsid w:val="00FE2782"/>
    <w:rsid w:val="00FE2AA9"/>
    <w:rsid w:val="00FE4864"/>
    <w:rsid w:val="00FE4891"/>
    <w:rsid w:val="00FE4DE0"/>
    <w:rsid w:val="00FE5FDE"/>
    <w:rsid w:val="00FE5FF3"/>
    <w:rsid w:val="00FE6086"/>
    <w:rsid w:val="00FE62FC"/>
    <w:rsid w:val="00FE64A4"/>
    <w:rsid w:val="00FE68F5"/>
    <w:rsid w:val="00FF039A"/>
    <w:rsid w:val="00FF0B48"/>
    <w:rsid w:val="00FF0F5E"/>
    <w:rsid w:val="00FF10FE"/>
    <w:rsid w:val="00FF1832"/>
    <w:rsid w:val="00FF1B87"/>
    <w:rsid w:val="00FF2174"/>
    <w:rsid w:val="00FF2BD0"/>
    <w:rsid w:val="00FF2D03"/>
    <w:rsid w:val="00FF2D0E"/>
    <w:rsid w:val="00FF3A0D"/>
    <w:rsid w:val="00FF4EB7"/>
    <w:rsid w:val="00FF5057"/>
    <w:rsid w:val="00FF6243"/>
    <w:rsid w:val="00FF7935"/>
    <w:rsid w:val="00FF7AC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E29CF9"/>
  <w15:chartTrackingRefBased/>
  <w15:docId w15:val="{C3C70395-0811-4ED5-A09B-9278FD19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pPr>
    <w:rPr>
      <w:rFonts w:ascii="Cambria" w:hAnsi="Cambria"/>
      <w:sz w:val="24"/>
      <w:lang w:val="en-GB" w:eastAsia="en-US"/>
    </w:rPr>
  </w:style>
  <w:style w:type="paragraph" w:styleId="Heading1">
    <w:name w:val="heading 1"/>
    <w:basedOn w:val="Normal"/>
    <w:next w:val="Normal"/>
    <w:link w:val="Heading1Char1"/>
    <w:uiPriority w:val="99"/>
    <w:qFormat/>
    <w:pPr>
      <w:keepNext/>
      <w:keepLines/>
      <w:outlineLvl w:val="0"/>
    </w:pPr>
    <w:rPr>
      <w:rFonts w:ascii="Calibri" w:hAnsi="Calibri"/>
      <w:b/>
      <w:bCs/>
      <w:color w:val="17365D"/>
      <w:sz w:val="28"/>
      <w:szCs w:val="28"/>
      <w:lang w:val="x-none"/>
    </w:rPr>
  </w:style>
  <w:style w:type="paragraph" w:styleId="Heading2">
    <w:name w:val="heading 2"/>
    <w:basedOn w:val="Normal"/>
    <w:next w:val="Normal"/>
    <w:link w:val="Heading2Char1"/>
    <w:uiPriority w:val="99"/>
    <w:qFormat/>
    <w:pPr>
      <w:keepNext/>
      <w:keepLines/>
      <w:spacing w:before="200"/>
      <w:outlineLvl w:val="1"/>
    </w:pPr>
    <w:rPr>
      <w:rFonts w:ascii="Calibri" w:hAnsi="Calibri"/>
      <w:b/>
      <w:bCs/>
      <w:color w:val="365F91"/>
      <w:sz w:val="26"/>
      <w:szCs w:val="26"/>
      <w:lang w:val="en-US"/>
    </w:rPr>
  </w:style>
  <w:style w:type="paragraph" w:styleId="Heading3">
    <w:name w:val="heading 3"/>
    <w:basedOn w:val="Normal"/>
    <w:next w:val="Normal"/>
    <w:link w:val="Heading3Char1"/>
    <w:uiPriority w:val="99"/>
    <w:qFormat/>
    <w:rsid w:val="00120B2C"/>
    <w:pPr>
      <w:keepNext/>
      <w:keepLines/>
      <w:spacing w:before="200"/>
      <w:outlineLvl w:val="2"/>
    </w:pPr>
    <w:rPr>
      <w:rFonts w:ascii="Calibri" w:hAnsi="Calibri"/>
      <w:b/>
      <w:bCs/>
      <w:color w:val="2F5496" w:themeColor="accent1" w:themeShade="BF"/>
      <w:lang w:val="en-US"/>
    </w:rPr>
  </w:style>
  <w:style w:type="paragraph" w:styleId="Heading4">
    <w:name w:val="heading 4"/>
    <w:basedOn w:val="Normal"/>
    <w:next w:val="Normal"/>
    <w:link w:val="Heading4Char1"/>
    <w:uiPriority w:val="99"/>
    <w:qFormat/>
    <w:pPr>
      <w:keepNext/>
      <w:spacing w:before="240" w:after="60"/>
      <w:outlineLvl w:val="3"/>
    </w:pPr>
    <w:rPr>
      <w:rFonts w:ascii="Calibri" w:hAnsi="Calibri"/>
      <w:b/>
      <w:bCs/>
      <w:szCs w:val="28"/>
      <w:lang w:val="en-US"/>
    </w:rPr>
  </w:style>
  <w:style w:type="paragraph" w:styleId="Heading5">
    <w:name w:val="heading 5"/>
    <w:basedOn w:val="Normal"/>
    <w:next w:val="Normal"/>
    <w:link w:val="Heading5Char1"/>
    <w:uiPriority w:val="99"/>
    <w:qFormat/>
    <w:pPr>
      <w:spacing w:before="240" w:after="60"/>
      <w:outlineLvl w:val="4"/>
    </w:pPr>
    <w:rPr>
      <w:rFonts w:ascii="Calibri" w:hAnsi="Calibri"/>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Pr>
      <w:rFonts w:ascii="Calibri" w:hAnsi="Calibri" w:cs="Times New Roman"/>
      <w:b/>
      <w:bCs/>
      <w:color w:val="17365D"/>
      <w:sz w:val="28"/>
      <w:szCs w:val="28"/>
      <w:lang w:val="en-AU" w:eastAsia="en-US" w:bidi="ar-SA"/>
    </w:rPr>
  </w:style>
  <w:style w:type="character" w:customStyle="1" w:styleId="Heading2Char">
    <w:name w:val="Heading 2 Char"/>
    <w:uiPriority w:val="99"/>
    <w:locked/>
    <w:rPr>
      <w:rFonts w:ascii="Calibri" w:hAnsi="Calibri" w:cs="Times New Roman"/>
      <w:b/>
      <w:bCs/>
      <w:color w:val="365F91"/>
      <w:sz w:val="26"/>
      <w:szCs w:val="26"/>
      <w:lang w:val="en-AU" w:eastAsia="en-US" w:bidi="ar-SA"/>
    </w:rPr>
  </w:style>
  <w:style w:type="character" w:customStyle="1" w:styleId="Heading3Char">
    <w:name w:val="Heading 3 Char"/>
    <w:uiPriority w:val="99"/>
    <w:locked/>
    <w:rPr>
      <w:rFonts w:ascii="Calibri" w:hAnsi="Calibri" w:cs="Times New Roman"/>
      <w:b/>
      <w:bCs/>
      <w:color w:val="4F81BD"/>
      <w:sz w:val="24"/>
      <w:lang w:val="en-AU" w:eastAsia="en-US" w:bidi="ar-SA"/>
    </w:rPr>
  </w:style>
  <w:style w:type="character" w:customStyle="1" w:styleId="Heading4Char">
    <w:name w:val="Heading 4 Char"/>
    <w:uiPriority w:val="99"/>
    <w:locked/>
    <w:rPr>
      <w:rFonts w:ascii="Calibri" w:hAnsi="Calibri" w:cs="Times New Roman"/>
      <w:b/>
      <w:bCs/>
      <w:sz w:val="28"/>
      <w:szCs w:val="28"/>
      <w:lang w:val="en-AU" w:eastAsia="en-US" w:bidi="ar-SA"/>
    </w:rPr>
  </w:style>
  <w:style w:type="character" w:customStyle="1" w:styleId="Heading5Char">
    <w:name w:val="Heading 5 Char"/>
    <w:uiPriority w:val="99"/>
    <w:locked/>
    <w:rPr>
      <w:rFonts w:ascii="Calibri" w:hAnsi="Calibri" w:cs="Times New Roman"/>
      <w:b/>
      <w:bCs/>
      <w:i/>
      <w:iCs/>
      <w:sz w:val="26"/>
      <w:szCs w:val="26"/>
      <w:lang w:val="en-AU" w:eastAsia="en-US" w:bidi="ar-SA"/>
    </w:rPr>
  </w:style>
  <w:style w:type="paragraph" w:styleId="Title">
    <w:name w:val="Title"/>
    <w:basedOn w:val="Normal"/>
    <w:next w:val="Normal"/>
    <w:link w:val="TitleChar1"/>
    <w:uiPriority w:val="99"/>
    <w:qFormat/>
    <w:pPr>
      <w:pBdr>
        <w:bottom w:val="single" w:sz="8" w:space="4" w:color="4F81BD"/>
      </w:pBdr>
      <w:spacing w:after="300"/>
      <w:contextualSpacing/>
    </w:pPr>
    <w:rPr>
      <w:color w:val="17365D"/>
      <w:spacing w:val="5"/>
      <w:kern w:val="28"/>
      <w:sz w:val="52"/>
      <w:szCs w:val="52"/>
      <w:lang w:val="x-none" w:eastAsia="x-none"/>
    </w:rPr>
  </w:style>
  <w:style w:type="character" w:customStyle="1" w:styleId="TitleChar">
    <w:name w:val="Title Char"/>
    <w:uiPriority w:val="99"/>
    <w:locked/>
    <w:rPr>
      <w:rFonts w:ascii="Cambria" w:hAnsi="Cambria" w:cs="Times New Roman"/>
      <w:color w:val="17365D"/>
      <w:spacing w:val="5"/>
      <w:kern w:val="28"/>
      <w:sz w:val="52"/>
      <w:szCs w:val="52"/>
      <w:lang w:val="en-AU" w:eastAsia="en-US" w:bidi="ar-SA"/>
    </w:rPr>
  </w:style>
  <w:style w:type="character" w:customStyle="1" w:styleId="TitleChar1">
    <w:name w:val="Title Char1"/>
    <w:link w:val="Title"/>
    <w:uiPriority w:val="99"/>
    <w:locked/>
    <w:rPr>
      <w:rFonts w:ascii="Cambria" w:hAnsi="Cambria" w:cs="Times New Roman"/>
      <w:color w:val="17365D"/>
      <w:spacing w:val="5"/>
      <w:kern w:val="28"/>
      <w:sz w:val="52"/>
      <w:szCs w:val="52"/>
    </w:rPr>
  </w:style>
  <w:style w:type="character" w:customStyle="1" w:styleId="Heading1Char1">
    <w:name w:val="Heading 1 Char1"/>
    <w:link w:val="Heading1"/>
    <w:uiPriority w:val="99"/>
    <w:locked/>
    <w:rPr>
      <w:rFonts w:ascii="Calibri" w:hAnsi="Calibri" w:cs="Times New Roman"/>
      <w:b/>
      <w:bCs/>
      <w:color w:val="17365D"/>
      <w:sz w:val="28"/>
      <w:szCs w:val="28"/>
      <w:lang w:eastAsia="en-US"/>
    </w:rPr>
  </w:style>
  <w:style w:type="paragraph" w:styleId="DocumentMap">
    <w:name w:val="Document Map"/>
    <w:basedOn w:val="Normal"/>
    <w:link w:val="DocumentMapChar1"/>
    <w:uiPriority w:val="99"/>
    <w:rPr>
      <w:rFonts w:ascii="Tahoma" w:hAnsi="Tahoma"/>
      <w:sz w:val="16"/>
      <w:szCs w:val="16"/>
      <w:lang w:val="x-none" w:eastAsia="x-none"/>
    </w:rPr>
  </w:style>
  <w:style w:type="character" w:customStyle="1" w:styleId="DocumentMapChar">
    <w:name w:val="Document Map Char"/>
    <w:uiPriority w:val="99"/>
    <w:locked/>
    <w:rPr>
      <w:rFonts w:ascii="Tahoma" w:hAnsi="Tahoma" w:cs="Tahoma"/>
      <w:sz w:val="16"/>
      <w:szCs w:val="16"/>
      <w:lang w:val="en-AU" w:eastAsia="en-US" w:bidi="ar-SA"/>
    </w:rPr>
  </w:style>
  <w:style w:type="character" w:customStyle="1" w:styleId="DocumentMapChar1">
    <w:name w:val="Document Map Char1"/>
    <w:link w:val="DocumentMap"/>
    <w:uiPriority w:val="99"/>
    <w:locked/>
    <w:rPr>
      <w:rFonts w:ascii="Tahoma" w:hAnsi="Tahoma" w:cs="Tahoma"/>
      <w:sz w:val="16"/>
      <w:szCs w:val="16"/>
    </w:rPr>
  </w:style>
  <w:style w:type="character" w:customStyle="1" w:styleId="Heading2Char1">
    <w:name w:val="Heading 2 Char1"/>
    <w:link w:val="Heading2"/>
    <w:uiPriority w:val="99"/>
    <w:locked/>
    <w:rPr>
      <w:rFonts w:ascii="Calibri" w:hAnsi="Calibri" w:cs="Times New Roman"/>
      <w:b/>
      <w:bCs/>
      <w:color w:val="365F91"/>
      <w:sz w:val="26"/>
      <w:szCs w:val="26"/>
      <w:lang w:val="en-US"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Text"/>
    <w:link w:val="TableTextChar"/>
    <w:uiPriority w:val="99"/>
    <w:qFormat/>
    <w:pPr>
      <w:keepNext/>
      <w:spacing w:before="80" w:after="80"/>
    </w:pPr>
    <w:rPr>
      <w:rFonts w:ascii="Arial Narrow" w:hAnsi="Arial Narrow"/>
      <w:lang w:val="en-GB" w:eastAsia="en-US"/>
    </w:rPr>
  </w:style>
  <w:style w:type="character" w:customStyle="1" w:styleId="TableTextChar">
    <w:name w:val="TableText Char"/>
    <w:link w:val="TableText"/>
    <w:uiPriority w:val="99"/>
    <w:locked/>
    <w:rPr>
      <w:rFonts w:ascii="Arial Narrow" w:hAnsi="Arial Narrow"/>
      <w:lang w:val="en-GB" w:eastAsia="en-US" w:bidi="ar-SA"/>
    </w:rPr>
  </w:style>
  <w:style w:type="paragraph" w:styleId="BalloonText">
    <w:name w:val="Balloon Text"/>
    <w:basedOn w:val="Normal"/>
    <w:link w:val="BalloonTextChar1"/>
    <w:uiPriority w:val="99"/>
    <w:semiHidden/>
    <w:rPr>
      <w:rFonts w:ascii="Tahoma" w:hAnsi="Tahoma"/>
      <w:sz w:val="16"/>
      <w:szCs w:val="16"/>
      <w:lang w:val="x-none" w:eastAsia="x-none"/>
    </w:rPr>
  </w:style>
  <w:style w:type="character" w:customStyle="1" w:styleId="BalloonTextChar">
    <w:name w:val="Balloon Text Char"/>
    <w:uiPriority w:val="99"/>
    <w:semiHidden/>
    <w:locked/>
    <w:rPr>
      <w:rFonts w:ascii="Tahoma" w:hAnsi="Tahoma" w:cs="Tahoma"/>
      <w:sz w:val="16"/>
      <w:szCs w:val="16"/>
      <w:lang w:val="en-AU" w:eastAsia="en-US" w:bidi="ar-SA"/>
    </w:rPr>
  </w:style>
  <w:style w:type="character" w:customStyle="1" w:styleId="BalloonTextChar1">
    <w:name w:val="Balloon Text Char1"/>
    <w:link w:val="BalloonText"/>
    <w:uiPriority w:val="99"/>
    <w:semiHidden/>
    <w:locked/>
    <w:rPr>
      <w:rFonts w:ascii="Tahoma" w:hAnsi="Tahoma" w:cs="Tahoma"/>
      <w:sz w:val="16"/>
      <w:szCs w:val="16"/>
    </w:rPr>
  </w:style>
  <w:style w:type="paragraph" w:styleId="TOC1">
    <w:name w:val="toc 1"/>
    <w:basedOn w:val="TableName"/>
    <w:next w:val="Normal"/>
    <w:autoRedefine/>
    <w:uiPriority w:val="39"/>
    <w:rsid w:val="0033583D"/>
    <w:pPr>
      <w:tabs>
        <w:tab w:val="right" w:pos="8222"/>
      </w:tabs>
      <w:spacing w:before="120" w:after="80"/>
      <w:ind w:left="0" w:firstLine="0"/>
    </w:pPr>
    <w:rPr>
      <w:noProof/>
    </w:rPr>
  </w:style>
  <w:style w:type="paragraph" w:styleId="TOC2">
    <w:name w:val="toc 2"/>
    <w:basedOn w:val="TableText"/>
    <w:next w:val="Normal"/>
    <w:autoRedefine/>
    <w:uiPriority w:val="39"/>
    <w:pPr>
      <w:keepNext w:val="0"/>
      <w:tabs>
        <w:tab w:val="right" w:pos="8222"/>
      </w:tabs>
      <w:spacing w:before="40"/>
      <w:ind w:left="210"/>
    </w:pPr>
    <w:rPr>
      <w:noProof/>
    </w:rPr>
  </w:style>
  <w:style w:type="character" w:styleId="Hyperlink">
    <w:name w:val="Hyperlink"/>
    <w:uiPriority w:val="99"/>
    <w:rPr>
      <w:rFonts w:cs="Times New Roman"/>
      <w:color w:val="0000FF"/>
      <w:u w:val="single"/>
    </w:rPr>
  </w:style>
  <w:style w:type="table" w:customStyle="1" w:styleId="ColorfulList1">
    <w:name w:val="Colorful List1"/>
    <w:uiPriority w:val="99"/>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6">
    <w:name w:val="Colorful List Accent 6"/>
    <w:basedOn w:val="TableNormal"/>
    <w:uiPriority w:val="99"/>
    <w:rPr>
      <w:rFonts w:eastAsia="Times New Roman"/>
      <w:color w:val="000000"/>
    </w:rPr>
    <w:tblPr>
      <w:tblStyleRowBandSize w:val="1"/>
      <w:tblStyleColBandSize w:val="1"/>
    </w:tblPr>
    <w:tcPr>
      <w:shd w:val="clear" w:color="auto" w:fill="FEF4EC"/>
    </w:tcPr>
    <w:tblStylePr w:type="firstRow">
      <w:rPr>
        <w:rFonts w:cs="Times New Roman"/>
      </w:rPr>
      <w:tblPr/>
      <w:tcPr>
        <w:tcBorders>
          <w:bottom w:val="single" w:sz="12" w:space="0" w:color="FFFFFF"/>
        </w:tcBorders>
        <w:shd w:val="clear" w:color="auto" w:fill="348DA5"/>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character" w:customStyle="1" w:styleId="Heading3Char1">
    <w:name w:val="Heading 3 Char1"/>
    <w:link w:val="Heading3"/>
    <w:uiPriority w:val="99"/>
    <w:locked/>
    <w:rsid w:val="00120B2C"/>
    <w:rPr>
      <w:rFonts w:ascii="Calibri" w:hAnsi="Calibri"/>
      <w:b/>
      <w:bCs/>
      <w:color w:val="2F5496" w:themeColor="accent1" w:themeShade="BF"/>
      <w:sz w:val="24"/>
      <w:lang w:val="en-US" w:eastAsia="en-US"/>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2"/>
    <w:uiPriority w:val="99"/>
    <w:rsid w:val="005E3549"/>
    <w:rPr>
      <w:rFonts w:ascii="Calibri" w:hAnsi="Calibri"/>
      <w:sz w:val="22"/>
      <w:lang w:val="x-none"/>
    </w:rPr>
  </w:style>
  <w:style w:type="character" w:customStyle="1" w:styleId="CommentTextChar">
    <w:name w:val="Comment Text Char"/>
    <w:uiPriority w:val="99"/>
    <w:locked/>
    <w:rPr>
      <w:rFonts w:ascii="Cambria" w:hAnsi="Cambria" w:cs="Times New Roman"/>
      <w:sz w:val="24"/>
      <w:lang w:val="en-AU" w:eastAsia="en-US" w:bidi="ar-SA"/>
    </w:rPr>
  </w:style>
  <w:style w:type="character" w:customStyle="1" w:styleId="CommentTextChar2">
    <w:name w:val="Comment Text Char2"/>
    <w:link w:val="CommentText"/>
    <w:locked/>
    <w:rsid w:val="005E3549"/>
    <w:rPr>
      <w:rFonts w:ascii="Calibri" w:hAnsi="Calibri"/>
      <w:sz w:val="22"/>
      <w:lang w:val="x-none" w:eastAsia="en-US"/>
    </w:rPr>
  </w:style>
  <w:style w:type="paragraph" w:styleId="CommentSubject">
    <w:name w:val="annotation subject"/>
    <w:basedOn w:val="CommentText"/>
    <w:next w:val="CommentText"/>
    <w:link w:val="CommentSubjectChar1"/>
    <w:uiPriority w:val="99"/>
    <w:rPr>
      <w:b/>
      <w:bCs/>
      <w:lang w:val="en-US"/>
    </w:rPr>
  </w:style>
  <w:style w:type="character" w:customStyle="1" w:styleId="CommentSubjectChar">
    <w:name w:val="Comment Subject Char"/>
    <w:uiPriority w:val="99"/>
    <w:locked/>
    <w:rPr>
      <w:rFonts w:ascii="Cambria" w:hAnsi="Cambria" w:cs="Times New Roman"/>
      <w:b/>
      <w:bCs/>
      <w:sz w:val="24"/>
      <w:lang w:val="en-AU" w:eastAsia="en-US" w:bidi="ar-SA"/>
    </w:rPr>
  </w:style>
  <w:style w:type="character" w:customStyle="1" w:styleId="CommentSubjectChar1">
    <w:name w:val="Comment Subject Char1"/>
    <w:link w:val="CommentSubject"/>
    <w:uiPriority w:val="99"/>
    <w:locked/>
    <w:rPr>
      <w:rFonts w:ascii="Cambria" w:hAnsi="Cambria" w:cs="Times New Roman"/>
      <w:b/>
      <w:bCs/>
      <w:lang w:val="en-US" w:eastAsia="en-US"/>
    </w:rPr>
  </w:style>
  <w:style w:type="table" w:customStyle="1" w:styleId="LightShading1">
    <w:name w:val="Light Shading1"/>
    <w:uiPriority w:val="9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Bullet">
    <w:name w:val="Bullet"/>
    <w:basedOn w:val="Normal"/>
    <w:link w:val="BulletChar"/>
    <w:uiPriority w:val="99"/>
    <w:pPr>
      <w:numPr>
        <w:numId w:val="1"/>
      </w:numPr>
      <w:spacing w:after="90"/>
    </w:pPr>
    <w:rPr>
      <w:rFonts w:eastAsia="Times New Roman"/>
    </w:rPr>
  </w:style>
  <w:style w:type="paragraph" w:customStyle="1" w:styleId="TableHeading">
    <w:name w:val="TableHeading"/>
    <w:basedOn w:val="TableText"/>
    <w:uiPriority w:val="99"/>
    <w:rPr>
      <w:b/>
    </w:rPr>
  </w:style>
  <w:style w:type="paragraph" w:customStyle="1" w:styleId="Heading1noTOC">
    <w:name w:val="Heading 1 no TOC"/>
    <w:basedOn w:val="Heading1"/>
    <w:uiPriority w:val="99"/>
    <w:qFormat/>
  </w:style>
  <w:style w:type="paragraph" w:customStyle="1" w:styleId="BulletLast">
    <w:name w:val="BulletLast"/>
    <w:basedOn w:val="Bullet"/>
    <w:uiPriority w:val="99"/>
    <w:pPr>
      <w:spacing w:after="120"/>
    </w:pPr>
  </w:style>
  <w:style w:type="paragraph" w:customStyle="1" w:styleId="BulletIntro">
    <w:name w:val="BulletIntro"/>
    <w:basedOn w:val="Normal"/>
    <w:next w:val="Bullet"/>
    <w:link w:val="BulletIntroChar"/>
    <w:uiPriority w:val="99"/>
    <w:pPr>
      <w:spacing w:after="90"/>
    </w:pPr>
    <w:rPr>
      <w:lang w:val="x-none"/>
    </w:rPr>
  </w:style>
  <w:style w:type="paragraph" w:styleId="Caption">
    <w:name w:val="caption"/>
    <w:basedOn w:val="Normal"/>
    <w:next w:val="Normal"/>
    <w:link w:val="CaptionChar2"/>
    <w:uiPriority w:val="99"/>
    <w:qFormat/>
    <w:pPr>
      <w:keepNext/>
      <w:tabs>
        <w:tab w:val="left" w:pos="1701"/>
      </w:tabs>
      <w:ind w:left="851" w:hanging="851"/>
    </w:pPr>
    <w:rPr>
      <w:b/>
      <w:bCs/>
      <w:sz w:val="20"/>
      <w:lang w:val="x-none"/>
    </w:rPr>
  </w:style>
  <w:style w:type="paragraph" w:customStyle="1" w:styleId="bulletintable">
    <w:name w:val="bullet in table"/>
    <w:basedOn w:val="Normal"/>
    <w:link w:val="bulletintableChar"/>
    <w:uiPriority w:val="99"/>
    <w:pPr>
      <w:widowControl w:val="0"/>
      <w:numPr>
        <w:numId w:val="2"/>
      </w:numPr>
      <w:spacing w:before="40" w:after="40"/>
    </w:pPr>
    <w:rPr>
      <w:rFonts w:ascii="Times New Roman" w:eastAsia="Times New Roman" w:hAnsi="Times New Roman"/>
      <w:sz w:val="20"/>
      <w:lang w:val="x-none"/>
    </w:rPr>
  </w:style>
  <w:style w:type="character" w:customStyle="1" w:styleId="bulletintableChar">
    <w:name w:val="bullet in table Char"/>
    <w:link w:val="bulletintable"/>
    <w:uiPriority w:val="99"/>
    <w:locked/>
    <w:rPr>
      <w:rFonts w:eastAsia="Times New Roman"/>
      <w:lang w:val="x-none" w:eastAsia="en-US"/>
    </w:rPr>
  </w:style>
  <w:style w:type="paragraph" w:customStyle="1" w:styleId="NormalCalibri">
    <w:name w:val="Normal + Calibri"/>
    <w:aliases w:val="10 pt,Bold"/>
    <w:basedOn w:val="Normal"/>
    <w:uiPriority w:val="99"/>
    <w:pPr>
      <w:spacing w:after="240"/>
    </w:pPr>
    <w:rPr>
      <w:rFonts w:ascii="Calibri" w:eastAsia="Times New Roman" w:hAnsi="Calibri"/>
      <w:b/>
    </w:rPr>
  </w:style>
  <w:style w:type="paragraph" w:customStyle="1" w:styleId="Heading2noTOC">
    <w:name w:val="Heading 2 no TOC"/>
    <w:basedOn w:val="Heading2"/>
    <w:uiPriority w:val="99"/>
    <w:qFormat/>
  </w:style>
  <w:style w:type="paragraph" w:styleId="TOC3">
    <w:name w:val="toc 3"/>
    <w:basedOn w:val="Normal"/>
    <w:next w:val="Normal"/>
    <w:autoRedefine/>
    <w:uiPriority w:val="39"/>
    <w:pPr>
      <w:ind w:left="440"/>
    </w:pPr>
  </w:style>
  <w:style w:type="paragraph" w:styleId="Footer">
    <w:name w:val="footer"/>
    <w:basedOn w:val="Normal"/>
    <w:link w:val="FooterChar1"/>
    <w:uiPriority w:val="99"/>
    <w:pPr>
      <w:tabs>
        <w:tab w:val="right" w:pos="9072"/>
      </w:tabs>
      <w:spacing w:after="0"/>
    </w:pPr>
    <w:rPr>
      <w:rFonts w:ascii="Verdana" w:hAnsi="Verdana"/>
      <w:color w:val="000080"/>
      <w:sz w:val="18"/>
    </w:rPr>
  </w:style>
  <w:style w:type="character" w:customStyle="1" w:styleId="FooterChar">
    <w:name w:val="Footer Char"/>
    <w:uiPriority w:val="99"/>
    <w:locked/>
    <w:rPr>
      <w:rFonts w:ascii="Verdana" w:hAnsi="Verdana" w:cs="Times New Roman"/>
      <w:color w:val="000080"/>
      <w:sz w:val="18"/>
      <w:lang w:val="en-GB" w:eastAsia="en-US" w:bidi="ar-SA"/>
    </w:rPr>
  </w:style>
  <w:style w:type="character" w:customStyle="1" w:styleId="FooterChar1">
    <w:name w:val="Footer Char1"/>
    <w:link w:val="Footer"/>
    <w:uiPriority w:val="99"/>
    <w:locked/>
    <w:rPr>
      <w:rFonts w:ascii="Verdana" w:hAnsi="Verdana" w:cs="Times New Roman"/>
      <w:color w:val="000080"/>
      <w:sz w:val="18"/>
      <w:lang w:val="en-GB" w:eastAsia="en-US"/>
    </w:rPr>
  </w:style>
  <w:style w:type="character" w:customStyle="1" w:styleId="Heading4Char1">
    <w:name w:val="Heading 4 Char1"/>
    <w:link w:val="Heading4"/>
    <w:uiPriority w:val="99"/>
    <w:locked/>
    <w:rPr>
      <w:rFonts w:ascii="Calibri" w:hAnsi="Calibri"/>
      <w:b/>
      <w:bCs/>
      <w:sz w:val="24"/>
      <w:szCs w:val="28"/>
      <w:lang w:val="en-US" w:eastAsia="en-US"/>
    </w:rPr>
  </w:style>
  <w:style w:type="character" w:customStyle="1" w:styleId="CaptionChar2">
    <w:name w:val="Caption Char2"/>
    <w:link w:val="Caption"/>
    <w:uiPriority w:val="99"/>
    <w:locked/>
    <w:rPr>
      <w:rFonts w:ascii="Cambria" w:hAnsi="Cambria"/>
      <w:b/>
      <w:bCs/>
      <w:lang w:val="x-none" w:eastAsia="en-US"/>
    </w:rPr>
  </w:style>
  <w:style w:type="character" w:styleId="Strong">
    <w:name w:val="Strong"/>
    <w:uiPriority w:val="99"/>
    <w:qFormat/>
    <w:rPr>
      <w:rFonts w:cs="Times New Roman"/>
      <w:b/>
      <w:bCs/>
    </w:rPr>
  </w:style>
  <w:style w:type="character" w:customStyle="1" w:styleId="BulletIntroChar">
    <w:name w:val="BulletIntro Char"/>
    <w:link w:val="BulletIntro"/>
    <w:uiPriority w:val="99"/>
    <w:locked/>
    <w:rPr>
      <w:rFonts w:ascii="Cambria" w:hAnsi="Cambria" w:cs="Times New Roman"/>
      <w:sz w:val="24"/>
      <w:lang w:eastAsia="en-US"/>
    </w:rPr>
  </w:style>
  <w:style w:type="paragraph" w:customStyle="1" w:styleId="Dash">
    <w:name w:val="Dash"/>
    <w:basedOn w:val="Bullet"/>
    <w:uiPriority w:val="99"/>
    <w:pPr>
      <w:numPr>
        <w:numId w:val="3"/>
      </w:numPr>
      <w:ind w:left="714" w:hanging="357"/>
    </w:pPr>
  </w:style>
  <w:style w:type="paragraph" w:customStyle="1" w:styleId="TableName">
    <w:name w:val="TableName"/>
    <w:basedOn w:val="TableText"/>
    <w:uiPriority w:val="99"/>
    <w:rsid w:val="00524ADB"/>
    <w:pPr>
      <w:spacing w:before="180" w:after="240"/>
      <w:ind w:left="1440" w:hanging="1440"/>
    </w:pPr>
    <w:rPr>
      <w:b/>
      <w:color w:val="0070C0"/>
      <w:sz w:val="22"/>
      <w:szCs w:val="22"/>
      <w:u w:color="0099CC"/>
    </w:rPr>
  </w:style>
  <w:style w:type="paragraph" w:customStyle="1" w:styleId="TableNotesLast">
    <w:name w:val="TableNotesLast"/>
    <w:basedOn w:val="Normal"/>
    <w:pPr>
      <w:keepLines/>
      <w:tabs>
        <w:tab w:val="left" w:pos="284"/>
        <w:tab w:val="left" w:pos="567"/>
      </w:tabs>
      <w:spacing w:before="60" w:after="360"/>
    </w:pPr>
    <w:rPr>
      <w:rFonts w:ascii="Arial Narrow" w:eastAsia="Times New Roman" w:hAnsi="Arial Narrow"/>
      <w:sz w:val="16"/>
    </w:rPr>
  </w:style>
  <w:style w:type="paragraph" w:customStyle="1" w:styleId="DashLast">
    <w:name w:val="DashLast"/>
    <w:basedOn w:val="Dash"/>
    <w:uiPriority w:val="99"/>
    <w:pPr>
      <w:spacing w:after="120"/>
    </w:pPr>
    <w:rPr>
      <w:lang w:eastAsia="en-GB"/>
    </w:rPr>
  </w:style>
  <w:style w:type="character" w:styleId="Emphasis">
    <w:name w:val="Emphasis"/>
    <w:uiPriority w:val="20"/>
    <w:qFormat/>
    <w:rPr>
      <w:rFonts w:cs="Times New Roman"/>
      <w:i/>
      <w:iCs/>
    </w:rPr>
  </w:style>
  <w:style w:type="paragraph" w:customStyle="1" w:styleId="FigureName">
    <w:name w:val="FigureName"/>
    <w:basedOn w:val="TableName"/>
    <w:uiPriority w:val="99"/>
    <w:rsid w:val="00BC256A"/>
    <w:rPr>
      <w:color w:val="4472C4" w:themeColor="accent1"/>
    </w:rPr>
  </w:style>
  <w:style w:type="paragraph" w:customStyle="1" w:styleId="Instructions">
    <w:name w:val="Instructions"/>
    <w:basedOn w:val="Normal"/>
    <w:uiPriority w:val="99"/>
    <w:pPr>
      <w:spacing w:after="240"/>
    </w:pPr>
    <w:rPr>
      <w:rFonts w:ascii="Times New Roman" w:eastAsia="Times New Roman" w:hAnsi="Times New Roman"/>
      <w:b/>
      <w:color w:val="333399"/>
      <w:sz w:val="22"/>
    </w:rPr>
  </w:style>
  <w:style w:type="character" w:customStyle="1" w:styleId="Heading5Char1">
    <w:name w:val="Heading 5 Char1"/>
    <w:link w:val="Heading5"/>
    <w:uiPriority w:val="99"/>
    <w:locked/>
    <w:rPr>
      <w:rFonts w:ascii="Calibri" w:hAnsi="Calibri" w:cs="Times New Roman"/>
      <w:b/>
      <w:bCs/>
      <w:i/>
      <w:iCs/>
      <w:sz w:val="26"/>
      <w:szCs w:val="26"/>
      <w:lang w:eastAsia="en-US"/>
    </w:rPr>
  </w:style>
  <w:style w:type="paragraph" w:customStyle="1" w:styleId="TableNotes">
    <w:name w:val="TableNotes"/>
    <w:basedOn w:val="TableText"/>
    <w:uiPriority w:val="99"/>
    <w:pPr>
      <w:keepNext w:val="0"/>
      <w:keepLines/>
      <w:tabs>
        <w:tab w:val="left" w:pos="284"/>
        <w:tab w:val="left" w:pos="567"/>
      </w:tabs>
      <w:spacing w:before="60" w:after="0"/>
    </w:pPr>
    <w:rPr>
      <w:sz w:val="16"/>
    </w:rPr>
  </w:style>
  <w:style w:type="paragraph" w:styleId="NormalWeb">
    <w:name w:val="Normal (Web)"/>
    <w:basedOn w:val="Normal"/>
    <w:uiPriority w:val="99"/>
    <w:pPr>
      <w:spacing w:before="100" w:beforeAutospacing="1" w:after="100" w:afterAutospacing="1"/>
    </w:pPr>
    <w:rPr>
      <w:rFonts w:ascii="Times New Roman" w:eastAsia="Times New Roman" w:hAnsi="Times New Roman"/>
      <w:sz w:val="22"/>
      <w:lang w:val="en-US"/>
    </w:rPr>
  </w:style>
  <w:style w:type="paragraph" w:customStyle="1" w:styleId="bulletintro0">
    <w:name w:val="bulletintro"/>
    <w:basedOn w:val="Normal"/>
    <w:uiPriority w:val="99"/>
    <w:pPr>
      <w:spacing w:after="90"/>
    </w:pPr>
    <w:rPr>
      <w:szCs w:val="24"/>
      <w:lang w:val="en-AU" w:eastAsia="en-AU"/>
    </w:rPr>
  </w:style>
  <w:style w:type="paragraph" w:customStyle="1" w:styleId="bodyboldblue">
    <w:name w:val="bodyboldblue"/>
    <w:basedOn w:val="Normal"/>
    <w:uiPriority w:val="99"/>
    <w:pPr>
      <w:spacing w:before="100" w:beforeAutospacing="1" w:after="100" w:afterAutospacing="1"/>
    </w:pPr>
    <w:rPr>
      <w:rFonts w:ascii="Times New Roman" w:eastAsia="Times New Roman" w:hAnsi="Times New Roman"/>
      <w:sz w:val="22"/>
    </w:rPr>
  </w:style>
  <w:style w:type="character" w:customStyle="1" w:styleId="bodyboldblue1">
    <w:name w:val="bodyboldblue1"/>
    <w:uiPriority w:val="99"/>
    <w:rPr>
      <w:rFonts w:cs="Times New Roman"/>
    </w:rPr>
  </w:style>
  <w:style w:type="paragraph" w:customStyle="1" w:styleId="firstpara1">
    <w:name w:val="firstpara1"/>
    <w:basedOn w:val="Normal"/>
    <w:uiPriority w:val="99"/>
    <w:pPr>
      <w:spacing w:line="336" w:lineRule="atLeast"/>
      <w:ind w:left="225" w:right="225"/>
    </w:pPr>
    <w:rPr>
      <w:rFonts w:ascii="Times New Roman" w:eastAsia="Times New Roman" w:hAnsi="Times New Roman"/>
      <w:sz w:val="22"/>
    </w:rPr>
  </w:style>
  <w:style w:type="paragraph" w:customStyle="1" w:styleId="x-body">
    <w:name w:val="x-body"/>
    <w:basedOn w:val="Normal"/>
    <w:uiPriority w:val="99"/>
    <w:pPr>
      <w:spacing w:before="100" w:beforeAutospacing="1" w:after="100" w:afterAutospacing="1"/>
    </w:pPr>
    <w:rPr>
      <w:rFonts w:ascii="Times New Roman" w:eastAsia="Times New Roman" w:hAnsi="Times New Roman"/>
      <w:sz w:val="22"/>
    </w:rPr>
  </w:style>
  <w:style w:type="paragraph" w:customStyle="1" w:styleId="x-footer">
    <w:name w:val="x-footer"/>
    <w:basedOn w:val="Normal"/>
    <w:uiPriority w:val="99"/>
    <w:pPr>
      <w:spacing w:before="100" w:beforeAutospacing="1" w:after="100" w:afterAutospacing="1"/>
    </w:pPr>
    <w:rPr>
      <w:rFonts w:ascii="Times New Roman" w:eastAsia="Times New Roman" w:hAnsi="Times New Roman"/>
      <w:sz w:val="22"/>
    </w:rPr>
  </w:style>
  <w:style w:type="paragraph" w:customStyle="1" w:styleId="notes">
    <w:name w:val="notes"/>
    <w:basedOn w:val="Normal"/>
    <w:uiPriority w:val="99"/>
    <w:pPr>
      <w:spacing w:before="100" w:beforeAutospacing="1" w:after="100" w:afterAutospacing="1"/>
    </w:pPr>
    <w:rPr>
      <w:rFonts w:ascii="Times New Roman" w:eastAsia="Times New Roman" w:hAnsi="Times New Roman"/>
      <w:sz w:val="22"/>
    </w:rPr>
  </w:style>
  <w:style w:type="character" w:customStyle="1" w:styleId="superscript">
    <w:name w:val="superscript"/>
    <w:rPr>
      <w:rFonts w:cs="Times New Roman"/>
    </w:rPr>
  </w:style>
  <w:style w:type="paragraph" w:styleId="ListParagraph">
    <w:name w:val="List Paragraph"/>
    <w:basedOn w:val="Normal"/>
    <w:link w:val="ListParagraphChar"/>
    <w:uiPriority w:val="34"/>
    <w:qFormat/>
    <w:rsid w:val="000035D2"/>
    <w:pPr>
      <w:spacing w:after="240"/>
      <w:ind w:left="720"/>
      <w:contextualSpacing/>
    </w:pPr>
    <w:rPr>
      <w:rFonts w:eastAsia="Times New Roman"/>
      <w:szCs w:val="22"/>
    </w:rPr>
  </w:style>
  <w:style w:type="paragraph" w:customStyle="1" w:styleId="Normal10pt">
    <w:name w:val="Normal + 10 pt"/>
    <w:basedOn w:val="Normal"/>
    <w:uiPriority w:val="99"/>
    <w:pPr>
      <w:spacing w:after="240"/>
    </w:pPr>
    <w:rPr>
      <w:rFonts w:ascii="Times New Roman" w:eastAsia="Times New Roman" w:hAnsi="Times New Roman"/>
      <w:sz w:val="20"/>
    </w:rPr>
  </w:style>
  <w:style w:type="character" w:styleId="PageNumber">
    <w:name w:val="page number"/>
    <w:uiPriority w:val="99"/>
    <w:rPr>
      <w:rFonts w:ascii="Arial" w:hAnsi="Arial" w:cs="Times New Roman"/>
      <w:sz w:val="18"/>
      <w:szCs w:val="18"/>
    </w:rPr>
  </w:style>
  <w:style w:type="paragraph" w:styleId="Header">
    <w:name w:val="header"/>
    <w:basedOn w:val="Normal"/>
    <w:link w:val="HeaderChar1"/>
    <w:uiPriority w:val="99"/>
    <w:pPr>
      <w:tabs>
        <w:tab w:val="right" w:pos="8505"/>
      </w:tabs>
      <w:spacing w:after="0"/>
    </w:pPr>
    <w:rPr>
      <w:rFonts w:ascii="Verdana" w:hAnsi="Verdana"/>
      <w:color w:val="000080"/>
      <w:sz w:val="18"/>
    </w:rPr>
  </w:style>
  <w:style w:type="character" w:customStyle="1" w:styleId="HeaderChar">
    <w:name w:val="Header Char"/>
    <w:uiPriority w:val="99"/>
    <w:locked/>
    <w:rPr>
      <w:rFonts w:ascii="Verdana" w:hAnsi="Verdana" w:cs="Times New Roman"/>
      <w:color w:val="000080"/>
      <w:sz w:val="18"/>
      <w:lang w:val="en-GB" w:eastAsia="en-US" w:bidi="ar-SA"/>
    </w:rPr>
  </w:style>
  <w:style w:type="character" w:customStyle="1" w:styleId="HeaderChar1">
    <w:name w:val="Header Char1"/>
    <w:link w:val="Header"/>
    <w:uiPriority w:val="99"/>
    <w:locked/>
    <w:rPr>
      <w:rFonts w:ascii="Verdana" w:hAnsi="Verdana" w:cs="Times New Roman"/>
      <w:color w:val="000080"/>
      <w:sz w:val="18"/>
      <w:lang w:val="en-GB" w:eastAsia="en-US"/>
    </w:rPr>
  </w:style>
  <w:style w:type="paragraph" w:styleId="Quote">
    <w:name w:val="Quote"/>
    <w:basedOn w:val="Normal"/>
    <w:link w:val="QuoteChar"/>
    <w:uiPriority w:val="99"/>
    <w:qFormat/>
    <w:pPr>
      <w:spacing w:after="240"/>
      <w:ind w:left="720" w:right="720"/>
    </w:pPr>
    <w:rPr>
      <w:rFonts w:eastAsia="Times New Roman"/>
      <w:sz w:val="20"/>
      <w:szCs w:val="18"/>
    </w:rPr>
  </w:style>
  <w:style w:type="character" w:customStyle="1" w:styleId="QuoteChar">
    <w:name w:val="Quote Char"/>
    <w:link w:val="Quote"/>
    <w:uiPriority w:val="99"/>
    <w:locked/>
    <w:rPr>
      <w:rFonts w:ascii="Cambria" w:eastAsia="Times New Roman" w:hAnsi="Cambria"/>
      <w:szCs w:val="18"/>
      <w:lang w:eastAsia="en-US"/>
    </w:rPr>
  </w:style>
  <w:style w:type="paragraph" w:customStyle="1" w:styleId="ReportName">
    <w:name w:val="ReportName"/>
    <w:uiPriority w:val="99"/>
    <w:pPr>
      <w:spacing w:after="360"/>
      <w:jc w:val="center"/>
    </w:pPr>
    <w:rPr>
      <w:rFonts w:eastAsia="Times New Roman"/>
      <w:caps/>
      <w:color w:val="0099CC"/>
      <w:sz w:val="72"/>
      <w:szCs w:val="72"/>
      <w:lang w:val="en-GB" w:eastAsia="en-US"/>
    </w:rPr>
  </w:style>
  <w:style w:type="paragraph" w:customStyle="1" w:styleId="Heading1a">
    <w:name w:val="Heading 1a"/>
    <w:basedOn w:val="Heading1"/>
    <w:next w:val="Normal"/>
    <w:uiPriority w:val="99"/>
    <w:pPr>
      <w:keepLines w:val="0"/>
      <w:spacing w:after="240"/>
      <w:outlineLvl w:val="9"/>
    </w:pPr>
    <w:rPr>
      <w:rFonts w:ascii="Verdana" w:hAnsi="Verdana"/>
      <w:b w:val="0"/>
      <w:bCs w:val="0"/>
      <w:color w:val="0099CC"/>
      <w:kern w:val="28"/>
      <w:sz w:val="40"/>
      <w:szCs w:val="40"/>
      <w:lang w:val="en-GB"/>
    </w:rPr>
  </w:style>
  <w:style w:type="paragraph" w:customStyle="1" w:styleId="IndentList">
    <w:name w:val="IndentList"/>
    <w:basedOn w:val="Quote"/>
    <w:uiPriority w:val="99"/>
    <w:pPr>
      <w:spacing w:after="120"/>
    </w:pPr>
    <w:rPr>
      <w:sz w:val="24"/>
    </w:rPr>
  </w:style>
  <w:style w:type="paragraph" w:customStyle="1" w:styleId="TableNotesHang">
    <w:name w:val="TableNotesHang"/>
    <w:basedOn w:val="TableNotes"/>
    <w:uiPriority w:val="99"/>
    <w:pPr>
      <w:ind w:left="284" w:hanging="284"/>
    </w:pPr>
  </w:style>
  <w:style w:type="paragraph" w:customStyle="1" w:styleId="DesignerNote">
    <w:name w:val="DesignerNote"/>
    <w:next w:val="Normal"/>
    <w:uiPriority w:val="99"/>
    <w:pPr>
      <w:spacing w:before="240" w:after="240"/>
    </w:pPr>
    <w:rPr>
      <w:rFonts w:eastAsia="Times New Roman"/>
      <w:b/>
      <w:bCs/>
      <w:i/>
      <w:iCs/>
      <w:color w:val="3366FF"/>
      <w:sz w:val="24"/>
      <w:lang w:val="en-GB" w:eastAsia="en-US"/>
    </w:rPr>
  </w:style>
  <w:style w:type="paragraph" w:customStyle="1" w:styleId="Heading2a">
    <w:name w:val="Heading 2a"/>
    <w:basedOn w:val="Heading2"/>
    <w:next w:val="Normal"/>
    <w:uiPriority w:val="99"/>
    <w:pPr>
      <w:keepLines w:val="0"/>
      <w:spacing w:before="120" w:after="240"/>
      <w:outlineLvl w:val="9"/>
    </w:pPr>
    <w:rPr>
      <w:rFonts w:ascii="Verdana" w:hAnsi="Verdana"/>
      <w:b w:val="0"/>
      <w:bCs w:val="0"/>
      <w:color w:val="0099CC"/>
      <w:szCs w:val="28"/>
      <w:lang w:val="en-GB"/>
    </w:rPr>
  </w:style>
  <w:style w:type="table" w:customStyle="1" w:styleId="CASATable1">
    <w:name w:val="CASA Table 1"/>
    <w:uiPriority w:val="99"/>
    <w:tblPr>
      <w:tblInd w:w="0" w:type="dxa"/>
      <w:tblBorders>
        <w:top w:val="single" w:sz="12" w:space="0" w:color="1F497D"/>
        <w:bottom w:val="single" w:sz="12" w:space="0" w:color="1F497D"/>
      </w:tblBorders>
      <w:tblCellMar>
        <w:top w:w="0" w:type="dxa"/>
        <w:left w:w="108" w:type="dxa"/>
        <w:bottom w:w="0" w:type="dxa"/>
        <w:right w:w="108" w:type="dxa"/>
      </w:tblCellMar>
    </w:tblPr>
  </w:style>
  <w:style w:type="paragraph" w:customStyle="1" w:styleId="Heading0Part">
    <w:name w:val="Heading 0 (Part)"/>
    <w:basedOn w:val="Heading1"/>
    <w:next w:val="Normal"/>
    <w:uiPriority w:val="99"/>
    <w:pPr>
      <w:keepLines w:val="0"/>
      <w:pBdr>
        <w:bottom w:val="single" w:sz="12" w:space="1" w:color="4F81BD"/>
      </w:pBdr>
      <w:spacing w:after="240"/>
    </w:pPr>
    <w:rPr>
      <w:bCs w:val="0"/>
      <w:color w:val="1F497D"/>
      <w:kern w:val="28"/>
      <w:sz w:val="52"/>
      <w:szCs w:val="48"/>
      <w:lang w:val="en-GB"/>
    </w:rPr>
  </w:style>
  <w:style w:type="character" w:styleId="FollowedHyperlink">
    <w:name w:val="FollowedHyperlink"/>
    <w:uiPriority w:val="99"/>
    <w:rPr>
      <w:rFonts w:ascii="Times New Roman" w:hAnsi="Times New Roman" w:cs="Times New Roman"/>
      <w:color w:val="000000"/>
      <w:sz w:val="24"/>
      <w:u w:val="none"/>
    </w:rPr>
  </w:style>
  <w:style w:type="character" w:styleId="FootnoteReference">
    <w:name w:val="footnote reference"/>
    <w:uiPriority w:val="99"/>
    <w:rPr>
      <w:rFonts w:cs="Times New Roman"/>
      <w:vertAlign w:val="superscript"/>
    </w:rPr>
  </w:style>
  <w:style w:type="paragraph" w:customStyle="1" w:styleId="TableNotesHangLast">
    <w:name w:val="TableNotesHangLast"/>
    <w:basedOn w:val="TableNotesHang"/>
    <w:uiPriority w:val="99"/>
    <w:pPr>
      <w:tabs>
        <w:tab w:val="clear" w:pos="284"/>
        <w:tab w:val="clear" w:pos="567"/>
      </w:tabs>
      <w:spacing w:after="360"/>
    </w:pPr>
  </w:style>
  <w:style w:type="paragraph" w:customStyle="1" w:styleId="TableBullet">
    <w:name w:val="TableBullet"/>
    <w:pPr>
      <w:keepNext/>
      <w:numPr>
        <w:numId w:val="6"/>
      </w:numPr>
      <w:spacing w:before="40" w:after="40"/>
    </w:pPr>
    <w:rPr>
      <w:rFonts w:ascii="Arial Narrow" w:eastAsia="Times New Roman" w:hAnsi="Arial Narrow"/>
      <w:lang w:val="en-GB" w:eastAsia="en-US"/>
    </w:rPr>
  </w:style>
  <w:style w:type="paragraph" w:styleId="FootnoteText">
    <w:name w:val="footnote text"/>
    <w:basedOn w:val="Normal"/>
    <w:next w:val="Normal"/>
    <w:link w:val="FootnoteTextChar1"/>
    <w:uiPriority w:val="99"/>
    <w:pPr>
      <w:spacing w:after="240"/>
    </w:pPr>
    <w:rPr>
      <w:rFonts w:ascii="Times" w:hAnsi="Times"/>
      <w:sz w:val="22"/>
    </w:rPr>
  </w:style>
  <w:style w:type="character" w:customStyle="1" w:styleId="FootnoteTextChar">
    <w:name w:val="Footnote Text Char"/>
    <w:uiPriority w:val="99"/>
    <w:locked/>
    <w:rPr>
      <w:rFonts w:ascii="Times" w:hAnsi="Times" w:cs="Times New Roman"/>
      <w:sz w:val="22"/>
      <w:lang w:val="en-GB" w:eastAsia="en-US" w:bidi="ar-SA"/>
    </w:rPr>
  </w:style>
  <w:style w:type="character" w:customStyle="1" w:styleId="FootnoteTextChar1">
    <w:name w:val="Footnote Text Char1"/>
    <w:link w:val="FootnoteText"/>
    <w:uiPriority w:val="99"/>
    <w:locked/>
    <w:rPr>
      <w:rFonts w:ascii="Times" w:hAnsi="Times" w:cs="Times New Roman"/>
      <w:sz w:val="22"/>
      <w:lang w:val="en-GB" w:eastAsia="en-US"/>
    </w:rPr>
  </w:style>
  <w:style w:type="paragraph" w:customStyle="1" w:styleId="Indexentry">
    <w:name w:val="Index entry"/>
    <w:basedOn w:val="Normal"/>
    <w:uiPriority w:val="99"/>
    <w:pPr>
      <w:spacing w:after="0"/>
      <w:ind w:left="284" w:hanging="284"/>
    </w:pPr>
    <w:rPr>
      <w:rFonts w:ascii="Times New Roman" w:eastAsia="Times New Roman" w:hAnsi="Times New Roman"/>
      <w:sz w:val="22"/>
    </w:rPr>
  </w:style>
  <w:style w:type="paragraph" w:customStyle="1" w:styleId="Indexsubentry">
    <w:name w:val="Index subentry"/>
    <w:basedOn w:val="Normal"/>
    <w:next w:val="Indexentry"/>
    <w:uiPriority w:val="99"/>
    <w:pPr>
      <w:spacing w:after="0"/>
      <w:ind w:left="567" w:hanging="283"/>
    </w:pPr>
    <w:rPr>
      <w:rFonts w:ascii="Times New Roman" w:eastAsia="Times New Roman" w:hAnsi="Times New Roman"/>
      <w:sz w:val="22"/>
    </w:rPr>
  </w:style>
  <w:style w:type="paragraph" w:customStyle="1" w:styleId="BoxText">
    <w:name w:val="BoxText"/>
    <w:basedOn w:val="Normal"/>
    <w:uiPriority w:val="99"/>
    <w:pPr>
      <w:keepLines/>
      <w:pBdr>
        <w:top w:val="single" w:sz="8" w:space="12" w:color="auto"/>
        <w:left w:val="single" w:sz="8" w:space="12" w:color="auto"/>
        <w:bottom w:val="single" w:sz="8" w:space="12" w:color="auto"/>
        <w:right w:val="single" w:sz="8" w:space="12" w:color="auto"/>
      </w:pBdr>
      <w:shd w:val="clear" w:color="333399" w:fill="F3F3F3"/>
      <w:tabs>
        <w:tab w:val="left" w:pos="284"/>
        <w:tab w:val="left" w:pos="425"/>
        <w:tab w:val="left" w:pos="567"/>
        <w:tab w:val="left" w:pos="851"/>
      </w:tabs>
      <w:ind w:left="284" w:right="284"/>
    </w:pPr>
    <w:rPr>
      <w:rFonts w:ascii="Verdana" w:eastAsia="Times New Roman" w:hAnsi="Verdana"/>
      <w:sz w:val="20"/>
    </w:rPr>
  </w:style>
  <w:style w:type="paragraph" w:customStyle="1" w:styleId="TableNamea">
    <w:name w:val="TableNamea"/>
    <w:basedOn w:val="TableName"/>
    <w:uiPriority w:val="99"/>
  </w:style>
  <w:style w:type="paragraph" w:customStyle="1" w:styleId="BoxBullet">
    <w:name w:val="BoxBullet"/>
    <w:basedOn w:val="BoxText"/>
    <w:uiPriority w:val="99"/>
    <w:pPr>
      <w:tabs>
        <w:tab w:val="num" w:pos="644"/>
      </w:tabs>
    </w:pPr>
  </w:style>
  <w:style w:type="paragraph" w:customStyle="1" w:styleId="TableTextBlue">
    <w:name w:val="TableTextBlue"/>
    <w:basedOn w:val="TableText"/>
    <w:link w:val="TableTextBlueChar"/>
    <w:uiPriority w:val="99"/>
    <w:rPr>
      <w:b/>
      <w:color w:val="0099CC"/>
    </w:rPr>
  </w:style>
  <w:style w:type="character" w:customStyle="1" w:styleId="TableTextBlueChar">
    <w:name w:val="TableTextBlue Char"/>
    <w:link w:val="TableTextBlue"/>
    <w:uiPriority w:val="99"/>
    <w:locked/>
    <w:rPr>
      <w:rFonts w:ascii="Arial Narrow" w:hAnsi="Arial Narrow" w:cs="Times New Roman"/>
      <w:b/>
      <w:color w:val="0099CC"/>
      <w:lang w:val="en-GB" w:eastAsia="en-US" w:bidi="ar-SA"/>
    </w:rPr>
  </w:style>
  <w:style w:type="paragraph" w:customStyle="1" w:styleId="CaseStudyHeading">
    <w:name w:val="CaseStudyHeading"/>
    <w:basedOn w:val="TableText"/>
    <w:uiPriority w:val="99"/>
    <w:rPr>
      <w:caps/>
      <w:color w:val="FFFFFF"/>
    </w:rPr>
  </w:style>
  <w:style w:type="paragraph" w:customStyle="1" w:styleId="HeadingPartSubhead">
    <w:name w:val="HeadingPartSubhead"/>
    <w:basedOn w:val="Heading2"/>
    <w:uiPriority w:val="99"/>
    <w:pPr>
      <w:keepLines w:val="0"/>
      <w:spacing w:before="120" w:after="240"/>
    </w:pPr>
    <w:rPr>
      <w:rFonts w:ascii="Verdana" w:hAnsi="Verdana"/>
      <w:b w:val="0"/>
      <w:bCs w:val="0"/>
      <w:color w:val="000000"/>
      <w:sz w:val="24"/>
      <w:szCs w:val="28"/>
      <w:lang w:val="en-GB"/>
    </w:rPr>
  </w:style>
  <w:style w:type="paragraph" w:customStyle="1" w:styleId="BoxCentre">
    <w:name w:val="BoxCentre"/>
    <w:basedOn w:val="TableText"/>
    <w:uiPriority w:val="99"/>
    <w:pPr>
      <w:spacing w:before="120" w:after="120"/>
      <w:jc w:val="center"/>
    </w:pPr>
    <w:rPr>
      <w:rFonts w:ascii="Verdana" w:hAnsi="Verdana"/>
      <w:b/>
      <w:sz w:val="24"/>
    </w:rPr>
  </w:style>
  <w:style w:type="paragraph" w:customStyle="1" w:styleId="BoxHead">
    <w:name w:val="BoxHead"/>
    <w:basedOn w:val="BoxText"/>
    <w:uiPriority w:val="99"/>
    <w:pPr>
      <w:spacing w:after="240"/>
    </w:pPr>
    <w:rPr>
      <w:b/>
      <w:sz w:val="24"/>
    </w:rPr>
  </w:style>
  <w:style w:type="paragraph" w:customStyle="1" w:styleId="TableHead2">
    <w:name w:val="TableHead2"/>
    <w:basedOn w:val="TableText"/>
    <w:uiPriority w:val="99"/>
    <w:rPr>
      <w:i/>
    </w:rPr>
  </w:style>
  <w:style w:type="paragraph" w:customStyle="1" w:styleId="HighlightsHead">
    <w:name w:val="HighlightsHead"/>
    <w:basedOn w:val="TableHeading"/>
    <w:uiPriority w:val="99"/>
    <w:pPr>
      <w:spacing w:before="120" w:after="240"/>
    </w:pPr>
    <w:rPr>
      <w:rFonts w:ascii="Verdana" w:hAnsi="Verdana"/>
      <w:sz w:val="24"/>
    </w:rPr>
  </w:style>
  <w:style w:type="paragraph" w:customStyle="1" w:styleId="HighlightsText">
    <w:name w:val="HighlightsText"/>
    <w:basedOn w:val="Normal"/>
    <w:uiPriority w:val="99"/>
    <w:pPr>
      <w:keepLines/>
      <w:spacing w:before="40"/>
    </w:pPr>
    <w:rPr>
      <w:rFonts w:ascii="Verdana" w:eastAsia="Times New Roman" w:hAnsi="Verdana"/>
      <w:sz w:val="20"/>
    </w:rPr>
  </w:style>
  <w:style w:type="paragraph" w:customStyle="1" w:styleId="TableHeadDBlue">
    <w:name w:val="TableHeadDBlue"/>
    <w:basedOn w:val="TableHeading"/>
    <w:uiPriority w:val="99"/>
    <w:rPr>
      <w:color w:val="000080"/>
    </w:rPr>
  </w:style>
  <w:style w:type="paragraph" w:customStyle="1" w:styleId="NormalSpaceBefore">
    <w:name w:val="NormalSpaceBefore"/>
    <w:basedOn w:val="Normal"/>
    <w:uiPriority w:val="99"/>
    <w:pPr>
      <w:spacing w:before="80" w:after="240"/>
    </w:pPr>
    <w:rPr>
      <w:rFonts w:ascii="Times New Roman" w:eastAsia="Times New Roman" w:hAnsi="Times New Roman"/>
      <w:sz w:val="22"/>
    </w:rPr>
  </w:style>
  <w:style w:type="paragraph" w:customStyle="1" w:styleId="BulletIntroSpaceBefore">
    <w:name w:val="BulletIntroSpaceBefore"/>
    <w:basedOn w:val="BulletIntro"/>
    <w:uiPriority w:val="99"/>
    <w:pPr>
      <w:spacing w:before="80"/>
    </w:pPr>
    <w:rPr>
      <w:rFonts w:ascii="Times New Roman" w:hAnsi="Times New Roman"/>
      <w:sz w:val="22"/>
    </w:rPr>
  </w:style>
  <w:style w:type="paragraph" w:customStyle="1" w:styleId="StyleBodytextArial">
    <w:name w:val="Style Body text + Arial"/>
    <w:basedOn w:val="Normal"/>
    <w:uiPriority w:val="99"/>
    <w:pPr>
      <w:widowControl w:val="0"/>
      <w:suppressAutoHyphens/>
      <w:autoSpaceDE w:val="0"/>
      <w:autoSpaceDN w:val="0"/>
      <w:adjustRightInd w:val="0"/>
      <w:spacing w:after="80" w:line="226" w:lineRule="atLeast"/>
      <w:textAlignment w:val="center"/>
    </w:pPr>
    <w:rPr>
      <w:rFonts w:ascii="Arial" w:eastAsia="Times New Roman" w:hAnsi="Arial" w:cs="TheSans-B3Light"/>
      <w:color w:val="000000"/>
      <w:sz w:val="20"/>
      <w:szCs w:val="17"/>
      <w:lang w:val="en-US"/>
    </w:rPr>
  </w:style>
  <w:style w:type="paragraph" w:customStyle="1" w:styleId="TableTextDblue">
    <w:name w:val="TableTextDblue"/>
    <w:basedOn w:val="TableTextBlue"/>
    <w:uiPriority w:val="99"/>
    <w:rPr>
      <w:color w:val="000080"/>
    </w:rPr>
  </w:style>
  <w:style w:type="paragraph" w:customStyle="1" w:styleId="TableDash">
    <w:name w:val="TableDash"/>
    <w:basedOn w:val="TableBullet"/>
    <w:uiPriority w:val="99"/>
    <w:pPr>
      <w:numPr>
        <w:numId w:val="5"/>
      </w:numPr>
    </w:pPr>
  </w:style>
  <w:style w:type="paragraph" w:customStyle="1" w:styleId="HighlightsBullet">
    <w:name w:val="HighlightsBullet"/>
    <w:basedOn w:val="HighlightsText"/>
    <w:uiPriority w:val="99"/>
    <w:pPr>
      <w:numPr>
        <w:numId w:val="7"/>
      </w:numPr>
      <w:tabs>
        <w:tab w:val="left" w:pos="357"/>
      </w:tabs>
      <w:ind w:left="357" w:hanging="357"/>
    </w:pPr>
  </w:style>
  <w:style w:type="paragraph" w:customStyle="1" w:styleId="Heading2DBlue">
    <w:name w:val="Heading 2DBlue"/>
    <w:basedOn w:val="Heading2"/>
    <w:uiPriority w:val="99"/>
    <w:pPr>
      <w:keepLines w:val="0"/>
      <w:tabs>
        <w:tab w:val="left" w:pos="1701"/>
      </w:tabs>
      <w:spacing w:before="120" w:after="240"/>
      <w:ind w:left="1701" w:hanging="1701"/>
    </w:pPr>
    <w:rPr>
      <w:rFonts w:ascii="Verdana" w:hAnsi="Verdana"/>
      <w:b w:val="0"/>
      <w:bCs w:val="0"/>
      <w:color w:val="000080"/>
    </w:rPr>
  </w:style>
  <w:style w:type="paragraph" w:customStyle="1" w:styleId="TableHeadingDetailed">
    <w:name w:val="TableHeadingDetailed"/>
    <w:basedOn w:val="TableHeading"/>
    <w:uiPriority w:val="99"/>
    <w:pPr>
      <w:keepNext w:val="0"/>
    </w:pPr>
    <w:rPr>
      <w:color w:val="000000"/>
    </w:rPr>
  </w:style>
  <w:style w:type="paragraph" w:customStyle="1" w:styleId="PhotoName">
    <w:name w:val="PhotoName"/>
    <w:basedOn w:val="TableName"/>
    <w:next w:val="Normal"/>
    <w:uiPriority w:val="99"/>
    <w:rPr>
      <w:rFonts w:ascii="Calibri" w:hAnsi="Calibri"/>
      <w:i/>
    </w:rPr>
  </w:style>
  <w:style w:type="paragraph" w:customStyle="1" w:styleId="Heading1NumberPBB">
    <w:name w:val="Heading 1 Number+ PBB"/>
    <w:basedOn w:val="Heading1"/>
    <w:uiPriority w:val="99"/>
    <w:pPr>
      <w:keepLines w:val="0"/>
      <w:pageBreakBefore/>
      <w:numPr>
        <w:numId w:val="8"/>
      </w:numPr>
      <w:tabs>
        <w:tab w:val="left" w:pos="924"/>
      </w:tabs>
      <w:spacing w:after="240"/>
    </w:pPr>
    <w:rPr>
      <w:rFonts w:ascii="Verdana" w:hAnsi="Verdana"/>
      <w:b w:val="0"/>
      <w:bCs w:val="0"/>
      <w:color w:val="0099CC"/>
      <w:kern w:val="28"/>
      <w:sz w:val="40"/>
      <w:szCs w:val="40"/>
      <w:lang w:val="en-GB"/>
    </w:rPr>
  </w:style>
  <w:style w:type="paragraph" w:customStyle="1" w:styleId="Heading2Number">
    <w:name w:val="Heading 2 Number"/>
    <w:basedOn w:val="Heading2"/>
    <w:next w:val="Normal"/>
    <w:uiPriority w:val="99"/>
    <w:pPr>
      <w:keepLines w:val="0"/>
      <w:numPr>
        <w:ilvl w:val="1"/>
        <w:numId w:val="8"/>
      </w:numPr>
      <w:tabs>
        <w:tab w:val="left" w:pos="924"/>
      </w:tabs>
      <w:spacing w:before="120" w:after="240"/>
    </w:pPr>
    <w:rPr>
      <w:rFonts w:ascii="Verdana" w:hAnsi="Verdana"/>
      <w:b w:val="0"/>
      <w:bCs w:val="0"/>
      <w:color w:val="0099CC"/>
      <w:szCs w:val="28"/>
      <w:lang w:val="en-GB"/>
    </w:rPr>
  </w:style>
  <w:style w:type="paragraph" w:styleId="TOC4">
    <w:name w:val="toc 4"/>
    <w:basedOn w:val="Normal"/>
    <w:next w:val="Normal"/>
    <w:autoRedefine/>
    <w:uiPriority w:val="39"/>
    <w:pPr>
      <w:spacing w:after="0"/>
      <w:ind w:left="660"/>
    </w:pPr>
    <w:rPr>
      <w:rFonts w:ascii="Calibri" w:eastAsia="Times New Roman" w:hAnsi="Calibri"/>
      <w:sz w:val="18"/>
      <w:szCs w:val="18"/>
    </w:rPr>
  </w:style>
  <w:style w:type="paragraph" w:styleId="TOC5">
    <w:name w:val="toc 5"/>
    <w:basedOn w:val="Normal"/>
    <w:next w:val="Normal"/>
    <w:autoRedefine/>
    <w:uiPriority w:val="39"/>
    <w:pPr>
      <w:spacing w:after="0"/>
      <w:ind w:left="880"/>
    </w:pPr>
    <w:rPr>
      <w:rFonts w:ascii="Calibri" w:eastAsia="Times New Roman" w:hAnsi="Calibri"/>
      <w:sz w:val="18"/>
      <w:szCs w:val="18"/>
    </w:rPr>
  </w:style>
  <w:style w:type="paragraph" w:styleId="TOC6">
    <w:name w:val="toc 6"/>
    <w:basedOn w:val="Normal"/>
    <w:next w:val="Normal"/>
    <w:autoRedefine/>
    <w:uiPriority w:val="39"/>
    <w:pPr>
      <w:spacing w:after="0"/>
      <w:ind w:left="1100"/>
    </w:pPr>
    <w:rPr>
      <w:rFonts w:ascii="Calibri" w:eastAsia="Times New Roman" w:hAnsi="Calibri"/>
      <w:sz w:val="18"/>
      <w:szCs w:val="18"/>
    </w:rPr>
  </w:style>
  <w:style w:type="paragraph" w:styleId="TOC7">
    <w:name w:val="toc 7"/>
    <w:basedOn w:val="Normal"/>
    <w:next w:val="Normal"/>
    <w:autoRedefine/>
    <w:uiPriority w:val="39"/>
    <w:pPr>
      <w:spacing w:after="0"/>
      <w:ind w:left="1320"/>
    </w:pPr>
    <w:rPr>
      <w:rFonts w:ascii="Calibri" w:eastAsia="Times New Roman" w:hAnsi="Calibri"/>
      <w:sz w:val="18"/>
      <w:szCs w:val="18"/>
    </w:rPr>
  </w:style>
  <w:style w:type="paragraph" w:styleId="TOC8">
    <w:name w:val="toc 8"/>
    <w:basedOn w:val="Normal"/>
    <w:next w:val="Normal"/>
    <w:autoRedefine/>
    <w:uiPriority w:val="39"/>
    <w:pPr>
      <w:spacing w:after="0"/>
      <w:ind w:left="1540"/>
    </w:pPr>
    <w:rPr>
      <w:rFonts w:ascii="Calibri" w:eastAsia="Times New Roman" w:hAnsi="Calibri"/>
      <w:sz w:val="18"/>
      <w:szCs w:val="18"/>
    </w:rPr>
  </w:style>
  <w:style w:type="paragraph" w:styleId="TOC9">
    <w:name w:val="toc 9"/>
    <w:basedOn w:val="Normal"/>
    <w:next w:val="Normal"/>
    <w:autoRedefine/>
    <w:uiPriority w:val="39"/>
    <w:pPr>
      <w:spacing w:after="0"/>
      <w:ind w:left="1760"/>
    </w:pPr>
    <w:rPr>
      <w:rFonts w:ascii="Calibri" w:eastAsia="Times New Roman" w:hAnsi="Calibri"/>
      <w:sz w:val="18"/>
      <w:szCs w:val="18"/>
    </w:rPr>
  </w:style>
  <w:style w:type="paragraph" w:customStyle="1" w:styleId="StyleHeading1NumberPBBAllcaps">
    <w:name w:val="Style Heading 1 Number+ PBB + All caps"/>
    <w:basedOn w:val="Heading1NumberPBB"/>
    <w:uiPriority w:val="99"/>
  </w:style>
  <w:style w:type="paragraph" w:styleId="TableofFigures">
    <w:name w:val="table of figures"/>
    <w:basedOn w:val="Normal"/>
    <w:next w:val="Normal"/>
    <w:link w:val="TableofFiguresChar"/>
    <w:uiPriority w:val="99"/>
    <w:pPr>
      <w:spacing w:after="80"/>
    </w:pPr>
    <w:rPr>
      <w:rFonts w:ascii="Arial Narrow" w:hAnsi="Arial Narrow"/>
      <w:sz w:val="22"/>
    </w:rPr>
  </w:style>
  <w:style w:type="table" w:customStyle="1" w:styleId="Blue">
    <w:name w:val="Blue"/>
    <w:uiPriority w:val="99"/>
    <w:rPr>
      <w:rFonts w:eastAsia="Times New Roman"/>
    </w:rPr>
    <w:tblPr>
      <w:tblStyleColBandSize w:val="1"/>
      <w:tblInd w:w="0" w:type="dxa"/>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Arial" w:eastAsia="Times New Roman" w:hAnsi="Arial" w:cs="Arial"/>
      <w:color w:val="000000"/>
      <w:sz w:val="24"/>
      <w:szCs w:val="24"/>
      <w:lang w:val="en-GB" w:eastAsia="en-GB"/>
    </w:rPr>
  </w:style>
  <w:style w:type="character" w:customStyle="1" w:styleId="A7">
    <w:name w:val="A7"/>
    <w:uiPriority w:val="99"/>
    <w:rPr>
      <w:rFonts w:cs="Helvetica Neue LT"/>
      <w:color w:val="000000"/>
      <w:sz w:val="22"/>
      <w:szCs w:val="22"/>
    </w:rPr>
  </w:style>
  <w:style w:type="paragraph" w:customStyle="1" w:styleId="BodyText1">
    <w:name w:val="Body Text1"/>
    <w:basedOn w:val="Normal"/>
    <w:uiPriority w:val="99"/>
    <w:pPr>
      <w:tabs>
        <w:tab w:val="left" w:pos="4428"/>
        <w:tab w:val="left" w:pos="8856"/>
      </w:tabs>
      <w:spacing w:after="240"/>
    </w:pPr>
    <w:rPr>
      <w:rFonts w:ascii="Arial" w:hAnsi="Arial"/>
      <w:sz w:val="22"/>
    </w:rPr>
  </w:style>
  <w:style w:type="paragraph" w:customStyle="1" w:styleId="figureheading">
    <w:name w:val="figure heading"/>
    <w:basedOn w:val="BodyText1"/>
    <w:uiPriority w:val="99"/>
    <w:pPr>
      <w:tabs>
        <w:tab w:val="clear" w:pos="4428"/>
        <w:tab w:val="clear" w:pos="8856"/>
      </w:tabs>
      <w:spacing w:after="120"/>
    </w:pPr>
    <w:rPr>
      <w:rFonts w:ascii="Arial Narrow" w:hAnsi="Arial Narrow"/>
      <w:b/>
      <w:sz w:val="20"/>
    </w:rPr>
  </w:style>
  <w:style w:type="paragraph" w:styleId="BodyText">
    <w:name w:val="Body Text"/>
    <w:basedOn w:val="Normal"/>
    <w:link w:val="BodyTextChar"/>
    <w:uiPriority w:val="99"/>
    <w:semiHidden/>
    <w:pPr>
      <w:spacing w:before="240" w:after="0"/>
      <w:ind w:left="1134"/>
    </w:pPr>
    <w:rPr>
      <w:rFonts w:ascii="Helvetica" w:hAnsi="Helvetica"/>
      <w:lang w:val="en-AU"/>
    </w:rPr>
  </w:style>
  <w:style w:type="character" w:customStyle="1" w:styleId="BodyTextChar">
    <w:name w:val="Body Text Char"/>
    <w:link w:val="BodyText"/>
    <w:uiPriority w:val="99"/>
    <w:semiHidden/>
    <w:locked/>
    <w:rPr>
      <w:rFonts w:ascii="Helvetica" w:hAnsi="Helvetica" w:cs="Times New Roman"/>
      <w:sz w:val="24"/>
      <w:lang w:val="en-AU" w:eastAsia="en-US"/>
    </w:rPr>
  </w:style>
  <w:style w:type="paragraph" w:customStyle="1" w:styleId="CM8">
    <w:name w:val="CM8"/>
    <w:basedOn w:val="Normal"/>
    <w:next w:val="Normal"/>
    <w:uiPriority w:val="99"/>
    <w:pPr>
      <w:widowControl w:val="0"/>
      <w:autoSpaceDE w:val="0"/>
      <w:autoSpaceDN w:val="0"/>
      <w:adjustRightInd w:val="0"/>
      <w:spacing w:after="0"/>
    </w:pPr>
    <w:rPr>
      <w:rFonts w:ascii="Arial" w:eastAsia="Times New Roman" w:hAnsi="Arial" w:cs="Arial"/>
      <w:szCs w:val="24"/>
      <w:lang w:eastAsia="en-AU"/>
    </w:rPr>
  </w:style>
  <w:style w:type="paragraph" w:styleId="Revision">
    <w:name w:val="Revision"/>
    <w:hidden/>
    <w:uiPriority w:val="99"/>
    <w:semiHidden/>
    <w:rPr>
      <w:rFonts w:ascii="Cambria" w:hAnsi="Cambria"/>
      <w:sz w:val="24"/>
      <w:lang w:eastAsia="en-US"/>
    </w:rPr>
  </w:style>
  <w:style w:type="table" w:customStyle="1" w:styleId="ColorfulList11">
    <w:name w:val="Colorful List11"/>
    <w:uiPriority w:val="99"/>
    <w:rPr>
      <w:rFonts w:eastAsia="Times New Roman"/>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ColorfulList-Accent61">
    <w:name w:val="Colorful List - Accent 61"/>
    <w:uiPriority w:val="99"/>
    <w:rPr>
      <w:rFonts w:eastAsia="Times New Roman"/>
      <w:color w:val="000000"/>
    </w:rPr>
    <w:tblPr>
      <w:tblStyleRowBandSize w:val="1"/>
      <w:tblStyleColBandSize w:val="1"/>
      <w:tblInd w:w="0" w:type="dxa"/>
      <w:tblCellMar>
        <w:top w:w="0" w:type="dxa"/>
        <w:left w:w="108" w:type="dxa"/>
        <w:bottom w:w="0" w:type="dxa"/>
        <w:right w:w="108" w:type="dxa"/>
      </w:tblCellMar>
    </w:tblPr>
    <w:tcPr>
      <w:shd w:val="clear" w:color="auto" w:fill="FEF4EC"/>
    </w:tcPr>
  </w:style>
  <w:style w:type="table" w:customStyle="1" w:styleId="LightShading11">
    <w:name w:val="Light Shading11"/>
    <w:uiPriority w:val="99"/>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aptionChar">
    <w:name w:val="Caption Char"/>
    <w:uiPriority w:val="99"/>
    <w:locked/>
    <w:rPr>
      <w:rFonts w:ascii="Cambria" w:hAnsi="Cambria" w:cs="Times New Roman"/>
      <w:b/>
      <w:bCs/>
      <w:sz w:val="24"/>
      <w:lang w:val="en-AU" w:eastAsia="en-US" w:bidi="ar-SA"/>
    </w:rPr>
  </w:style>
  <w:style w:type="table" w:styleId="TableClassic3">
    <w:name w:val="Table Classic 3"/>
    <w:basedOn w:val="TableNormal"/>
    <w:uiPriority w:val="99"/>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bulletlevel1">
    <w:name w:val="bullet (level 1)"/>
    <w:basedOn w:val="Normal"/>
    <w:autoRedefine/>
    <w:uiPriority w:val="99"/>
    <w:pPr>
      <w:numPr>
        <w:numId w:val="9"/>
      </w:numPr>
      <w:spacing w:before="120"/>
    </w:pPr>
    <w:rPr>
      <w:rFonts w:ascii="Arial" w:eastAsia="Times New Roman" w:hAnsi="Arial"/>
      <w:sz w:val="22"/>
      <w:lang w:val="en-US"/>
    </w:rPr>
  </w:style>
  <w:style w:type="character" w:customStyle="1" w:styleId="CommentTextChar1">
    <w:name w:val="Comment Text Char1"/>
    <w:uiPriority w:val="99"/>
    <w:locked/>
    <w:rPr>
      <w:rFonts w:ascii="Cambria" w:hAnsi="Cambria" w:cs="Times New Roman"/>
      <w:lang w:val="en-US" w:eastAsia="en-US"/>
    </w:rPr>
  </w:style>
  <w:style w:type="character" w:customStyle="1" w:styleId="CaptionChar1">
    <w:name w:val="Caption Char1"/>
    <w:uiPriority w:val="99"/>
    <w:locked/>
    <w:rPr>
      <w:rFonts w:ascii="Cambria" w:hAnsi="Cambria" w:cs="Times New Roman"/>
      <w:b/>
      <w:bCs/>
      <w:sz w:val="24"/>
      <w:lang w:eastAsia="en-US"/>
    </w:rPr>
  </w:style>
  <w:style w:type="paragraph" w:customStyle="1" w:styleId="newstitle">
    <w:name w:val="newstitle"/>
    <w:basedOn w:val="Normal"/>
    <w:uiPriority w:val="99"/>
    <w:pPr>
      <w:spacing w:before="100" w:beforeAutospacing="1" w:after="100" w:afterAutospacing="1"/>
    </w:pPr>
    <w:rPr>
      <w:rFonts w:ascii="Times New Roman" w:eastAsia="Times New Roman" w:hAnsi="Times New Roman"/>
      <w:szCs w:val="24"/>
      <w:lang w:eastAsia="en-AU"/>
    </w:rPr>
  </w:style>
  <w:style w:type="character" w:customStyle="1" w:styleId="CharChar9">
    <w:name w:val="Char Char9"/>
    <w:uiPriority w:val="99"/>
    <w:rPr>
      <w:rFonts w:ascii="Cambria" w:hAnsi="Cambria" w:cs="Times New Roman"/>
      <w:color w:val="17365D"/>
      <w:spacing w:val="5"/>
      <w:kern w:val="28"/>
      <w:sz w:val="52"/>
      <w:szCs w:val="52"/>
    </w:rPr>
  </w:style>
  <w:style w:type="character" w:customStyle="1" w:styleId="CharChar14">
    <w:name w:val="Char Char14"/>
    <w:uiPriority w:val="99"/>
    <w:rPr>
      <w:rFonts w:ascii="Calibri" w:hAnsi="Calibri" w:cs="Times New Roman"/>
      <w:b/>
      <w:bCs/>
      <w:color w:val="17365D"/>
      <w:sz w:val="28"/>
      <w:szCs w:val="28"/>
      <w:lang w:eastAsia="en-US"/>
    </w:rPr>
  </w:style>
  <w:style w:type="character" w:customStyle="1" w:styleId="CharChar8">
    <w:name w:val="Char Char8"/>
    <w:uiPriority w:val="99"/>
    <w:rPr>
      <w:rFonts w:ascii="Tahoma" w:hAnsi="Tahoma" w:cs="Tahoma"/>
      <w:sz w:val="16"/>
      <w:szCs w:val="16"/>
    </w:rPr>
  </w:style>
  <w:style w:type="character" w:customStyle="1" w:styleId="CharChar13">
    <w:name w:val="Char Char13"/>
    <w:uiPriority w:val="99"/>
    <w:rPr>
      <w:rFonts w:ascii="Calibri" w:hAnsi="Calibri" w:cs="Times New Roman"/>
      <w:b/>
      <w:bCs/>
      <w:color w:val="365F91"/>
      <w:sz w:val="26"/>
      <w:szCs w:val="26"/>
      <w:lang w:val="en-US" w:eastAsia="en-US"/>
    </w:rPr>
  </w:style>
  <w:style w:type="character" w:customStyle="1" w:styleId="CharChar7">
    <w:name w:val="Char Char7"/>
    <w:uiPriority w:val="99"/>
    <w:semiHidden/>
    <w:rPr>
      <w:rFonts w:ascii="Tahoma" w:hAnsi="Tahoma" w:cs="Tahoma"/>
      <w:sz w:val="16"/>
      <w:szCs w:val="16"/>
    </w:rPr>
  </w:style>
  <w:style w:type="table" w:customStyle="1" w:styleId="ColorfulList2">
    <w:name w:val="Colorful List2"/>
    <w:uiPriority w:val="99"/>
    <w:rPr>
      <w:rFonts w:eastAsia="Times New Roman"/>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CharChar12">
    <w:name w:val="Char Char12"/>
    <w:uiPriority w:val="99"/>
    <w:rPr>
      <w:rFonts w:ascii="Calibri" w:hAnsi="Calibri" w:cs="Times New Roman"/>
      <w:b/>
      <w:bCs/>
      <w:color w:val="4F81BD"/>
      <w:sz w:val="24"/>
      <w:lang w:val="en-US" w:eastAsia="en-US"/>
    </w:rPr>
  </w:style>
  <w:style w:type="character" w:customStyle="1" w:styleId="CharChar6">
    <w:name w:val="Char Char6"/>
    <w:uiPriority w:val="99"/>
    <w:rPr>
      <w:rFonts w:ascii="Cambria" w:hAnsi="Cambria" w:cs="Times New Roman"/>
      <w:lang w:val="en-US" w:eastAsia="en-US"/>
    </w:rPr>
  </w:style>
  <w:style w:type="character" w:customStyle="1" w:styleId="CharChar5">
    <w:name w:val="Char Char5"/>
    <w:uiPriority w:val="99"/>
    <w:rPr>
      <w:rFonts w:ascii="Cambria" w:hAnsi="Cambria" w:cs="Times New Roman"/>
      <w:b/>
      <w:bCs/>
      <w:lang w:val="en-US" w:eastAsia="en-US"/>
    </w:rPr>
  </w:style>
  <w:style w:type="table" w:customStyle="1" w:styleId="LightShading2">
    <w:name w:val="Light Shading2"/>
    <w:uiPriority w:val="99"/>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harChar3">
    <w:name w:val="Char Char3"/>
    <w:uiPriority w:val="99"/>
    <w:rPr>
      <w:rFonts w:ascii="Verdana" w:hAnsi="Verdana" w:cs="Times New Roman"/>
      <w:color w:val="000080"/>
      <w:sz w:val="18"/>
      <w:lang w:val="en-GB" w:eastAsia="en-US"/>
    </w:rPr>
  </w:style>
  <w:style w:type="character" w:customStyle="1" w:styleId="CharChar11">
    <w:name w:val="Char Char11"/>
    <w:uiPriority w:val="99"/>
    <w:rPr>
      <w:rFonts w:ascii="Calibri" w:hAnsi="Calibri" w:cs="Times New Roman"/>
      <w:b/>
      <w:bCs/>
      <w:sz w:val="28"/>
      <w:szCs w:val="28"/>
      <w:lang w:val="en-US" w:eastAsia="en-US"/>
    </w:rPr>
  </w:style>
  <w:style w:type="character" w:customStyle="1" w:styleId="CharChar4">
    <w:name w:val="Char Char4"/>
    <w:uiPriority w:val="99"/>
    <w:rPr>
      <w:rFonts w:ascii="Cambria" w:hAnsi="Cambria" w:cs="Times New Roman"/>
      <w:b/>
      <w:bCs/>
      <w:sz w:val="24"/>
      <w:lang w:eastAsia="en-US"/>
    </w:rPr>
  </w:style>
  <w:style w:type="character" w:customStyle="1" w:styleId="CharChar10">
    <w:name w:val="Char Char10"/>
    <w:uiPriority w:val="99"/>
    <w:rPr>
      <w:rFonts w:ascii="Calibri" w:hAnsi="Calibri" w:cs="Times New Roman"/>
      <w:b/>
      <w:bCs/>
      <w:i/>
      <w:iCs/>
      <w:sz w:val="26"/>
      <w:szCs w:val="26"/>
      <w:lang w:eastAsia="en-US"/>
    </w:rPr>
  </w:style>
  <w:style w:type="character" w:customStyle="1" w:styleId="CharChar2">
    <w:name w:val="Char Char2"/>
    <w:uiPriority w:val="99"/>
    <w:rPr>
      <w:rFonts w:ascii="Verdana" w:hAnsi="Verdana" w:cs="Times New Roman"/>
      <w:color w:val="000080"/>
      <w:sz w:val="18"/>
      <w:lang w:val="en-GB" w:eastAsia="en-US"/>
    </w:rPr>
  </w:style>
  <w:style w:type="character" w:customStyle="1" w:styleId="CharChar1">
    <w:name w:val="Char Char1"/>
    <w:uiPriority w:val="99"/>
    <w:rPr>
      <w:rFonts w:ascii="Times" w:hAnsi="Times" w:cs="Times New Roman"/>
      <w:sz w:val="22"/>
      <w:lang w:val="en-GB" w:eastAsia="en-US"/>
    </w:rPr>
  </w:style>
  <w:style w:type="paragraph" w:customStyle="1" w:styleId="FootnoteText1">
    <w:name w:val="Footnote Text1"/>
    <w:basedOn w:val="FootnoteText"/>
    <w:autoRedefine/>
    <w:uiPriority w:val="99"/>
    <w:rPr>
      <w:rFonts w:ascii="Arial" w:eastAsia="MS Mincho" w:hAnsi="Arial"/>
      <w:sz w:val="16"/>
      <w:lang w:eastAsia="ja-JP"/>
    </w:rPr>
  </w:style>
  <w:style w:type="paragraph" w:customStyle="1" w:styleId="StyleTableBulletArial">
    <w:name w:val="Style TableBullet + Arial"/>
    <w:basedOn w:val="TableBullet"/>
    <w:uiPriority w:val="99"/>
    <w:pPr>
      <w:spacing w:after="120"/>
    </w:pPr>
    <w:rPr>
      <w:rFonts w:ascii="Arial" w:eastAsia="Calibri" w:hAnsi="Arial"/>
      <w:sz w:val="24"/>
    </w:rPr>
  </w:style>
  <w:style w:type="paragraph" w:customStyle="1" w:styleId="Heading0noTOC">
    <w:name w:val="Heading 0 no TOC"/>
    <w:basedOn w:val="Heading0Part"/>
    <w:qFormat/>
  </w:style>
  <w:style w:type="character" w:customStyle="1" w:styleId="CharChar">
    <w:name w:val="Char Char"/>
    <w:uiPriority w:val="99"/>
    <w:semiHidden/>
    <w:rPr>
      <w:rFonts w:ascii="Helvetica" w:hAnsi="Helvetica" w:cs="Times New Roman"/>
      <w:sz w:val="24"/>
      <w:lang w:val="en-AU" w:eastAsia="en-US"/>
    </w:rPr>
  </w:style>
  <w:style w:type="paragraph" w:customStyle="1" w:styleId="TableTextBullet">
    <w:name w:val="TableTextBullet"/>
    <w:basedOn w:val="TableText"/>
    <w:qFormat/>
    <w:pPr>
      <w:numPr>
        <w:numId w:val="10"/>
      </w:numPr>
      <w:ind w:left="357" w:hanging="357"/>
    </w:pPr>
  </w:style>
  <w:style w:type="paragraph" w:styleId="NoSpacing">
    <w:name w:val="No Spacing"/>
    <w:link w:val="NoSpacingChar"/>
    <w:uiPriority w:val="1"/>
    <w:qFormat/>
    <w:rPr>
      <w:sz w:val="24"/>
      <w:lang w:eastAsia="en-US"/>
    </w:rPr>
  </w:style>
  <w:style w:type="paragraph" w:customStyle="1" w:styleId="Bodytext0">
    <w:name w:val="Bodytext"/>
    <w:link w:val="BodytextChar0"/>
    <w:uiPriority w:val="99"/>
    <w:pPr>
      <w:spacing w:after="200"/>
    </w:pPr>
    <w:rPr>
      <w:rFonts w:eastAsia="Times New Roman"/>
      <w:sz w:val="24"/>
      <w:lang w:eastAsia="en-US"/>
    </w:rPr>
  </w:style>
  <w:style w:type="character" w:customStyle="1" w:styleId="BodytextChar0">
    <w:name w:val="Bodytext Char"/>
    <w:link w:val="Bodytext0"/>
    <w:uiPriority w:val="99"/>
    <w:locked/>
    <w:rPr>
      <w:rFonts w:eastAsia="Times New Roman"/>
      <w:sz w:val="24"/>
      <w:lang w:val="en-AU" w:eastAsia="en-US" w:bidi="ar-SA"/>
    </w:rPr>
  </w:style>
  <w:style w:type="character" w:customStyle="1" w:styleId="st1">
    <w:name w:val="st1"/>
    <w:rPr>
      <w:rFonts w:cs="Times New Roman"/>
    </w:rPr>
  </w:style>
  <w:style w:type="character" w:customStyle="1" w:styleId="CharChar51">
    <w:name w:val="Char Char51"/>
    <w:uiPriority w:val="99"/>
    <w:semiHidden/>
    <w:rPr>
      <w:rFonts w:ascii="Cambria" w:hAnsi="Cambria" w:cs="Times New Roman"/>
      <w:lang w:val="en-US" w:eastAsia="en-US"/>
    </w:rPr>
  </w:style>
  <w:style w:type="character" w:customStyle="1" w:styleId="CharPartText">
    <w:name w:val="CharPartText"/>
    <w:uiPriority w:val="99"/>
    <w:rPr>
      <w:rFonts w:cs="Times New Roman"/>
    </w:rPr>
  </w:style>
  <w:style w:type="paragraph" w:customStyle="1" w:styleId="B1">
    <w:name w:val="B1"/>
    <w:basedOn w:val="Normal"/>
    <w:uiPriority w:val="99"/>
    <w:pPr>
      <w:numPr>
        <w:numId w:val="11"/>
      </w:numPr>
      <w:spacing w:after="0"/>
    </w:pPr>
    <w:rPr>
      <w:rFonts w:ascii="Times New Roman" w:eastAsia="Times New Roman" w:hAnsi="Times New Roman"/>
      <w:szCs w:val="24"/>
      <w:lang w:eastAsia="en-AU"/>
    </w:rPr>
  </w:style>
  <w:style w:type="character" w:customStyle="1" w:styleId="TableofFiguresChar">
    <w:name w:val="Table of Figures Char"/>
    <w:link w:val="TableofFigures"/>
    <w:uiPriority w:val="99"/>
    <w:locked/>
    <w:rPr>
      <w:rFonts w:ascii="Arial Narrow" w:hAnsi="Arial Narrow" w:cs="Times New Roman"/>
      <w:sz w:val="22"/>
      <w:lang w:val="en-GB" w:eastAsia="en-US" w:bidi="ar-SA"/>
    </w:rPr>
  </w:style>
  <w:style w:type="numbering" w:customStyle="1" w:styleId="CurrentList1">
    <w:name w:val="Current List1"/>
    <w:pPr>
      <w:numPr>
        <w:numId w:val="12"/>
      </w:numPr>
    </w:pPr>
  </w:style>
  <w:style w:type="numbering" w:styleId="111111">
    <w:name w:val="Outline List 2"/>
    <w:basedOn w:val="NoList"/>
    <w:unhideWhenUsed/>
    <w:locked/>
  </w:style>
  <w:style w:type="paragraph" w:styleId="PlainText">
    <w:name w:val="Plain Text"/>
    <w:basedOn w:val="Normal"/>
    <w:link w:val="PlainTextChar"/>
    <w:uiPriority w:val="99"/>
    <w:locked/>
    <w:pPr>
      <w:spacing w:after="0"/>
    </w:pPr>
    <w:rPr>
      <w:rFonts w:ascii="Calibri" w:hAnsi="Calibri"/>
      <w:sz w:val="20"/>
      <w:szCs w:val="21"/>
      <w:lang w:val="x-none"/>
    </w:rPr>
  </w:style>
  <w:style w:type="character" w:customStyle="1" w:styleId="PlainTextChar">
    <w:name w:val="Plain Text Char"/>
    <w:link w:val="PlainText"/>
    <w:uiPriority w:val="99"/>
    <w:rPr>
      <w:rFonts w:ascii="Calibri" w:hAnsi="Calibri"/>
      <w:szCs w:val="21"/>
      <w:lang w:eastAsia="en-US"/>
    </w:rPr>
  </w:style>
  <w:style w:type="paragraph" w:customStyle="1" w:styleId="para">
    <w:name w:val="para"/>
    <w:basedOn w:val="Normal"/>
    <w:pPr>
      <w:spacing w:before="100" w:beforeAutospacing="1" w:after="100" w:afterAutospacing="1"/>
    </w:pPr>
    <w:rPr>
      <w:rFonts w:ascii="Times New Roman" w:hAnsi="Times New Roman"/>
      <w:szCs w:val="24"/>
      <w:lang w:eastAsia="en-AU"/>
    </w:rPr>
  </w:style>
  <w:style w:type="paragraph" w:customStyle="1" w:styleId="Para0">
    <w:name w:val="Para"/>
    <w:basedOn w:val="BodyTextFirstIndent2"/>
    <w:link w:val="ParaChar"/>
    <w:qFormat/>
    <w:pPr>
      <w:spacing w:line="312" w:lineRule="auto"/>
      <w:ind w:left="0" w:firstLine="0"/>
    </w:pPr>
    <w:rPr>
      <w:rFonts w:ascii="Arial" w:hAnsi="Arial"/>
      <w:sz w:val="20"/>
    </w:rPr>
  </w:style>
  <w:style w:type="character" w:customStyle="1" w:styleId="ParaChar">
    <w:name w:val="Para Char"/>
    <w:link w:val="Para0"/>
    <w:locked/>
    <w:rPr>
      <w:rFonts w:ascii="Arial" w:hAnsi="Arial" w:cs="Arial"/>
      <w:lang w:eastAsia="en-US"/>
    </w:rPr>
  </w:style>
  <w:style w:type="paragraph" w:styleId="BodyTextIndent">
    <w:name w:val="Body Text Indent"/>
    <w:basedOn w:val="Normal"/>
    <w:link w:val="BodyTextIndentChar"/>
    <w:uiPriority w:val="99"/>
    <w:semiHidden/>
    <w:unhideWhenUsed/>
    <w:locked/>
    <w:pPr>
      <w:ind w:left="283"/>
    </w:pPr>
    <w:rPr>
      <w:lang w:val="x-none"/>
    </w:rPr>
  </w:style>
  <w:style w:type="character" w:customStyle="1" w:styleId="BodyTextIndentChar">
    <w:name w:val="Body Text Indent Char"/>
    <w:link w:val="BodyTextIndent"/>
    <w:uiPriority w:val="99"/>
    <w:semiHidden/>
    <w:rPr>
      <w:rFonts w:ascii="Cambria" w:hAnsi="Cambria"/>
      <w:sz w:val="24"/>
      <w:szCs w:val="20"/>
      <w:lang w:eastAsia="en-US"/>
    </w:rPr>
  </w:style>
  <w:style w:type="paragraph" w:styleId="BodyTextFirstIndent2">
    <w:name w:val="Body Text First Indent 2"/>
    <w:basedOn w:val="BodyTextIndent"/>
    <w:link w:val="BodyTextFirstIndent2Char"/>
    <w:uiPriority w:val="99"/>
    <w:semiHidden/>
    <w:unhideWhenUsed/>
    <w:locked/>
    <w:pPr>
      <w:ind w:left="360" w:firstLine="360"/>
    </w:pPr>
  </w:style>
  <w:style w:type="character" w:customStyle="1" w:styleId="BodyTextFirstIndent2Char">
    <w:name w:val="Body Text First Indent 2 Char"/>
    <w:link w:val="BodyTextFirstIndent2"/>
    <w:uiPriority w:val="99"/>
    <w:semiHidden/>
    <w:rPr>
      <w:rFonts w:ascii="Cambria" w:hAnsi="Cambria"/>
      <w:sz w:val="24"/>
      <w:szCs w:val="20"/>
      <w:lang w:eastAsia="en-US"/>
    </w:rPr>
  </w:style>
  <w:style w:type="character" w:customStyle="1" w:styleId="BulletChar">
    <w:name w:val="Bullet Char"/>
    <w:link w:val="Bullet"/>
    <w:uiPriority w:val="99"/>
    <w:rPr>
      <w:rFonts w:ascii="Cambria" w:eastAsia="Times New Roman" w:hAnsi="Cambria"/>
      <w:sz w:val="24"/>
      <w:lang w:val="en-GB" w:eastAsia="en-US"/>
    </w:rPr>
  </w:style>
  <w:style w:type="paragraph" w:customStyle="1" w:styleId="figurename0">
    <w:name w:val="figurename"/>
    <w:basedOn w:val="Normal"/>
    <w:uiPriority w:val="99"/>
    <w:pPr>
      <w:spacing w:before="100" w:beforeAutospacing="1" w:after="100" w:afterAutospacing="1"/>
    </w:pPr>
    <w:rPr>
      <w:rFonts w:ascii="Times New Roman" w:eastAsia="Times New Roman" w:hAnsi="Times New Roman"/>
      <w:sz w:val="22"/>
      <w:lang w:val="en-US"/>
    </w:rPr>
  </w:style>
  <w:style w:type="paragraph" w:customStyle="1" w:styleId="Style8">
    <w:name w:val="Style8"/>
    <w:basedOn w:val="Normal"/>
    <w:pPr>
      <w:keepNext/>
      <w:keepLines/>
      <w:numPr>
        <w:numId w:val="13"/>
      </w:numPr>
      <w:spacing w:after="0"/>
    </w:pPr>
    <w:rPr>
      <w:rFonts w:ascii="Times New Roman" w:eastAsia="Times New Roman" w:hAnsi="Times New Roman"/>
      <w:szCs w:val="24"/>
      <w:lang w:eastAsia="en-AU"/>
    </w:rPr>
  </w:style>
  <w:style w:type="paragraph" w:styleId="BodyTextIndent3">
    <w:name w:val="Body Text Indent 3"/>
    <w:basedOn w:val="Normal"/>
    <w:link w:val="BodyTextIndent3Char"/>
    <w:uiPriority w:val="99"/>
    <w:locked/>
    <w:pPr>
      <w:spacing w:after="0"/>
      <w:ind w:left="1440"/>
    </w:pPr>
    <w:rPr>
      <w:rFonts w:ascii="Times New Roman" w:eastAsia="Times New Roman" w:hAnsi="Times New Roman"/>
      <w:color w:val="000000"/>
      <w:lang w:val="x-none" w:eastAsia="x-none"/>
    </w:rPr>
  </w:style>
  <w:style w:type="character" w:customStyle="1" w:styleId="BodyTextIndent3Char">
    <w:name w:val="Body Text Indent 3 Char"/>
    <w:link w:val="BodyTextIndent3"/>
    <w:uiPriority w:val="99"/>
    <w:rPr>
      <w:rFonts w:eastAsia="Times New Roman"/>
      <w:color w:val="000000"/>
      <w:sz w:val="24"/>
      <w:szCs w:val="20"/>
    </w:rPr>
  </w:style>
  <w:style w:type="paragraph" w:customStyle="1" w:styleId="TableBullet1">
    <w:name w:val="Table Bullet 1"/>
    <w:autoRedefine/>
    <w:uiPriority w:val="99"/>
    <w:qFormat/>
    <w:rsid w:val="00FC36DD"/>
    <w:pPr>
      <w:tabs>
        <w:tab w:val="left" w:pos="30"/>
        <w:tab w:val="center" w:pos="2956"/>
      </w:tabs>
      <w:spacing w:before="40" w:after="40"/>
      <w:ind w:left="30"/>
    </w:pPr>
    <w:rPr>
      <w:rFonts w:ascii="Arial Narrow" w:eastAsia="Times New Roman" w:hAnsi="Arial Narrow" w:cs="Arial"/>
      <w:lang w:eastAsia="en-US"/>
    </w:rPr>
  </w:style>
  <w:style w:type="paragraph" w:customStyle="1" w:styleId="Tablereference">
    <w:name w:val="Table reference"/>
    <w:basedOn w:val="Normal"/>
    <w:autoRedefine/>
    <w:uiPriority w:val="99"/>
    <w:qFormat/>
    <w:rPr>
      <w:rFonts w:ascii="Arial Narrow" w:eastAsia="Times New Roman" w:hAnsi="Arial Narrow"/>
      <w:sz w:val="20"/>
      <w:lang w:val="en-US"/>
    </w:rPr>
  </w:style>
  <w:style w:type="character" w:customStyle="1" w:styleId="NoSpacingChar">
    <w:name w:val="No Spacing Char"/>
    <w:link w:val="NoSpacing"/>
    <w:uiPriority w:val="1"/>
    <w:rPr>
      <w:sz w:val="24"/>
      <w:lang w:eastAsia="en-US" w:bidi="ar-SA"/>
    </w:rPr>
  </w:style>
  <w:style w:type="character" w:customStyle="1" w:styleId="apple-style-span">
    <w:name w:val="apple-style-span"/>
    <w:basedOn w:val="DefaultParagraphFont"/>
  </w:style>
  <w:style w:type="paragraph" w:customStyle="1" w:styleId="TableTick">
    <w:name w:val="TableTick"/>
    <w:basedOn w:val="Normal"/>
    <w:qFormat/>
    <w:pPr>
      <w:numPr>
        <w:numId w:val="14"/>
      </w:numPr>
      <w:spacing w:before="80" w:after="80"/>
      <w:ind w:left="318" w:hanging="284"/>
    </w:pPr>
    <w:rPr>
      <w:rFonts w:ascii="Arial Narrow" w:hAnsi="Arial Narrow"/>
      <w:sz w:val="20"/>
    </w:rPr>
  </w:style>
  <w:style w:type="table" w:customStyle="1" w:styleId="TableGrid1">
    <w:name w:val="Table Grid1"/>
    <w:basedOn w:val="TableNormal"/>
    <w:next w:val="TableGrid"/>
    <w:rPr>
      <w:rFonts w:ascii="Arial Narrow" w:eastAsia="Malgun Gothic" w:hAnsi="Arial Narrow"/>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Level2">
    <w:name w:val="Table Bullet Level 2"/>
    <w:basedOn w:val="TableBullet1"/>
    <w:autoRedefine/>
    <w:pPr>
      <w:numPr>
        <w:numId w:val="15"/>
      </w:numPr>
    </w:pPr>
    <w:rPr>
      <w:rFonts w:ascii="Arial" w:hAnsi="Arial"/>
      <w:szCs w:val="22"/>
    </w:rPr>
  </w:style>
  <w:style w:type="paragraph" w:customStyle="1" w:styleId="bulletintable2">
    <w:name w:val="bullet in table 2"/>
    <w:basedOn w:val="Normal"/>
    <w:pPr>
      <w:numPr>
        <w:numId w:val="16"/>
      </w:numPr>
      <w:tabs>
        <w:tab w:val="left" w:pos="4428"/>
        <w:tab w:val="left" w:pos="8856"/>
      </w:tabs>
      <w:spacing w:before="60" w:after="60" w:line="240" w:lineRule="atLeast"/>
    </w:pPr>
    <w:rPr>
      <w:rFonts w:ascii="Arial" w:eastAsia="Times" w:hAnsi="Arial" w:cs="Arial"/>
      <w:sz w:val="20"/>
      <w:lang w:eastAsia="en-AU"/>
    </w:rPr>
  </w:style>
  <w:style w:type="character" w:customStyle="1" w:styleId="ListParagraphChar">
    <w:name w:val="List Paragraph Char"/>
    <w:link w:val="ListParagraph"/>
    <w:uiPriority w:val="34"/>
    <w:locked/>
    <w:rsid w:val="000035D2"/>
    <w:rPr>
      <w:rFonts w:ascii="Cambria" w:eastAsia="Times New Roman" w:hAnsi="Cambria"/>
      <w:sz w:val="24"/>
      <w:szCs w:val="22"/>
      <w:lang w:val="en-GB" w:eastAsia="en-US"/>
    </w:rPr>
  </w:style>
  <w:style w:type="paragraph" w:customStyle="1" w:styleId="Headingcover">
    <w:name w:val="Heading cover"/>
    <w:basedOn w:val="Heading2noTOC"/>
    <w:qFormat/>
    <w:pPr>
      <w:spacing w:before="60"/>
    </w:pPr>
    <w:rPr>
      <w:sz w:val="22"/>
    </w:rPr>
  </w:style>
  <w:style w:type="paragraph" w:styleId="ListBullet">
    <w:name w:val="List Bullet"/>
    <w:basedOn w:val="Normal"/>
    <w:locked/>
    <w:pPr>
      <w:numPr>
        <w:numId w:val="17"/>
      </w:numPr>
      <w:spacing w:before="60" w:after="60"/>
    </w:pPr>
    <w:rPr>
      <w:rFonts w:ascii="Arial" w:eastAsia="Times New Roman" w:hAnsi="Arial"/>
      <w:szCs w:val="24"/>
      <w:lang w:val="en-AU"/>
    </w:rPr>
  </w:style>
  <w:style w:type="paragraph" w:customStyle="1" w:styleId="tabletext0">
    <w:name w:val="tabletext"/>
    <w:basedOn w:val="Normal"/>
    <w:pPr>
      <w:spacing w:before="100" w:beforeAutospacing="1" w:after="100" w:afterAutospacing="1"/>
    </w:pPr>
    <w:rPr>
      <w:rFonts w:ascii="Times New Roman" w:hAnsi="Times New Roman"/>
      <w:szCs w:val="24"/>
      <w:lang w:val="en-AU" w:eastAsia="en-AU"/>
    </w:rPr>
  </w:style>
  <w:style w:type="paragraph" w:customStyle="1" w:styleId="CASAChapterText">
    <w:name w:val="CASA Chapter Text"/>
    <w:basedOn w:val="Normal"/>
    <w:link w:val="CASAChapterTextChar"/>
    <w:qFormat/>
    <w:pPr>
      <w:spacing w:before="120"/>
    </w:pPr>
    <w:rPr>
      <w:rFonts w:ascii="Arial" w:hAnsi="Arial" w:cs="Arial"/>
      <w:sz w:val="22"/>
      <w:szCs w:val="22"/>
      <w:lang w:val="en-AU"/>
    </w:rPr>
  </w:style>
  <w:style w:type="character" w:customStyle="1" w:styleId="CASAChapterTextChar">
    <w:name w:val="CASA Chapter Text Char"/>
    <w:link w:val="CASAChapterText"/>
    <w:rPr>
      <w:rFonts w:ascii="Arial" w:hAnsi="Arial" w:cs="Arial"/>
      <w:sz w:val="22"/>
      <w:szCs w:val="22"/>
      <w:lang w:eastAsia="en-US"/>
    </w:rPr>
  </w:style>
  <w:style w:type="paragraph" w:customStyle="1" w:styleId="Body">
    <w:name w:val="Body"/>
    <w:pPr>
      <w:pBdr>
        <w:top w:val="nil"/>
        <w:left w:val="nil"/>
        <w:bottom w:val="nil"/>
        <w:right w:val="nil"/>
        <w:between w:val="nil"/>
        <w:bar w:val="nil"/>
      </w:pBdr>
    </w:pPr>
    <w:rPr>
      <w:rFonts w:ascii="Arial" w:eastAsia="Arial Unicode MS" w:hAnsi="Arial" w:cs="Arial Unicode MS"/>
      <w:color w:val="000000"/>
      <w:u w:color="000000"/>
      <w:bdr w:val="nil"/>
      <w:lang w:val="en-US"/>
    </w:rPr>
  </w:style>
  <w:style w:type="character" w:customStyle="1" w:styleId="ProfileBodyCharChar">
    <w:name w:val="Profile Body Char Char"/>
    <w:link w:val="ProfileBody"/>
    <w:uiPriority w:val="2"/>
    <w:locked/>
  </w:style>
  <w:style w:type="paragraph" w:customStyle="1" w:styleId="ProfileBody">
    <w:name w:val="Profile Body"/>
    <w:basedOn w:val="Normal"/>
    <w:link w:val="ProfileBodyCharChar"/>
    <w:uiPriority w:val="2"/>
    <w:pPr>
      <w:spacing w:line="264" w:lineRule="auto"/>
    </w:pPr>
    <w:rPr>
      <w:rFonts w:ascii="Times New Roman" w:hAnsi="Times New Roman"/>
      <w:sz w:val="20"/>
      <w:lang w:val="en-AU" w:eastAsia="en-AU"/>
    </w:rPr>
  </w:style>
  <w:style w:type="paragraph" w:customStyle="1" w:styleId="Bullet1">
    <w:name w:val="Bullet 1"/>
    <w:basedOn w:val="Normal"/>
    <w:uiPriority w:val="99"/>
    <w:pPr>
      <w:numPr>
        <w:numId w:val="18"/>
      </w:numPr>
      <w:tabs>
        <w:tab w:val="left" w:pos="284"/>
        <w:tab w:val="left" w:pos="567"/>
      </w:tabs>
      <w:spacing w:before="60" w:after="240"/>
      <w:ind w:left="284" w:hanging="284"/>
    </w:pPr>
    <w:rPr>
      <w:rFonts w:ascii="Times New Roman" w:eastAsia="Times New Roman" w:hAnsi="Times New Roman"/>
      <w:sz w:val="22"/>
    </w:rPr>
  </w:style>
  <w:style w:type="paragraph" w:customStyle="1" w:styleId="bulletlevel10">
    <w:name w:val="bullet level 1"/>
    <w:basedOn w:val="Normal"/>
    <w:uiPriority w:val="99"/>
    <w:pPr>
      <w:numPr>
        <w:numId w:val="19"/>
      </w:numPr>
      <w:spacing w:after="240"/>
    </w:pPr>
    <w:rPr>
      <w:rFonts w:ascii="Times New Roman" w:hAnsi="Times New Roman" w:cs="Arial"/>
      <w:noProof/>
      <w:sz w:val="22"/>
      <w:lang w:eastAsia="en-AU"/>
    </w:rPr>
  </w:style>
  <w:style w:type="table" w:customStyle="1" w:styleId="Style2">
    <w:name w:val="Style2"/>
    <w:basedOn w:val="TableClassic1"/>
    <w:uiPriority w:val="99"/>
    <w:pPr>
      <w:spacing w:after="0"/>
    </w:pPr>
    <w:rPr>
      <w:rFonts w:eastAsia="Times New Roman"/>
    </w:rPr>
    <w:tblPr>
      <w:tblBorders>
        <w:top w:val="none" w:sz="0" w:space="0" w:color="auto"/>
        <w:bottom w:val="none" w:sz="0" w:space="0" w:color="auto"/>
        <w:insideH w:val="single" w:sz="4" w:space="0" w:color="80808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pPr>
      <w:spacing w:after="90"/>
    </w:pPr>
    <w:rPr>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1">
    <w:name w:val="Style21"/>
    <w:basedOn w:val="TableClassic1"/>
    <w:uiPriority w:val="99"/>
    <w:pPr>
      <w:spacing w:after="0"/>
    </w:pPr>
    <w:rPr>
      <w:rFonts w:eastAsia="Times New Roman"/>
      <w:sz w:val="20"/>
      <w:szCs w:val="20"/>
    </w:rPr>
    <w:tblPr>
      <w:tblBorders>
        <w:top w:val="none" w:sz="0" w:space="0" w:color="auto"/>
        <w:bottom w:val="none" w:sz="0" w:space="0" w:color="auto"/>
        <w:insideH w:val="single" w:sz="4" w:space="0" w:color="80808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2">
    <w:name w:val="Style22"/>
    <w:basedOn w:val="TableClassic1"/>
    <w:uiPriority w:val="99"/>
    <w:pPr>
      <w:spacing w:after="0"/>
    </w:pPr>
    <w:rPr>
      <w:rFonts w:eastAsia="Times New Roman"/>
      <w:sz w:val="20"/>
      <w:szCs w:val="20"/>
    </w:rPr>
    <w:tblPr>
      <w:tblBorders>
        <w:top w:val="none" w:sz="0" w:space="0" w:color="auto"/>
        <w:bottom w:val="none" w:sz="0" w:space="0" w:color="auto"/>
        <w:insideH w:val="single" w:sz="4" w:space="0" w:color="80808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1">
    <w:name w:val="Table Text"/>
    <w:basedOn w:val="Normal"/>
    <w:qFormat/>
    <w:rsid w:val="00203A70"/>
    <w:pPr>
      <w:spacing w:before="40" w:after="80" w:line="276" w:lineRule="auto"/>
    </w:pPr>
    <w:rPr>
      <w:rFonts w:ascii="Arial Narrow" w:hAnsi="Arial Narrow"/>
      <w:sz w:val="20"/>
      <w:szCs w:val="22"/>
    </w:rPr>
  </w:style>
  <w:style w:type="paragraph" w:customStyle="1" w:styleId="TableHead">
    <w:name w:val="Table Head"/>
    <w:basedOn w:val="TableText1"/>
    <w:next w:val="TableText1"/>
    <w:qFormat/>
    <w:pPr>
      <w:keepNext/>
    </w:pPr>
    <w:rPr>
      <w:b/>
    </w:rPr>
  </w:style>
  <w:style w:type="paragraph" w:customStyle="1" w:styleId="TableHeadingRightAlign">
    <w:name w:val="TableHeadingRightAlign"/>
    <w:basedOn w:val="TableHeading"/>
    <w:qFormat/>
    <w:pPr>
      <w:jc w:val="right"/>
    </w:pPr>
  </w:style>
  <w:style w:type="paragraph" w:customStyle="1" w:styleId="TableTextBold">
    <w:name w:val="TableTextBold"/>
    <w:basedOn w:val="TableText"/>
    <w:qFormat/>
    <w:rPr>
      <w:b/>
    </w:rPr>
  </w:style>
  <w:style w:type="paragraph" w:customStyle="1" w:styleId="TableTextRightAlign">
    <w:name w:val="TableTextRightAlign"/>
    <w:basedOn w:val="TableText"/>
    <w:qFormat/>
    <w:pPr>
      <w:jc w:val="right"/>
    </w:pPr>
  </w:style>
  <w:style w:type="paragraph" w:customStyle="1" w:styleId="TableTextRightAlignBold">
    <w:name w:val="TableTextRightAlignBold"/>
    <w:basedOn w:val="TableTextRightAlign"/>
    <w:qFormat/>
    <w:rPr>
      <w:b/>
    </w:rPr>
  </w:style>
  <w:style w:type="paragraph" w:customStyle="1" w:styleId="TableHeadingCentred">
    <w:name w:val="TableHeadingCentred"/>
    <w:basedOn w:val="TableHeading"/>
    <w:qFormat/>
    <w:pPr>
      <w:jc w:val="center"/>
    </w:pPr>
  </w:style>
  <w:style w:type="character" w:customStyle="1" w:styleId="A3">
    <w:name w:val="A3"/>
    <w:uiPriority w:val="99"/>
    <w:rsid w:val="002F0E75"/>
    <w:rPr>
      <w:rFonts w:cs="Helvetica Neue LT"/>
      <w:color w:val="221E1F"/>
      <w:sz w:val="22"/>
      <w:szCs w:val="22"/>
    </w:rPr>
  </w:style>
  <w:style w:type="paragraph" w:customStyle="1" w:styleId="Addresseedetails">
    <w:name w:val="Addressee details"/>
    <w:basedOn w:val="Normal"/>
    <w:qFormat/>
    <w:rsid w:val="007E4962"/>
    <w:pPr>
      <w:spacing w:after="0"/>
    </w:pPr>
    <w:rPr>
      <w:rFonts w:ascii="Arial" w:hAnsi="Arial"/>
      <w:sz w:val="22"/>
      <w:szCs w:val="22"/>
      <w:lang w:val="en-AU"/>
    </w:rPr>
  </w:style>
  <w:style w:type="paragraph" w:customStyle="1" w:styleId="CASAChapterHeading1">
    <w:name w:val="CASA Chapter Heading 1"/>
    <w:next w:val="CASAChapterHeading2"/>
    <w:link w:val="CASAChapterHeading1Char"/>
    <w:qFormat/>
    <w:rsid w:val="00BD72BA"/>
    <w:pPr>
      <w:numPr>
        <w:numId w:val="23"/>
      </w:numPr>
      <w:spacing w:before="240" w:after="240" w:line="276" w:lineRule="auto"/>
      <w:outlineLvl w:val="0"/>
    </w:pPr>
    <w:rPr>
      <w:rFonts w:ascii="Arial" w:eastAsia="Times New Roman" w:hAnsi="Arial"/>
      <w:b/>
      <w:bCs/>
      <w:sz w:val="32"/>
      <w:szCs w:val="26"/>
      <w:lang w:eastAsia="en-US"/>
    </w:rPr>
  </w:style>
  <w:style w:type="paragraph" w:customStyle="1" w:styleId="CASAChapterHeading2">
    <w:name w:val="CASA Chapter Heading 2"/>
    <w:basedOn w:val="CASAChapterHeading1"/>
    <w:next w:val="CASAChapterText"/>
    <w:qFormat/>
    <w:rsid w:val="00BD72BA"/>
    <w:pPr>
      <w:numPr>
        <w:ilvl w:val="1"/>
      </w:numPr>
      <w:tabs>
        <w:tab w:val="num" w:pos="1440"/>
      </w:tabs>
      <w:spacing w:before="120" w:after="120"/>
      <w:ind w:left="907" w:hanging="907"/>
      <w:outlineLvl w:val="1"/>
    </w:pPr>
    <w:rPr>
      <w:sz w:val="28"/>
    </w:rPr>
  </w:style>
  <w:style w:type="character" w:customStyle="1" w:styleId="CASAChapterHeading1Char">
    <w:name w:val="CASA Chapter Heading 1 Char"/>
    <w:link w:val="CASAChapterHeading1"/>
    <w:rsid w:val="00BD72BA"/>
    <w:rPr>
      <w:rFonts w:ascii="Arial" w:eastAsia="Times New Roman" w:hAnsi="Arial"/>
      <w:b/>
      <w:bCs/>
      <w:sz w:val="32"/>
      <w:szCs w:val="26"/>
      <w:lang w:eastAsia="en-US"/>
    </w:rPr>
  </w:style>
  <w:style w:type="paragraph" w:customStyle="1" w:styleId="CASAChapterHeading3">
    <w:name w:val="CASA Chapter Heading 3"/>
    <w:basedOn w:val="CASAChapterHeading2"/>
    <w:next w:val="CASAChapterText"/>
    <w:qFormat/>
    <w:rsid w:val="00BD72BA"/>
    <w:pPr>
      <w:numPr>
        <w:ilvl w:val="2"/>
      </w:numPr>
      <w:tabs>
        <w:tab w:val="num" w:pos="1440"/>
      </w:tabs>
      <w:spacing w:before="60" w:after="60"/>
      <w:ind w:left="908" w:hanging="284"/>
      <w:outlineLvl w:val="2"/>
    </w:pPr>
    <w:rPr>
      <w:sz w:val="24"/>
    </w:rPr>
  </w:style>
  <w:style w:type="paragraph" w:customStyle="1" w:styleId="CASAChapterHeading4">
    <w:name w:val="CASA Chapter Heading 4"/>
    <w:basedOn w:val="CASAChapterHeading3"/>
    <w:next w:val="CASAChapterText"/>
    <w:qFormat/>
    <w:rsid w:val="00BD72BA"/>
    <w:pPr>
      <w:numPr>
        <w:ilvl w:val="3"/>
      </w:numPr>
      <w:tabs>
        <w:tab w:val="num" w:pos="1440"/>
      </w:tabs>
      <w:spacing w:line="240" w:lineRule="auto"/>
      <w:ind w:left="992" w:hanging="992"/>
      <w:outlineLvl w:val="3"/>
    </w:pPr>
    <w:rPr>
      <w:sz w:val="22"/>
    </w:rPr>
  </w:style>
  <w:style w:type="paragraph" w:customStyle="1" w:styleId="Pa3">
    <w:name w:val="Pa3"/>
    <w:basedOn w:val="Normal"/>
    <w:uiPriority w:val="99"/>
    <w:rsid w:val="00BC5FB7"/>
    <w:pPr>
      <w:autoSpaceDE w:val="0"/>
      <w:autoSpaceDN w:val="0"/>
      <w:spacing w:after="0" w:line="171" w:lineRule="atLeast"/>
    </w:pPr>
    <w:rPr>
      <w:rFonts w:ascii="Ubuntu Light" w:hAnsi="Ubuntu Light"/>
      <w:szCs w:val="24"/>
      <w:lang w:val="en-AU" w:eastAsia="en-AU"/>
    </w:rPr>
  </w:style>
  <w:style w:type="paragraph" w:styleId="Bibliography">
    <w:name w:val="Bibliography"/>
    <w:basedOn w:val="Normal"/>
    <w:next w:val="Normal"/>
    <w:uiPriority w:val="37"/>
    <w:unhideWhenUsed/>
    <w:rsid w:val="00D20A6F"/>
  </w:style>
  <w:style w:type="paragraph" w:customStyle="1" w:styleId="gmail-m-7168012275246089494tabletext">
    <w:name w:val="gmail-m_-7168012275246089494tabletext"/>
    <w:basedOn w:val="Normal"/>
    <w:rsid w:val="00ED74FE"/>
    <w:pPr>
      <w:spacing w:before="100" w:beforeAutospacing="1" w:after="100" w:afterAutospacing="1"/>
    </w:pPr>
    <w:rPr>
      <w:rFonts w:ascii="Times New Roman" w:hAnsi="Times New Roman"/>
      <w:szCs w:val="24"/>
      <w:lang w:val="en-AU" w:eastAsia="en-AU"/>
    </w:rPr>
  </w:style>
  <w:style w:type="paragraph" w:customStyle="1" w:styleId="TableTextindent1">
    <w:name w:val="TableText indent 1"/>
    <w:basedOn w:val="TableText"/>
    <w:qFormat/>
    <w:rsid w:val="00BA4858"/>
    <w:pPr>
      <w:ind w:left="397" w:hanging="397"/>
    </w:pPr>
    <w:rPr>
      <w:rFonts w:cs="Arial"/>
    </w:rPr>
  </w:style>
  <w:style w:type="paragraph" w:customStyle="1" w:styleId="TableParagraph">
    <w:name w:val="Table Paragraph"/>
    <w:basedOn w:val="Normal"/>
    <w:uiPriority w:val="1"/>
    <w:qFormat/>
    <w:rsid w:val="006D265E"/>
    <w:pPr>
      <w:widowControl w:val="0"/>
      <w:autoSpaceDE w:val="0"/>
      <w:autoSpaceDN w:val="0"/>
      <w:spacing w:after="0"/>
      <w:ind w:left="107"/>
    </w:pPr>
    <w:rPr>
      <w:rFonts w:ascii="Times New Roman" w:eastAsia="Times New Roman" w:hAnsi="Times New Roman"/>
      <w:sz w:val="22"/>
      <w:szCs w:val="22"/>
      <w:lang w:val="en-AU" w:eastAsia="en-AU" w:bidi="en-AU"/>
    </w:rPr>
  </w:style>
  <w:style w:type="table" w:styleId="ListTable2-Accent1">
    <w:name w:val="List Table 2 Accent 1"/>
    <w:basedOn w:val="TableNormal"/>
    <w:uiPriority w:val="47"/>
    <w:rsid w:val="005137D2"/>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Pa5">
    <w:name w:val="Pa5"/>
    <w:basedOn w:val="Normal"/>
    <w:next w:val="Normal"/>
    <w:uiPriority w:val="99"/>
    <w:rsid w:val="00847FC6"/>
    <w:pPr>
      <w:autoSpaceDE w:val="0"/>
      <w:autoSpaceDN w:val="0"/>
      <w:adjustRightInd w:val="0"/>
      <w:spacing w:after="0" w:line="181" w:lineRule="atLeast"/>
    </w:pPr>
    <w:rPr>
      <w:rFonts w:ascii="Roboto" w:hAnsi="Roboto"/>
      <w:szCs w:val="24"/>
      <w:lang w:val="en-AU"/>
    </w:rPr>
  </w:style>
  <w:style w:type="numbering" w:customStyle="1" w:styleId="1111116">
    <w:name w:val="1 / 1.1 / 1.1.16"/>
    <w:basedOn w:val="NoList"/>
    <w:next w:val="111111"/>
    <w:unhideWhenUsed/>
    <w:locked/>
    <w:rsid w:val="000128AC"/>
    <w:pPr>
      <w:numPr>
        <w:numId w:val="4"/>
      </w:numPr>
    </w:pPr>
  </w:style>
  <w:style w:type="paragraph" w:customStyle="1" w:styleId="bullet0">
    <w:name w:val="bullet"/>
    <w:basedOn w:val="Normal"/>
    <w:rsid w:val="00B6555F"/>
    <w:pPr>
      <w:spacing w:before="100" w:beforeAutospacing="1" w:after="100" w:afterAutospacing="1"/>
    </w:pPr>
    <w:rPr>
      <w:rFonts w:ascii="Times New Roman" w:eastAsia="Times New Roman" w:hAnsi="Times New Roman"/>
      <w:szCs w:val="24"/>
      <w:lang w:eastAsia="en-GB"/>
    </w:rPr>
  </w:style>
  <w:style w:type="character" w:customStyle="1" w:styleId="st">
    <w:name w:val="st"/>
    <w:rsid w:val="00936566"/>
  </w:style>
  <w:style w:type="character" w:styleId="UnresolvedMention">
    <w:name w:val="Unresolved Mention"/>
    <w:basedOn w:val="DefaultParagraphFont"/>
    <w:uiPriority w:val="99"/>
    <w:semiHidden/>
    <w:unhideWhenUsed/>
    <w:rsid w:val="002F6189"/>
    <w:rPr>
      <w:color w:val="808080"/>
      <w:shd w:val="clear" w:color="auto" w:fill="E6E6E6"/>
    </w:rPr>
  </w:style>
  <w:style w:type="paragraph" w:styleId="TOCHeading">
    <w:name w:val="TOC Heading"/>
    <w:basedOn w:val="Heading1"/>
    <w:next w:val="Normal"/>
    <w:uiPriority w:val="39"/>
    <w:unhideWhenUsed/>
    <w:qFormat/>
    <w:rsid w:val="00E65A7C"/>
    <w:p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30">
      <w:bodyDiv w:val="1"/>
      <w:marLeft w:val="0"/>
      <w:marRight w:val="0"/>
      <w:marTop w:val="0"/>
      <w:marBottom w:val="0"/>
      <w:divBdr>
        <w:top w:val="none" w:sz="0" w:space="0" w:color="auto"/>
        <w:left w:val="none" w:sz="0" w:space="0" w:color="auto"/>
        <w:bottom w:val="none" w:sz="0" w:space="0" w:color="auto"/>
        <w:right w:val="none" w:sz="0" w:space="0" w:color="auto"/>
      </w:divBdr>
    </w:div>
    <w:div w:id="10382144">
      <w:bodyDiv w:val="1"/>
      <w:marLeft w:val="0"/>
      <w:marRight w:val="0"/>
      <w:marTop w:val="0"/>
      <w:marBottom w:val="0"/>
      <w:divBdr>
        <w:top w:val="none" w:sz="0" w:space="0" w:color="auto"/>
        <w:left w:val="none" w:sz="0" w:space="0" w:color="auto"/>
        <w:bottom w:val="none" w:sz="0" w:space="0" w:color="auto"/>
        <w:right w:val="none" w:sz="0" w:space="0" w:color="auto"/>
      </w:divBdr>
    </w:div>
    <w:div w:id="14037025">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26181144">
      <w:bodyDiv w:val="1"/>
      <w:marLeft w:val="0"/>
      <w:marRight w:val="0"/>
      <w:marTop w:val="0"/>
      <w:marBottom w:val="0"/>
      <w:divBdr>
        <w:top w:val="none" w:sz="0" w:space="0" w:color="auto"/>
        <w:left w:val="none" w:sz="0" w:space="0" w:color="auto"/>
        <w:bottom w:val="none" w:sz="0" w:space="0" w:color="auto"/>
        <w:right w:val="none" w:sz="0" w:space="0" w:color="auto"/>
      </w:divBdr>
    </w:div>
    <w:div w:id="33628602">
      <w:bodyDiv w:val="1"/>
      <w:marLeft w:val="0"/>
      <w:marRight w:val="0"/>
      <w:marTop w:val="0"/>
      <w:marBottom w:val="0"/>
      <w:divBdr>
        <w:top w:val="none" w:sz="0" w:space="0" w:color="auto"/>
        <w:left w:val="none" w:sz="0" w:space="0" w:color="auto"/>
        <w:bottom w:val="none" w:sz="0" w:space="0" w:color="auto"/>
        <w:right w:val="none" w:sz="0" w:space="0" w:color="auto"/>
      </w:divBdr>
    </w:div>
    <w:div w:id="35664178">
      <w:bodyDiv w:val="1"/>
      <w:marLeft w:val="0"/>
      <w:marRight w:val="0"/>
      <w:marTop w:val="0"/>
      <w:marBottom w:val="0"/>
      <w:divBdr>
        <w:top w:val="none" w:sz="0" w:space="0" w:color="auto"/>
        <w:left w:val="none" w:sz="0" w:space="0" w:color="auto"/>
        <w:bottom w:val="none" w:sz="0" w:space="0" w:color="auto"/>
        <w:right w:val="none" w:sz="0" w:space="0" w:color="auto"/>
      </w:divBdr>
    </w:div>
    <w:div w:id="43874366">
      <w:bodyDiv w:val="1"/>
      <w:marLeft w:val="0"/>
      <w:marRight w:val="0"/>
      <w:marTop w:val="0"/>
      <w:marBottom w:val="0"/>
      <w:divBdr>
        <w:top w:val="none" w:sz="0" w:space="0" w:color="auto"/>
        <w:left w:val="none" w:sz="0" w:space="0" w:color="auto"/>
        <w:bottom w:val="none" w:sz="0" w:space="0" w:color="auto"/>
        <w:right w:val="none" w:sz="0" w:space="0" w:color="auto"/>
      </w:divBdr>
    </w:div>
    <w:div w:id="55669636">
      <w:bodyDiv w:val="1"/>
      <w:marLeft w:val="0"/>
      <w:marRight w:val="0"/>
      <w:marTop w:val="0"/>
      <w:marBottom w:val="0"/>
      <w:divBdr>
        <w:top w:val="none" w:sz="0" w:space="0" w:color="auto"/>
        <w:left w:val="none" w:sz="0" w:space="0" w:color="auto"/>
        <w:bottom w:val="none" w:sz="0" w:space="0" w:color="auto"/>
        <w:right w:val="none" w:sz="0" w:space="0" w:color="auto"/>
      </w:divBdr>
    </w:div>
    <w:div w:id="60836703">
      <w:bodyDiv w:val="1"/>
      <w:marLeft w:val="0"/>
      <w:marRight w:val="0"/>
      <w:marTop w:val="0"/>
      <w:marBottom w:val="0"/>
      <w:divBdr>
        <w:top w:val="none" w:sz="0" w:space="0" w:color="auto"/>
        <w:left w:val="none" w:sz="0" w:space="0" w:color="auto"/>
        <w:bottom w:val="none" w:sz="0" w:space="0" w:color="auto"/>
        <w:right w:val="none" w:sz="0" w:space="0" w:color="auto"/>
      </w:divBdr>
    </w:div>
    <w:div w:id="67384695">
      <w:bodyDiv w:val="1"/>
      <w:marLeft w:val="0"/>
      <w:marRight w:val="0"/>
      <w:marTop w:val="0"/>
      <w:marBottom w:val="0"/>
      <w:divBdr>
        <w:top w:val="none" w:sz="0" w:space="0" w:color="auto"/>
        <w:left w:val="none" w:sz="0" w:space="0" w:color="auto"/>
        <w:bottom w:val="none" w:sz="0" w:space="0" w:color="auto"/>
        <w:right w:val="none" w:sz="0" w:space="0" w:color="auto"/>
      </w:divBdr>
    </w:div>
    <w:div w:id="71857690">
      <w:bodyDiv w:val="1"/>
      <w:marLeft w:val="0"/>
      <w:marRight w:val="0"/>
      <w:marTop w:val="0"/>
      <w:marBottom w:val="0"/>
      <w:divBdr>
        <w:top w:val="none" w:sz="0" w:space="0" w:color="auto"/>
        <w:left w:val="none" w:sz="0" w:space="0" w:color="auto"/>
        <w:bottom w:val="none" w:sz="0" w:space="0" w:color="auto"/>
        <w:right w:val="none" w:sz="0" w:space="0" w:color="auto"/>
      </w:divBdr>
    </w:div>
    <w:div w:id="77678499">
      <w:bodyDiv w:val="1"/>
      <w:marLeft w:val="0"/>
      <w:marRight w:val="0"/>
      <w:marTop w:val="0"/>
      <w:marBottom w:val="0"/>
      <w:divBdr>
        <w:top w:val="none" w:sz="0" w:space="0" w:color="auto"/>
        <w:left w:val="none" w:sz="0" w:space="0" w:color="auto"/>
        <w:bottom w:val="none" w:sz="0" w:space="0" w:color="auto"/>
        <w:right w:val="none" w:sz="0" w:space="0" w:color="auto"/>
      </w:divBdr>
    </w:div>
    <w:div w:id="86466438">
      <w:bodyDiv w:val="1"/>
      <w:marLeft w:val="0"/>
      <w:marRight w:val="0"/>
      <w:marTop w:val="0"/>
      <w:marBottom w:val="0"/>
      <w:divBdr>
        <w:top w:val="none" w:sz="0" w:space="0" w:color="auto"/>
        <w:left w:val="none" w:sz="0" w:space="0" w:color="auto"/>
        <w:bottom w:val="none" w:sz="0" w:space="0" w:color="auto"/>
        <w:right w:val="none" w:sz="0" w:space="0" w:color="auto"/>
      </w:divBdr>
    </w:div>
    <w:div w:id="108009771">
      <w:bodyDiv w:val="1"/>
      <w:marLeft w:val="0"/>
      <w:marRight w:val="0"/>
      <w:marTop w:val="0"/>
      <w:marBottom w:val="0"/>
      <w:divBdr>
        <w:top w:val="none" w:sz="0" w:space="0" w:color="auto"/>
        <w:left w:val="none" w:sz="0" w:space="0" w:color="auto"/>
        <w:bottom w:val="none" w:sz="0" w:space="0" w:color="auto"/>
        <w:right w:val="none" w:sz="0" w:space="0" w:color="auto"/>
      </w:divBdr>
    </w:div>
    <w:div w:id="109321965">
      <w:bodyDiv w:val="1"/>
      <w:marLeft w:val="0"/>
      <w:marRight w:val="0"/>
      <w:marTop w:val="0"/>
      <w:marBottom w:val="0"/>
      <w:divBdr>
        <w:top w:val="none" w:sz="0" w:space="0" w:color="auto"/>
        <w:left w:val="none" w:sz="0" w:space="0" w:color="auto"/>
        <w:bottom w:val="none" w:sz="0" w:space="0" w:color="auto"/>
        <w:right w:val="none" w:sz="0" w:space="0" w:color="auto"/>
      </w:divBdr>
    </w:div>
    <w:div w:id="141849165">
      <w:bodyDiv w:val="1"/>
      <w:marLeft w:val="0"/>
      <w:marRight w:val="0"/>
      <w:marTop w:val="0"/>
      <w:marBottom w:val="0"/>
      <w:divBdr>
        <w:top w:val="none" w:sz="0" w:space="0" w:color="auto"/>
        <w:left w:val="none" w:sz="0" w:space="0" w:color="auto"/>
        <w:bottom w:val="none" w:sz="0" w:space="0" w:color="auto"/>
        <w:right w:val="none" w:sz="0" w:space="0" w:color="auto"/>
      </w:divBdr>
    </w:div>
    <w:div w:id="175656620">
      <w:bodyDiv w:val="1"/>
      <w:marLeft w:val="0"/>
      <w:marRight w:val="0"/>
      <w:marTop w:val="0"/>
      <w:marBottom w:val="0"/>
      <w:divBdr>
        <w:top w:val="none" w:sz="0" w:space="0" w:color="auto"/>
        <w:left w:val="none" w:sz="0" w:space="0" w:color="auto"/>
        <w:bottom w:val="none" w:sz="0" w:space="0" w:color="auto"/>
        <w:right w:val="none" w:sz="0" w:space="0" w:color="auto"/>
      </w:divBdr>
    </w:div>
    <w:div w:id="176626898">
      <w:bodyDiv w:val="1"/>
      <w:marLeft w:val="0"/>
      <w:marRight w:val="0"/>
      <w:marTop w:val="0"/>
      <w:marBottom w:val="0"/>
      <w:divBdr>
        <w:top w:val="none" w:sz="0" w:space="0" w:color="auto"/>
        <w:left w:val="none" w:sz="0" w:space="0" w:color="auto"/>
        <w:bottom w:val="none" w:sz="0" w:space="0" w:color="auto"/>
        <w:right w:val="none" w:sz="0" w:space="0" w:color="auto"/>
      </w:divBdr>
    </w:div>
    <w:div w:id="181167668">
      <w:bodyDiv w:val="1"/>
      <w:marLeft w:val="0"/>
      <w:marRight w:val="0"/>
      <w:marTop w:val="0"/>
      <w:marBottom w:val="0"/>
      <w:divBdr>
        <w:top w:val="none" w:sz="0" w:space="0" w:color="auto"/>
        <w:left w:val="none" w:sz="0" w:space="0" w:color="auto"/>
        <w:bottom w:val="none" w:sz="0" w:space="0" w:color="auto"/>
        <w:right w:val="none" w:sz="0" w:space="0" w:color="auto"/>
      </w:divBdr>
    </w:div>
    <w:div w:id="185411414">
      <w:bodyDiv w:val="1"/>
      <w:marLeft w:val="0"/>
      <w:marRight w:val="0"/>
      <w:marTop w:val="0"/>
      <w:marBottom w:val="0"/>
      <w:divBdr>
        <w:top w:val="none" w:sz="0" w:space="0" w:color="auto"/>
        <w:left w:val="none" w:sz="0" w:space="0" w:color="auto"/>
        <w:bottom w:val="none" w:sz="0" w:space="0" w:color="auto"/>
        <w:right w:val="none" w:sz="0" w:space="0" w:color="auto"/>
      </w:divBdr>
    </w:div>
    <w:div w:id="197595083">
      <w:bodyDiv w:val="1"/>
      <w:marLeft w:val="0"/>
      <w:marRight w:val="0"/>
      <w:marTop w:val="0"/>
      <w:marBottom w:val="0"/>
      <w:divBdr>
        <w:top w:val="none" w:sz="0" w:space="0" w:color="auto"/>
        <w:left w:val="none" w:sz="0" w:space="0" w:color="auto"/>
        <w:bottom w:val="none" w:sz="0" w:space="0" w:color="auto"/>
        <w:right w:val="none" w:sz="0" w:space="0" w:color="auto"/>
      </w:divBdr>
    </w:div>
    <w:div w:id="211044555">
      <w:bodyDiv w:val="1"/>
      <w:marLeft w:val="0"/>
      <w:marRight w:val="0"/>
      <w:marTop w:val="0"/>
      <w:marBottom w:val="0"/>
      <w:divBdr>
        <w:top w:val="none" w:sz="0" w:space="0" w:color="auto"/>
        <w:left w:val="none" w:sz="0" w:space="0" w:color="auto"/>
        <w:bottom w:val="none" w:sz="0" w:space="0" w:color="auto"/>
        <w:right w:val="none" w:sz="0" w:space="0" w:color="auto"/>
      </w:divBdr>
    </w:div>
    <w:div w:id="216401499">
      <w:bodyDiv w:val="1"/>
      <w:marLeft w:val="0"/>
      <w:marRight w:val="0"/>
      <w:marTop w:val="0"/>
      <w:marBottom w:val="0"/>
      <w:divBdr>
        <w:top w:val="none" w:sz="0" w:space="0" w:color="auto"/>
        <w:left w:val="none" w:sz="0" w:space="0" w:color="auto"/>
        <w:bottom w:val="none" w:sz="0" w:space="0" w:color="auto"/>
        <w:right w:val="none" w:sz="0" w:space="0" w:color="auto"/>
      </w:divBdr>
    </w:div>
    <w:div w:id="216942306">
      <w:bodyDiv w:val="1"/>
      <w:marLeft w:val="0"/>
      <w:marRight w:val="0"/>
      <w:marTop w:val="0"/>
      <w:marBottom w:val="0"/>
      <w:divBdr>
        <w:top w:val="none" w:sz="0" w:space="0" w:color="auto"/>
        <w:left w:val="none" w:sz="0" w:space="0" w:color="auto"/>
        <w:bottom w:val="none" w:sz="0" w:space="0" w:color="auto"/>
        <w:right w:val="none" w:sz="0" w:space="0" w:color="auto"/>
      </w:divBdr>
    </w:div>
    <w:div w:id="219946206">
      <w:bodyDiv w:val="1"/>
      <w:marLeft w:val="0"/>
      <w:marRight w:val="0"/>
      <w:marTop w:val="0"/>
      <w:marBottom w:val="0"/>
      <w:divBdr>
        <w:top w:val="none" w:sz="0" w:space="0" w:color="auto"/>
        <w:left w:val="none" w:sz="0" w:space="0" w:color="auto"/>
        <w:bottom w:val="none" w:sz="0" w:space="0" w:color="auto"/>
        <w:right w:val="none" w:sz="0" w:space="0" w:color="auto"/>
      </w:divBdr>
    </w:div>
    <w:div w:id="224223878">
      <w:bodyDiv w:val="1"/>
      <w:marLeft w:val="0"/>
      <w:marRight w:val="0"/>
      <w:marTop w:val="0"/>
      <w:marBottom w:val="0"/>
      <w:divBdr>
        <w:top w:val="none" w:sz="0" w:space="0" w:color="auto"/>
        <w:left w:val="none" w:sz="0" w:space="0" w:color="auto"/>
        <w:bottom w:val="none" w:sz="0" w:space="0" w:color="auto"/>
        <w:right w:val="none" w:sz="0" w:space="0" w:color="auto"/>
      </w:divBdr>
    </w:div>
    <w:div w:id="232353689">
      <w:bodyDiv w:val="1"/>
      <w:marLeft w:val="0"/>
      <w:marRight w:val="0"/>
      <w:marTop w:val="0"/>
      <w:marBottom w:val="0"/>
      <w:divBdr>
        <w:top w:val="none" w:sz="0" w:space="0" w:color="auto"/>
        <w:left w:val="none" w:sz="0" w:space="0" w:color="auto"/>
        <w:bottom w:val="none" w:sz="0" w:space="0" w:color="auto"/>
        <w:right w:val="none" w:sz="0" w:space="0" w:color="auto"/>
      </w:divBdr>
    </w:div>
    <w:div w:id="233513062">
      <w:bodyDiv w:val="1"/>
      <w:marLeft w:val="0"/>
      <w:marRight w:val="0"/>
      <w:marTop w:val="0"/>
      <w:marBottom w:val="0"/>
      <w:divBdr>
        <w:top w:val="none" w:sz="0" w:space="0" w:color="auto"/>
        <w:left w:val="none" w:sz="0" w:space="0" w:color="auto"/>
        <w:bottom w:val="none" w:sz="0" w:space="0" w:color="auto"/>
        <w:right w:val="none" w:sz="0" w:space="0" w:color="auto"/>
      </w:divBdr>
    </w:div>
    <w:div w:id="242225329">
      <w:bodyDiv w:val="1"/>
      <w:marLeft w:val="0"/>
      <w:marRight w:val="0"/>
      <w:marTop w:val="0"/>
      <w:marBottom w:val="0"/>
      <w:divBdr>
        <w:top w:val="none" w:sz="0" w:space="0" w:color="auto"/>
        <w:left w:val="none" w:sz="0" w:space="0" w:color="auto"/>
        <w:bottom w:val="none" w:sz="0" w:space="0" w:color="auto"/>
        <w:right w:val="none" w:sz="0" w:space="0" w:color="auto"/>
      </w:divBdr>
    </w:div>
    <w:div w:id="251593990">
      <w:bodyDiv w:val="1"/>
      <w:marLeft w:val="0"/>
      <w:marRight w:val="0"/>
      <w:marTop w:val="0"/>
      <w:marBottom w:val="0"/>
      <w:divBdr>
        <w:top w:val="none" w:sz="0" w:space="0" w:color="auto"/>
        <w:left w:val="none" w:sz="0" w:space="0" w:color="auto"/>
        <w:bottom w:val="none" w:sz="0" w:space="0" w:color="auto"/>
        <w:right w:val="none" w:sz="0" w:space="0" w:color="auto"/>
      </w:divBdr>
    </w:div>
    <w:div w:id="263804895">
      <w:bodyDiv w:val="1"/>
      <w:marLeft w:val="0"/>
      <w:marRight w:val="0"/>
      <w:marTop w:val="0"/>
      <w:marBottom w:val="0"/>
      <w:divBdr>
        <w:top w:val="none" w:sz="0" w:space="0" w:color="auto"/>
        <w:left w:val="none" w:sz="0" w:space="0" w:color="auto"/>
        <w:bottom w:val="none" w:sz="0" w:space="0" w:color="auto"/>
        <w:right w:val="none" w:sz="0" w:space="0" w:color="auto"/>
      </w:divBdr>
    </w:div>
    <w:div w:id="265307675">
      <w:bodyDiv w:val="1"/>
      <w:marLeft w:val="0"/>
      <w:marRight w:val="0"/>
      <w:marTop w:val="0"/>
      <w:marBottom w:val="0"/>
      <w:divBdr>
        <w:top w:val="none" w:sz="0" w:space="0" w:color="auto"/>
        <w:left w:val="none" w:sz="0" w:space="0" w:color="auto"/>
        <w:bottom w:val="none" w:sz="0" w:space="0" w:color="auto"/>
        <w:right w:val="none" w:sz="0" w:space="0" w:color="auto"/>
      </w:divBdr>
    </w:div>
    <w:div w:id="271665491">
      <w:bodyDiv w:val="1"/>
      <w:marLeft w:val="0"/>
      <w:marRight w:val="0"/>
      <w:marTop w:val="0"/>
      <w:marBottom w:val="0"/>
      <w:divBdr>
        <w:top w:val="none" w:sz="0" w:space="0" w:color="auto"/>
        <w:left w:val="none" w:sz="0" w:space="0" w:color="auto"/>
        <w:bottom w:val="none" w:sz="0" w:space="0" w:color="auto"/>
        <w:right w:val="none" w:sz="0" w:space="0" w:color="auto"/>
      </w:divBdr>
    </w:div>
    <w:div w:id="279147292">
      <w:bodyDiv w:val="1"/>
      <w:marLeft w:val="0"/>
      <w:marRight w:val="0"/>
      <w:marTop w:val="0"/>
      <w:marBottom w:val="0"/>
      <w:divBdr>
        <w:top w:val="none" w:sz="0" w:space="0" w:color="auto"/>
        <w:left w:val="none" w:sz="0" w:space="0" w:color="auto"/>
        <w:bottom w:val="none" w:sz="0" w:space="0" w:color="auto"/>
        <w:right w:val="none" w:sz="0" w:space="0" w:color="auto"/>
      </w:divBdr>
    </w:div>
    <w:div w:id="297882452">
      <w:bodyDiv w:val="1"/>
      <w:marLeft w:val="0"/>
      <w:marRight w:val="0"/>
      <w:marTop w:val="0"/>
      <w:marBottom w:val="0"/>
      <w:divBdr>
        <w:top w:val="none" w:sz="0" w:space="0" w:color="auto"/>
        <w:left w:val="none" w:sz="0" w:space="0" w:color="auto"/>
        <w:bottom w:val="none" w:sz="0" w:space="0" w:color="auto"/>
        <w:right w:val="none" w:sz="0" w:space="0" w:color="auto"/>
      </w:divBdr>
    </w:div>
    <w:div w:id="307442285">
      <w:bodyDiv w:val="1"/>
      <w:marLeft w:val="0"/>
      <w:marRight w:val="0"/>
      <w:marTop w:val="0"/>
      <w:marBottom w:val="0"/>
      <w:divBdr>
        <w:top w:val="none" w:sz="0" w:space="0" w:color="auto"/>
        <w:left w:val="none" w:sz="0" w:space="0" w:color="auto"/>
        <w:bottom w:val="none" w:sz="0" w:space="0" w:color="auto"/>
        <w:right w:val="none" w:sz="0" w:space="0" w:color="auto"/>
      </w:divBdr>
    </w:div>
    <w:div w:id="316422056">
      <w:bodyDiv w:val="1"/>
      <w:marLeft w:val="0"/>
      <w:marRight w:val="0"/>
      <w:marTop w:val="0"/>
      <w:marBottom w:val="0"/>
      <w:divBdr>
        <w:top w:val="none" w:sz="0" w:space="0" w:color="auto"/>
        <w:left w:val="none" w:sz="0" w:space="0" w:color="auto"/>
        <w:bottom w:val="none" w:sz="0" w:space="0" w:color="auto"/>
        <w:right w:val="none" w:sz="0" w:space="0" w:color="auto"/>
      </w:divBdr>
    </w:div>
    <w:div w:id="316541093">
      <w:bodyDiv w:val="1"/>
      <w:marLeft w:val="0"/>
      <w:marRight w:val="0"/>
      <w:marTop w:val="0"/>
      <w:marBottom w:val="0"/>
      <w:divBdr>
        <w:top w:val="none" w:sz="0" w:space="0" w:color="auto"/>
        <w:left w:val="none" w:sz="0" w:space="0" w:color="auto"/>
        <w:bottom w:val="none" w:sz="0" w:space="0" w:color="auto"/>
        <w:right w:val="none" w:sz="0" w:space="0" w:color="auto"/>
      </w:divBdr>
    </w:div>
    <w:div w:id="327564364">
      <w:bodyDiv w:val="1"/>
      <w:marLeft w:val="0"/>
      <w:marRight w:val="0"/>
      <w:marTop w:val="0"/>
      <w:marBottom w:val="0"/>
      <w:divBdr>
        <w:top w:val="none" w:sz="0" w:space="0" w:color="auto"/>
        <w:left w:val="none" w:sz="0" w:space="0" w:color="auto"/>
        <w:bottom w:val="none" w:sz="0" w:space="0" w:color="auto"/>
        <w:right w:val="none" w:sz="0" w:space="0" w:color="auto"/>
      </w:divBdr>
      <w:divsChild>
        <w:div w:id="840001310">
          <w:marLeft w:val="0"/>
          <w:marRight w:val="0"/>
          <w:marTop w:val="0"/>
          <w:marBottom w:val="0"/>
          <w:divBdr>
            <w:top w:val="none" w:sz="0" w:space="0" w:color="auto"/>
            <w:left w:val="none" w:sz="0" w:space="0" w:color="auto"/>
            <w:bottom w:val="none" w:sz="0" w:space="0" w:color="auto"/>
            <w:right w:val="none" w:sz="0" w:space="0" w:color="auto"/>
          </w:divBdr>
          <w:divsChild>
            <w:div w:id="1739355332">
              <w:marLeft w:val="0"/>
              <w:marRight w:val="0"/>
              <w:marTop w:val="0"/>
              <w:marBottom w:val="0"/>
              <w:divBdr>
                <w:top w:val="none" w:sz="0" w:space="0" w:color="auto"/>
                <w:left w:val="none" w:sz="0" w:space="0" w:color="auto"/>
                <w:bottom w:val="none" w:sz="0" w:space="0" w:color="auto"/>
                <w:right w:val="none" w:sz="0" w:space="0" w:color="auto"/>
              </w:divBdr>
              <w:divsChild>
                <w:div w:id="744494187">
                  <w:marLeft w:val="0"/>
                  <w:marRight w:val="0"/>
                  <w:marTop w:val="0"/>
                  <w:marBottom w:val="0"/>
                  <w:divBdr>
                    <w:top w:val="none" w:sz="0" w:space="0" w:color="auto"/>
                    <w:left w:val="none" w:sz="0" w:space="0" w:color="auto"/>
                    <w:bottom w:val="none" w:sz="0" w:space="0" w:color="auto"/>
                    <w:right w:val="none" w:sz="0" w:space="0" w:color="auto"/>
                  </w:divBdr>
                  <w:divsChild>
                    <w:div w:id="2044935006">
                      <w:marLeft w:val="0"/>
                      <w:marRight w:val="0"/>
                      <w:marTop w:val="0"/>
                      <w:marBottom w:val="0"/>
                      <w:divBdr>
                        <w:top w:val="none" w:sz="0" w:space="0" w:color="auto"/>
                        <w:left w:val="none" w:sz="0" w:space="0" w:color="auto"/>
                        <w:bottom w:val="none" w:sz="0" w:space="0" w:color="auto"/>
                        <w:right w:val="none" w:sz="0" w:space="0" w:color="auto"/>
                      </w:divBdr>
                      <w:divsChild>
                        <w:div w:id="2054503091">
                          <w:marLeft w:val="0"/>
                          <w:marRight w:val="0"/>
                          <w:marTop w:val="0"/>
                          <w:marBottom w:val="0"/>
                          <w:divBdr>
                            <w:top w:val="none" w:sz="0" w:space="0" w:color="auto"/>
                            <w:left w:val="none" w:sz="0" w:space="0" w:color="auto"/>
                            <w:bottom w:val="none" w:sz="0" w:space="0" w:color="auto"/>
                            <w:right w:val="none" w:sz="0" w:space="0" w:color="auto"/>
                          </w:divBdr>
                          <w:divsChild>
                            <w:div w:id="693305807">
                              <w:marLeft w:val="0"/>
                              <w:marRight w:val="0"/>
                              <w:marTop w:val="0"/>
                              <w:marBottom w:val="0"/>
                              <w:divBdr>
                                <w:top w:val="none" w:sz="0" w:space="0" w:color="auto"/>
                                <w:left w:val="none" w:sz="0" w:space="0" w:color="auto"/>
                                <w:bottom w:val="none" w:sz="0" w:space="0" w:color="auto"/>
                                <w:right w:val="none" w:sz="0" w:space="0" w:color="auto"/>
                              </w:divBdr>
                              <w:divsChild>
                                <w:div w:id="2025085289">
                                  <w:marLeft w:val="-225"/>
                                  <w:marRight w:val="-225"/>
                                  <w:marTop w:val="0"/>
                                  <w:marBottom w:val="0"/>
                                  <w:divBdr>
                                    <w:top w:val="none" w:sz="0" w:space="0" w:color="auto"/>
                                    <w:left w:val="none" w:sz="0" w:space="0" w:color="auto"/>
                                    <w:bottom w:val="none" w:sz="0" w:space="0" w:color="auto"/>
                                    <w:right w:val="none" w:sz="0" w:space="0" w:color="auto"/>
                                  </w:divBdr>
                                  <w:divsChild>
                                    <w:div w:id="499319678">
                                      <w:marLeft w:val="0"/>
                                      <w:marRight w:val="0"/>
                                      <w:marTop w:val="0"/>
                                      <w:marBottom w:val="0"/>
                                      <w:divBdr>
                                        <w:top w:val="none" w:sz="0" w:space="0" w:color="auto"/>
                                        <w:left w:val="none" w:sz="0" w:space="0" w:color="auto"/>
                                        <w:bottom w:val="none" w:sz="0" w:space="0" w:color="auto"/>
                                        <w:right w:val="none" w:sz="0" w:space="0" w:color="auto"/>
                                      </w:divBdr>
                                      <w:divsChild>
                                        <w:div w:id="1303776434">
                                          <w:marLeft w:val="0"/>
                                          <w:marRight w:val="0"/>
                                          <w:marTop w:val="0"/>
                                          <w:marBottom w:val="0"/>
                                          <w:divBdr>
                                            <w:top w:val="none" w:sz="0" w:space="0" w:color="auto"/>
                                            <w:left w:val="none" w:sz="0" w:space="0" w:color="auto"/>
                                            <w:bottom w:val="none" w:sz="0" w:space="0" w:color="auto"/>
                                            <w:right w:val="none" w:sz="0" w:space="0" w:color="auto"/>
                                          </w:divBdr>
                                          <w:divsChild>
                                            <w:div w:id="894311545">
                                              <w:marLeft w:val="0"/>
                                              <w:marRight w:val="0"/>
                                              <w:marTop w:val="0"/>
                                              <w:marBottom w:val="0"/>
                                              <w:divBdr>
                                                <w:top w:val="none" w:sz="0" w:space="0" w:color="auto"/>
                                                <w:left w:val="none" w:sz="0" w:space="0" w:color="auto"/>
                                                <w:bottom w:val="none" w:sz="0" w:space="0" w:color="auto"/>
                                                <w:right w:val="none" w:sz="0" w:space="0" w:color="auto"/>
                                              </w:divBdr>
                                              <w:divsChild>
                                                <w:div w:id="223875868">
                                                  <w:marLeft w:val="0"/>
                                                  <w:marRight w:val="0"/>
                                                  <w:marTop w:val="0"/>
                                                  <w:marBottom w:val="0"/>
                                                  <w:divBdr>
                                                    <w:top w:val="none" w:sz="0" w:space="0" w:color="auto"/>
                                                    <w:left w:val="none" w:sz="0" w:space="0" w:color="auto"/>
                                                    <w:bottom w:val="none" w:sz="0" w:space="0" w:color="auto"/>
                                                    <w:right w:val="none" w:sz="0" w:space="0" w:color="auto"/>
                                                  </w:divBdr>
                                                  <w:divsChild>
                                                    <w:div w:id="1927224913">
                                                      <w:marLeft w:val="0"/>
                                                      <w:marRight w:val="0"/>
                                                      <w:marTop w:val="75"/>
                                                      <w:marBottom w:val="0"/>
                                                      <w:divBdr>
                                                        <w:top w:val="none" w:sz="0" w:space="0" w:color="auto"/>
                                                        <w:left w:val="none" w:sz="0" w:space="0" w:color="auto"/>
                                                        <w:bottom w:val="none" w:sz="0" w:space="0" w:color="auto"/>
                                                        <w:right w:val="none" w:sz="0" w:space="0" w:color="auto"/>
                                                      </w:divBdr>
                                                      <w:divsChild>
                                                        <w:div w:id="15492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801233">
      <w:bodyDiv w:val="1"/>
      <w:marLeft w:val="0"/>
      <w:marRight w:val="0"/>
      <w:marTop w:val="0"/>
      <w:marBottom w:val="0"/>
      <w:divBdr>
        <w:top w:val="none" w:sz="0" w:space="0" w:color="auto"/>
        <w:left w:val="none" w:sz="0" w:space="0" w:color="auto"/>
        <w:bottom w:val="none" w:sz="0" w:space="0" w:color="auto"/>
        <w:right w:val="none" w:sz="0" w:space="0" w:color="auto"/>
      </w:divBdr>
    </w:div>
    <w:div w:id="341980120">
      <w:bodyDiv w:val="1"/>
      <w:marLeft w:val="0"/>
      <w:marRight w:val="0"/>
      <w:marTop w:val="0"/>
      <w:marBottom w:val="0"/>
      <w:divBdr>
        <w:top w:val="none" w:sz="0" w:space="0" w:color="auto"/>
        <w:left w:val="none" w:sz="0" w:space="0" w:color="auto"/>
        <w:bottom w:val="none" w:sz="0" w:space="0" w:color="auto"/>
        <w:right w:val="none" w:sz="0" w:space="0" w:color="auto"/>
      </w:divBdr>
    </w:div>
    <w:div w:id="343017824">
      <w:bodyDiv w:val="1"/>
      <w:marLeft w:val="0"/>
      <w:marRight w:val="0"/>
      <w:marTop w:val="0"/>
      <w:marBottom w:val="0"/>
      <w:divBdr>
        <w:top w:val="none" w:sz="0" w:space="0" w:color="auto"/>
        <w:left w:val="none" w:sz="0" w:space="0" w:color="auto"/>
        <w:bottom w:val="none" w:sz="0" w:space="0" w:color="auto"/>
        <w:right w:val="none" w:sz="0" w:space="0" w:color="auto"/>
      </w:divBdr>
    </w:div>
    <w:div w:id="344480283">
      <w:bodyDiv w:val="1"/>
      <w:marLeft w:val="0"/>
      <w:marRight w:val="0"/>
      <w:marTop w:val="0"/>
      <w:marBottom w:val="0"/>
      <w:divBdr>
        <w:top w:val="none" w:sz="0" w:space="0" w:color="auto"/>
        <w:left w:val="none" w:sz="0" w:space="0" w:color="auto"/>
        <w:bottom w:val="none" w:sz="0" w:space="0" w:color="auto"/>
        <w:right w:val="none" w:sz="0" w:space="0" w:color="auto"/>
      </w:divBdr>
    </w:div>
    <w:div w:id="351345343">
      <w:bodyDiv w:val="1"/>
      <w:marLeft w:val="0"/>
      <w:marRight w:val="0"/>
      <w:marTop w:val="0"/>
      <w:marBottom w:val="0"/>
      <w:divBdr>
        <w:top w:val="none" w:sz="0" w:space="0" w:color="auto"/>
        <w:left w:val="none" w:sz="0" w:space="0" w:color="auto"/>
        <w:bottom w:val="none" w:sz="0" w:space="0" w:color="auto"/>
        <w:right w:val="none" w:sz="0" w:space="0" w:color="auto"/>
      </w:divBdr>
    </w:div>
    <w:div w:id="357660305">
      <w:bodyDiv w:val="1"/>
      <w:marLeft w:val="0"/>
      <w:marRight w:val="0"/>
      <w:marTop w:val="0"/>
      <w:marBottom w:val="0"/>
      <w:divBdr>
        <w:top w:val="none" w:sz="0" w:space="0" w:color="auto"/>
        <w:left w:val="none" w:sz="0" w:space="0" w:color="auto"/>
        <w:bottom w:val="none" w:sz="0" w:space="0" w:color="auto"/>
        <w:right w:val="none" w:sz="0" w:space="0" w:color="auto"/>
      </w:divBdr>
    </w:div>
    <w:div w:id="364062688">
      <w:bodyDiv w:val="1"/>
      <w:marLeft w:val="0"/>
      <w:marRight w:val="0"/>
      <w:marTop w:val="0"/>
      <w:marBottom w:val="0"/>
      <w:divBdr>
        <w:top w:val="none" w:sz="0" w:space="0" w:color="auto"/>
        <w:left w:val="none" w:sz="0" w:space="0" w:color="auto"/>
        <w:bottom w:val="none" w:sz="0" w:space="0" w:color="auto"/>
        <w:right w:val="none" w:sz="0" w:space="0" w:color="auto"/>
      </w:divBdr>
    </w:div>
    <w:div w:id="372078209">
      <w:bodyDiv w:val="1"/>
      <w:marLeft w:val="0"/>
      <w:marRight w:val="0"/>
      <w:marTop w:val="0"/>
      <w:marBottom w:val="0"/>
      <w:divBdr>
        <w:top w:val="none" w:sz="0" w:space="0" w:color="auto"/>
        <w:left w:val="none" w:sz="0" w:space="0" w:color="auto"/>
        <w:bottom w:val="none" w:sz="0" w:space="0" w:color="auto"/>
        <w:right w:val="none" w:sz="0" w:space="0" w:color="auto"/>
      </w:divBdr>
    </w:div>
    <w:div w:id="376003706">
      <w:bodyDiv w:val="1"/>
      <w:marLeft w:val="0"/>
      <w:marRight w:val="0"/>
      <w:marTop w:val="0"/>
      <w:marBottom w:val="0"/>
      <w:divBdr>
        <w:top w:val="none" w:sz="0" w:space="0" w:color="auto"/>
        <w:left w:val="none" w:sz="0" w:space="0" w:color="auto"/>
        <w:bottom w:val="none" w:sz="0" w:space="0" w:color="auto"/>
        <w:right w:val="none" w:sz="0" w:space="0" w:color="auto"/>
      </w:divBdr>
    </w:div>
    <w:div w:id="391075488">
      <w:bodyDiv w:val="1"/>
      <w:marLeft w:val="0"/>
      <w:marRight w:val="0"/>
      <w:marTop w:val="0"/>
      <w:marBottom w:val="0"/>
      <w:divBdr>
        <w:top w:val="none" w:sz="0" w:space="0" w:color="auto"/>
        <w:left w:val="none" w:sz="0" w:space="0" w:color="auto"/>
        <w:bottom w:val="none" w:sz="0" w:space="0" w:color="auto"/>
        <w:right w:val="none" w:sz="0" w:space="0" w:color="auto"/>
      </w:divBdr>
    </w:div>
    <w:div w:id="402872667">
      <w:bodyDiv w:val="1"/>
      <w:marLeft w:val="0"/>
      <w:marRight w:val="0"/>
      <w:marTop w:val="0"/>
      <w:marBottom w:val="0"/>
      <w:divBdr>
        <w:top w:val="none" w:sz="0" w:space="0" w:color="auto"/>
        <w:left w:val="none" w:sz="0" w:space="0" w:color="auto"/>
        <w:bottom w:val="none" w:sz="0" w:space="0" w:color="auto"/>
        <w:right w:val="none" w:sz="0" w:space="0" w:color="auto"/>
      </w:divBdr>
    </w:div>
    <w:div w:id="407314228">
      <w:bodyDiv w:val="1"/>
      <w:marLeft w:val="0"/>
      <w:marRight w:val="0"/>
      <w:marTop w:val="0"/>
      <w:marBottom w:val="0"/>
      <w:divBdr>
        <w:top w:val="none" w:sz="0" w:space="0" w:color="auto"/>
        <w:left w:val="none" w:sz="0" w:space="0" w:color="auto"/>
        <w:bottom w:val="none" w:sz="0" w:space="0" w:color="auto"/>
        <w:right w:val="none" w:sz="0" w:space="0" w:color="auto"/>
      </w:divBdr>
    </w:div>
    <w:div w:id="410398289">
      <w:bodyDiv w:val="1"/>
      <w:marLeft w:val="0"/>
      <w:marRight w:val="0"/>
      <w:marTop w:val="0"/>
      <w:marBottom w:val="0"/>
      <w:divBdr>
        <w:top w:val="none" w:sz="0" w:space="0" w:color="auto"/>
        <w:left w:val="none" w:sz="0" w:space="0" w:color="auto"/>
        <w:bottom w:val="none" w:sz="0" w:space="0" w:color="auto"/>
        <w:right w:val="none" w:sz="0" w:space="0" w:color="auto"/>
      </w:divBdr>
    </w:div>
    <w:div w:id="437067387">
      <w:bodyDiv w:val="1"/>
      <w:marLeft w:val="0"/>
      <w:marRight w:val="0"/>
      <w:marTop w:val="0"/>
      <w:marBottom w:val="0"/>
      <w:divBdr>
        <w:top w:val="none" w:sz="0" w:space="0" w:color="auto"/>
        <w:left w:val="none" w:sz="0" w:space="0" w:color="auto"/>
        <w:bottom w:val="none" w:sz="0" w:space="0" w:color="auto"/>
        <w:right w:val="none" w:sz="0" w:space="0" w:color="auto"/>
      </w:divBdr>
    </w:div>
    <w:div w:id="444345278">
      <w:bodyDiv w:val="1"/>
      <w:marLeft w:val="0"/>
      <w:marRight w:val="0"/>
      <w:marTop w:val="0"/>
      <w:marBottom w:val="0"/>
      <w:divBdr>
        <w:top w:val="none" w:sz="0" w:space="0" w:color="auto"/>
        <w:left w:val="none" w:sz="0" w:space="0" w:color="auto"/>
        <w:bottom w:val="none" w:sz="0" w:space="0" w:color="auto"/>
        <w:right w:val="none" w:sz="0" w:space="0" w:color="auto"/>
      </w:divBdr>
    </w:div>
    <w:div w:id="445392402">
      <w:bodyDiv w:val="1"/>
      <w:marLeft w:val="0"/>
      <w:marRight w:val="0"/>
      <w:marTop w:val="0"/>
      <w:marBottom w:val="0"/>
      <w:divBdr>
        <w:top w:val="none" w:sz="0" w:space="0" w:color="auto"/>
        <w:left w:val="none" w:sz="0" w:space="0" w:color="auto"/>
        <w:bottom w:val="none" w:sz="0" w:space="0" w:color="auto"/>
        <w:right w:val="none" w:sz="0" w:space="0" w:color="auto"/>
      </w:divBdr>
    </w:div>
    <w:div w:id="453642809">
      <w:bodyDiv w:val="1"/>
      <w:marLeft w:val="0"/>
      <w:marRight w:val="0"/>
      <w:marTop w:val="0"/>
      <w:marBottom w:val="0"/>
      <w:divBdr>
        <w:top w:val="none" w:sz="0" w:space="0" w:color="auto"/>
        <w:left w:val="none" w:sz="0" w:space="0" w:color="auto"/>
        <w:bottom w:val="none" w:sz="0" w:space="0" w:color="auto"/>
        <w:right w:val="none" w:sz="0" w:space="0" w:color="auto"/>
      </w:divBdr>
    </w:div>
    <w:div w:id="454370090">
      <w:bodyDiv w:val="1"/>
      <w:marLeft w:val="0"/>
      <w:marRight w:val="0"/>
      <w:marTop w:val="0"/>
      <w:marBottom w:val="0"/>
      <w:divBdr>
        <w:top w:val="none" w:sz="0" w:space="0" w:color="auto"/>
        <w:left w:val="none" w:sz="0" w:space="0" w:color="auto"/>
        <w:bottom w:val="none" w:sz="0" w:space="0" w:color="auto"/>
        <w:right w:val="none" w:sz="0" w:space="0" w:color="auto"/>
      </w:divBdr>
    </w:div>
    <w:div w:id="459347827">
      <w:bodyDiv w:val="1"/>
      <w:marLeft w:val="0"/>
      <w:marRight w:val="0"/>
      <w:marTop w:val="0"/>
      <w:marBottom w:val="0"/>
      <w:divBdr>
        <w:top w:val="none" w:sz="0" w:space="0" w:color="auto"/>
        <w:left w:val="none" w:sz="0" w:space="0" w:color="auto"/>
        <w:bottom w:val="none" w:sz="0" w:space="0" w:color="auto"/>
        <w:right w:val="none" w:sz="0" w:space="0" w:color="auto"/>
      </w:divBdr>
    </w:div>
    <w:div w:id="465006169">
      <w:bodyDiv w:val="1"/>
      <w:marLeft w:val="0"/>
      <w:marRight w:val="0"/>
      <w:marTop w:val="0"/>
      <w:marBottom w:val="0"/>
      <w:divBdr>
        <w:top w:val="none" w:sz="0" w:space="0" w:color="auto"/>
        <w:left w:val="none" w:sz="0" w:space="0" w:color="auto"/>
        <w:bottom w:val="none" w:sz="0" w:space="0" w:color="auto"/>
        <w:right w:val="none" w:sz="0" w:space="0" w:color="auto"/>
      </w:divBdr>
    </w:div>
    <w:div w:id="466820282">
      <w:bodyDiv w:val="1"/>
      <w:marLeft w:val="0"/>
      <w:marRight w:val="0"/>
      <w:marTop w:val="0"/>
      <w:marBottom w:val="0"/>
      <w:divBdr>
        <w:top w:val="none" w:sz="0" w:space="0" w:color="auto"/>
        <w:left w:val="none" w:sz="0" w:space="0" w:color="auto"/>
        <w:bottom w:val="none" w:sz="0" w:space="0" w:color="auto"/>
        <w:right w:val="none" w:sz="0" w:space="0" w:color="auto"/>
      </w:divBdr>
    </w:div>
    <w:div w:id="468864911">
      <w:bodyDiv w:val="1"/>
      <w:marLeft w:val="0"/>
      <w:marRight w:val="0"/>
      <w:marTop w:val="0"/>
      <w:marBottom w:val="0"/>
      <w:divBdr>
        <w:top w:val="none" w:sz="0" w:space="0" w:color="auto"/>
        <w:left w:val="none" w:sz="0" w:space="0" w:color="auto"/>
        <w:bottom w:val="none" w:sz="0" w:space="0" w:color="auto"/>
        <w:right w:val="none" w:sz="0" w:space="0" w:color="auto"/>
      </w:divBdr>
    </w:div>
    <w:div w:id="477110014">
      <w:bodyDiv w:val="1"/>
      <w:marLeft w:val="0"/>
      <w:marRight w:val="0"/>
      <w:marTop w:val="0"/>
      <w:marBottom w:val="0"/>
      <w:divBdr>
        <w:top w:val="none" w:sz="0" w:space="0" w:color="auto"/>
        <w:left w:val="none" w:sz="0" w:space="0" w:color="auto"/>
        <w:bottom w:val="none" w:sz="0" w:space="0" w:color="auto"/>
        <w:right w:val="none" w:sz="0" w:space="0" w:color="auto"/>
      </w:divBdr>
    </w:div>
    <w:div w:id="481892636">
      <w:bodyDiv w:val="1"/>
      <w:marLeft w:val="0"/>
      <w:marRight w:val="0"/>
      <w:marTop w:val="0"/>
      <w:marBottom w:val="0"/>
      <w:divBdr>
        <w:top w:val="none" w:sz="0" w:space="0" w:color="auto"/>
        <w:left w:val="none" w:sz="0" w:space="0" w:color="auto"/>
        <w:bottom w:val="none" w:sz="0" w:space="0" w:color="auto"/>
        <w:right w:val="none" w:sz="0" w:space="0" w:color="auto"/>
      </w:divBdr>
    </w:div>
    <w:div w:id="487017258">
      <w:bodyDiv w:val="1"/>
      <w:marLeft w:val="0"/>
      <w:marRight w:val="0"/>
      <w:marTop w:val="0"/>
      <w:marBottom w:val="0"/>
      <w:divBdr>
        <w:top w:val="none" w:sz="0" w:space="0" w:color="auto"/>
        <w:left w:val="none" w:sz="0" w:space="0" w:color="auto"/>
        <w:bottom w:val="none" w:sz="0" w:space="0" w:color="auto"/>
        <w:right w:val="none" w:sz="0" w:space="0" w:color="auto"/>
      </w:divBdr>
    </w:div>
    <w:div w:id="494760686">
      <w:bodyDiv w:val="1"/>
      <w:marLeft w:val="0"/>
      <w:marRight w:val="0"/>
      <w:marTop w:val="0"/>
      <w:marBottom w:val="0"/>
      <w:divBdr>
        <w:top w:val="none" w:sz="0" w:space="0" w:color="auto"/>
        <w:left w:val="none" w:sz="0" w:space="0" w:color="auto"/>
        <w:bottom w:val="none" w:sz="0" w:space="0" w:color="auto"/>
        <w:right w:val="none" w:sz="0" w:space="0" w:color="auto"/>
      </w:divBdr>
    </w:div>
    <w:div w:id="500969399">
      <w:bodyDiv w:val="1"/>
      <w:marLeft w:val="0"/>
      <w:marRight w:val="0"/>
      <w:marTop w:val="0"/>
      <w:marBottom w:val="0"/>
      <w:divBdr>
        <w:top w:val="none" w:sz="0" w:space="0" w:color="auto"/>
        <w:left w:val="none" w:sz="0" w:space="0" w:color="auto"/>
        <w:bottom w:val="none" w:sz="0" w:space="0" w:color="auto"/>
        <w:right w:val="none" w:sz="0" w:space="0" w:color="auto"/>
      </w:divBdr>
    </w:div>
    <w:div w:id="515534990">
      <w:bodyDiv w:val="1"/>
      <w:marLeft w:val="0"/>
      <w:marRight w:val="0"/>
      <w:marTop w:val="0"/>
      <w:marBottom w:val="0"/>
      <w:divBdr>
        <w:top w:val="none" w:sz="0" w:space="0" w:color="auto"/>
        <w:left w:val="none" w:sz="0" w:space="0" w:color="auto"/>
        <w:bottom w:val="none" w:sz="0" w:space="0" w:color="auto"/>
        <w:right w:val="none" w:sz="0" w:space="0" w:color="auto"/>
      </w:divBdr>
    </w:div>
    <w:div w:id="543371027">
      <w:bodyDiv w:val="1"/>
      <w:marLeft w:val="0"/>
      <w:marRight w:val="0"/>
      <w:marTop w:val="0"/>
      <w:marBottom w:val="0"/>
      <w:divBdr>
        <w:top w:val="none" w:sz="0" w:space="0" w:color="auto"/>
        <w:left w:val="none" w:sz="0" w:space="0" w:color="auto"/>
        <w:bottom w:val="none" w:sz="0" w:space="0" w:color="auto"/>
        <w:right w:val="none" w:sz="0" w:space="0" w:color="auto"/>
      </w:divBdr>
    </w:div>
    <w:div w:id="556278953">
      <w:bodyDiv w:val="1"/>
      <w:marLeft w:val="0"/>
      <w:marRight w:val="0"/>
      <w:marTop w:val="0"/>
      <w:marBottom w:val="0"/>
      <w:divBdr>
        <w:top w:val="none" w:sz="0" w:space="0" w:color="auto"/>
        <w:left w:val="none" w:sz="0" w:space="0" w:color="auto"/>
        <w:bottom w:val="none" w:sz="0" w:space="0" w:color="auto"/>
        <w:right w:val="none" w:sz="0" w:space="0" w:color="auto"/>
      </w:divBdr>
    </w:div>
    <w:div w:id="556818824">
      <w:bodyDiv w:val="1"/>
      <w:marLeft w:val="0"/>
      <w:marRight w:val="0"/>
      <w:marTop w:val="0"/>
      <w:marBottom w:val="0"/>
      <w:divBdr>
        <w:top w:val="none" w:sz="0" w:space="0" w:color="auto"/>
        <w:left w:val="none" w:sz="0" w:space="0" w:color="auto"/>
        <w:bottom w:val="none" w:sz="0" w:space="0" w:color="auto"/>
        <w:right w:val="none" w:sz="0" w:space="0" w:color="auto"/>
      </w:divBdr>
    </w:div>
    <w:div w:id="558790815">
      <w:bodyDiv w:val="1"/>
      <w:marLeft w:val="0"/>
      <w:marRight w:val="0"/>
      <w:marTop w:val="0"/>
      <w:marBottom w:val="0"/>
      <w:divBdr>
        <w:top w:val="none" w:sz="0" w:space="0" w:color="auto"/>
        <w:left w:val="none" w:sz="0" w:space="0" w:color="auto"/>
        <w:bottom w:val="none" w:sz="0" w:space="0" w:color="auto"/>
        <w:right w:val="none" w:sz="0" w:space="0" w:color="auto"/>
      </w:divBdr>
    </w:div>
    <w:div w:id="567569427">
      <w:bodyDiv w:val="1"/>
      <w:marLeft w:val="0"/>
      <w:marRight w:val="0"/>
      <w:marTop w:val="0"/>
      <w:marBottom w:val="0"/>
      <w:divBdr>
        <w:top w:val="none" w:sz="0" w:space="0" w:color="auto"/>
        <w:left w:val="none" w:sz="0" w:space="0" w:color="auto"/>
        <w:bottom w:val="none" w:sz="0" w:space="0" w:color="auto"/>
        <w:right w:val="none" w:sz="0" w:space="0" w:color="auto"/>
      </w:divBdr>
    </w:div>
    <w:div w:id="575865314">
      <w:bodyDiv w:val="1"/>
      <w:marLeft w:val="0"/>
      <w:marRight w:val="0"/>
      <w:marTop w:val="0"/>
      <w:marBottom w:val="0"/>
      <w:divBdr>
        <w:top w:val="none" w:sz="0" w:space="0" w:color="auto"/>
        <w:left w:val="none" w:sz="0" w:space="0" w:color="auto"/>
        <w:bottom w:val="none" w:sz="0" w:space="0" w:color="auto"/>
        <w:right w:val="none" w:sz="0" w:space="0" w:color="auto"/>
      </w:divBdr>
    </w:div>
    <w:div w:id="576403879">
      <w:bodyDiv w:val="1"/>
      <w:marLeft w:val="0"/>
      <w:marRight w:val="0"/>
      <w:marTop w:val="0"/>
      <w:marBottom w:val="0"/>
      <w:divBdr>
        <w:top w:val="none" w:sz="0" w:space="0" w:color="auto"/>
        <w:left w:val="none" w:sz="0" w:space="0" w:color="auto"/>
        <w:bottom w:val="none" w:sz="0" w:space="0" w:color="auto"/>
        <w:right w:val="none" w:sz="0" w:space="0" w:color="auto"/>
      </w:divBdr>
    </w:div>
    <w:div w:id="593900734">
      <w:bodyDiv w:val="1"/>
      <w:marLeft w:val="0"/>
      <w:marRight w:val="0"/>
      <w:marTop w:val="0"/>
      <w:marBottom w:val="0"/>
      <w:divBdr>
        <w:top w:val="none" w:sz="0" w:space="0" w:color="auto"/>
        <w:left w:val="none" w:sz="0" w:space="0" w:color="auto"/>
        <w:bottom w:val="none" w:sz="0" w:space="0" w:color="auto"/>
        <w:right w:val="none" w:sz="0" w:space="0" w:color="auto"/>
      </w:divBdr>
    </w:div>
    <w:div w:id="602959524">
      <w:bodyDiv w:val="1"/>
      <w:marLeft w:val="0"/>
      <w:marRight w:val="0"/>
      <w:marTop w:val="0"/>
      <w:marBottom w:val="0"/>
      <w:divBdr>
        <w:top w:val="none" w:sz="0" w:space="0" w:color="auto"/>
        <w:left w:val="none" w:sz="0" w:space="0" w:color="auto"/>
        <w:bottom w:val="none" w:sz="0" w:space="0" w:color="auto"/>
        <w:right w:val="none" w:sz="0" w:space="0" w:color="auto"/>
      </w:divBdr>
    </w:div>
    <w:div w:id="640423757">
      <w:bodyDiv w:val="1"/>
      <w:marLeft w:val="0"/>
      <w:marRight w:val="0"/>
      <w:marTop w:val="0"/>
      <w:marBottom w:val="0"/>
      <w:divBdr>
        <w:top w:val="none" w:sz="0" w:space="0" w:color="auto"/>
        <w:left w:val="none" w:sz="0" w:space="0" w:color="auto"/>
        <w:bottom w:val="none" w:sz="0" w:space="0" w:color="auto"/>
        <w:right w:val="none" w:sz="0" w:space="0" w:color="auto"/>
      </w:divBdr>
    </w:div>
    <w:div w:id="641077742">
      <w:bodyDiv w:val="1"/>
      <w:marLeft w:val="0"/>
      <w:marRight w:val="0"/>
      <w:marTop w:val="0"/>
      <w:marBottom w:val="0"/>
      <w:divBdr>
        <w:top w:val="none" w:sz="0" w:space="0" w:color="auto"/>
        <w:left w:val="none" w:sz="0" w:space="0" w:color="auto"/>
        <w:bottom w:val="none" w:sz="0" w:space="0" w:color="auto"/>
        <w:right w:val="none" w:sz="0" w:space="0" w:color="auto"/>
      </w:divBdr>
    </w:div>
    <w:div w:id="647977044">
      <w:bodyDiv w:val="1"/>
      <w:marLeft w:val="0"/>
      <w:marRight w:val="0"/>
      <w:marTop w:val="0"/>
      <w:marBottom w:val="0"/>
      <w:divBdr>
        <w:top w:val="none" w:sz="0" w:space="0" w:color="auto"/>
        <w:left w:val="none" w:sz="0" w:space="0" w:color="auto"/>
        <w:bottom w:val="none" w:sz="0" w:space="0" w:color="auto"/>
        <w:right w:val="none" w:sz="0" w:space="0" w:color="auto"/>
      </w:divBdr>
    </w:div>
    <w:div w:id="648097802">
      <w:bodyDiv w:val="1"/>
      <w:marLeft w:val="0"/>
      <w:marRight w:val="0"/>
      <w:marTop w:val="0"/>
      <w:marBottom w:val="0"/>
      <w:divBdr>
        <w:top w:val="none" w:sz="0" w:space="0" w:color="auto"/>
        <w:left w:val="none" w:sz="0" w:space="0" w:color="auto"/>
        <w:bottom w:val="none" w:sz="0" w:space="0" w:color="auto"/>
        <w:right w:val="none" w:sz="0" w:space="0" w:color="auto"/>
      </w:divBdr>
    </w:div>
    <w:div w:id="656953990">
      <w:bodyDiv w:val="1"/>
      <w:marLeft w:val="0"/>
      <w:marRight w:val="0"/>
      <w:marTop w:val="0"/>
      <w:marBottom w:val="0"/>
      <w:divBdr>
        <w:top w:val="none" w:sz="0" w:space="0" w:color="auto"/>
        <w:left w:val="none" w:sz="0" w:space="0" w:color="auto"/>
        <w:bottom w:val="none" w:sz="0" w:space="0" w:color="auto"/>
        <w:right w:val="none" w:sz="0" w:space="0" w:color="auto"/>
      </w:divBdr>
    </w:div>
    <w:div w:id="668678587">
      <w:bodyDiv w:val="1"/>
      <w:marLeft w:val="0"/>
      <w:marRight w:val="0"/>
      <w:marTop w:val="0"/>
      <w:marBottom w:val="0"/>
      <w:divBdr>
        <w:top w:val="none" w:sz="0" w:space="0" w:color="auto"/>
        <w:left w:val="none" w:sz="0" w:space="0" w:color="auto"/>
        <w:bottom w:val="none" w:sz="0" w:space="0" w:color="auto"/>
        <w:right w:val="none" w:sz="0" w:space="0" w:color="auto"/>
      </w:divBdr>
    </w:div>
    <w:div w:id="673142621">
      <w:bodyDiv w:val="1"/>
      <w:marLeft w:val="0"/>
      <w:marRight w:val="0"/>
      <w:marTop w:val="0"/>
      <w:marBottom w:val="0"/>
      <w:divBdr>
        <w:top w:val="none" w:sz="0" w:space="0" w:color="auto"/>
        <w:left w:val="none" w:sz="0" w:space="0" w:color="auto"/>
        <w:bottom w:val="none" w:sz="0" w:space="0" w:color="auto"/>
        <w:right w:val="none" w:sz="0" w:space="0" w:color="auto"/>
      </w:divBdr>
    </w:div>
    <w:div w:id="682587270">
      <w:bodyDiv w:val="1"/>
      <w:marLeft w:val="0"/>
      <w:marRight w:val="0"/>
      <w:marTop w:val="0"/>
      <w:marBottom w:val="0"/>
      <w:divBdr>
        <w:top w:val="none" w:sz="0" w:space="0" w:color="auto"/>
        <w:left w:val="none" w:sz="0" w:space="0" w:color="auto"/>
        <w:bottom w:val="none" w:sz="0" w:space="0" w:color="auto"/>
        <w:right w:val="none" w:sz="0" w:space="0" w:color="auto"/>
      </w:divBdr>
    </w:div>
    <w:div w:id="686635924">
      <w:bodyDiv w:val="1"/>
      <w:marLeft w:val="0"/>
      <w:marRight w:val="0"/>
      <w:marTop w:val="0"/>
      <w:marBottom w:val="0"/>
      <w:divBdr>
        <w:top w:val="none" w:sz="0" w:space="0" w:color="auto"/>
        <w:left w:val="none" w:sz="0" w:space="0" w:color="auto"/>
        <w:bottom w:val="none" w:sz="0" w:space="0" w:color="auto"/>
        <w:right w:val="none" w:sz="0" w:space="0" w:color="auto"/>
      </w:divBdr>
    </w:div>
    <w:div w:id="687367837">
      <w:bodyDiv w:val="1"/>
      <w:marLeft w:val="0"/>
      <w:marRight w:val="0"/>
      <w:marTop w:val="0"/>
      <w:marBottom w:val="0"/>
      <w:divBdr>
        <w:top w:val="none" w:sz="0" w:space="0" w:color="auto"/>
        <w:left w:val="none" w:sz="0" w:space="0" w:color="auto"/>
        <w:bottom w:val="none" w:sz="0" w:space="0" w:color="auto"/>
        <w:right w:val="none" w:sz="0" w:space="0" w:color="auto"/>
      </w:divBdr>
    </w:div>
    <w:div w:id="712772664">
      <w:bodyDiv w:val="1"/>
      <w:marLeft w:val="0"/>
      <w:marRight w:val="0"/>
      <w:marTop w:val="0"/>
      <w:marBottom w:val="0"/>
      <w:divBdr>
        <w:top w:val="none" w:sz="0" w:space="0" w:color="auto"/>
        <w:left w:val="none" w:sz="0" w:space="0" w:color="auto"/>
        <w:bottom w:val="none" w:sz="0" w:space="0" w:color="auto"/>
        <w:right w:val="none" w:sz="0" w:space="0" w:color="auto"/>
      </w:divBdr>
    </w:div>
    <w:div w:id="714936063">
      <w:bodyDiv w:val="1"/>
      <w:marLeft w:val="0"/>
      <w:marRight w:val="0"/>
      <w:marTop w:val="0"/>
      <w:marBottom w:val="0"/>
      <w:divBdr>
        <w:top w:val="none" w:sz="0" w:space="0" w:color="auto"/>
        <w:left w:val="none" w:sz="0" w:space="0" w:color="auto"/>
        <w:bottom w:val="none" w:sz="0" w:space="0" w:color="auto"/>
        <w:right w:val="none" w:sz="0" w:space="0" w:color="auto"/>
      </w:divBdr>
    </w:div>
    <w:div w:id="715734517">
      <w:bodyDiv w:val="1"/>
      <w:marLeft w:val="0"/>
      <w:marRight w:val="0"/>
      <w:marTop w:val="0"/>
      <w:marBottom w:val="0"/>
      <w:divBdr>
        <w:top w:val="none" w:sz="0" w:space="0" w:color="auto"/>
        <w:left w:val="none" w:sz="0" w:space="0" w:color="auto"/>
        <w:bottom w:val="none" w:sz="0" w:space="0" w:color="auto"/>
        <w:right w:val="none" w:sz="0" w:space="0" w:color="auto"/>
      </w:divBdr>
    </w:div>
    <w:div w:id="717169120">
      <w:bodyDiv w:val="1"/>
      <w:marLeft w:val="0"/>
      <w:marRight w:val="0"/>
      <w:marTop w:val="0"/>
      <w:marBottom w:val="0"/>
      <w:divBdr>
        <w:top w:val="none" w:sz="0" w:space="0" w:color="auto"/>
        <w:left w:val="none" w:sz="0" w:space="0" w:color="auto"/>
        <w:bottom w:val="none" w:sz="0" w:space="0" w:color="auto"/>
        <w:right w:val="none" w:sz="0" w:space="0" w:color="auto"/>
      </w:divBdr>
    </w:div>
    <w:div w:id="724842525">
      <w:bodyDiv w:val="1"/>
      <w:marLeft w:val="0"/>
      <w:marRight w:val="0"/>
      <w:marTop w:val="0"/>
      <w:marBottom w:val="0"/>
      <w:divBdr>
        <w:top w:val="none" w:sz="0" w:space="0" w:color="auto"/>
        <w:left w:val="none" w:sz="0" w:space="0" w:color="auto"/>
        <w:bottom w:val="none" w:sz="0" w:space="0" w:color="auto"/>
        <w:right w:val="none" w:sz="0" w:space="0" w:color="auto"/>
      </w:divBdr>
    </w:div>
    <w:div w:id="739597181">
      <w:bodyDiv w:val="1"/>
      <w:marLeft w:val="0"/>
      <w:marRight w:val="0"/>
      <w:marTop w:val="0"/>
      <w:marBottom w:val="0"/>
      <w:divBdr>
        <w:top w:val="none" w:sz="0" w:space="0" w:color="auto"/>
        <w:left w:val="none" w:sz="0" w:space="0" w:color="auto"/>
        <w:bottom w:val="none" w:sz="0" w:space="0" w:color="auto"/>
        <w:right w:val="none" w:sz="0" w:space="0" w:color="auto"/>
      </w:divBdr>
    </w:div>
    <w:div w:id="745955764">
      <w:bodyDiv w:val="1"/>
      <w:marLeft w:val="0"/>
      <w:marRight w:val="0"/>
      <w:marTop w:val="0"/>
      <w:marBottom w:val="0"/>
      <w:divBdr>
        <w:top w:val="none" w:sz="0" w:space="0" w:color="auto"/>
        <w:left w:val="none" w:sz="0" w:space="0" w:color="auto"/>
        <w:bottom w:val="none" w:sz="0" w:space="0" w:color="auto"/>
        <w:right w:val="none" w:sz="0" w:space="0" w:color="auto"/>
      </w:divBdr>
    </w:div>
    <w:div w:id="747387140">
      <w:bodyDiv w:val="1"/>
      <w:marLeft w:val="0"/>
      <w:marRight w:val="0"/>
      <w:marTop w:val="0"/>
      <w:marBottom w:val="0"/>
      <w:divBdr>
        <w:top w:val="none" w:sz="0" w:space="0" w:color="auto"/>
        <w:left w:val="none" w:sz="0" w:space="0" w:color="auto"/>
        <w:bottom w:val="none" w:sz="0" w:space="0" w:color="auto"/>
        <w:right w:val="none" w:sz="0" w:space="0" w:color="auto"/>
      </w:divBdr>
    </w:div>
    <w:div w:id="752776579">
      <w:bodyDiv w:val="1"/>
      <w:marLeft w:val="0"/>
      <w:marRight w:val="0"/>
      <w:marTop w:val="0"/>
      <w:marBottom w:val="0"/>
      <w:divBdr>
        <w:top w:val="none" w:sz="0" w:space="0" w:color="auto"/>
        <w:left w:val="none" w:sz="0" w:space="0" w:color="auto"/>
        <w:bottom w:val="none" w:sz="0" w:space="0" w:color="auto"/>
        <w:right w:val="none" w:sz="0" w:space="0" w:color="auto"/>
      </w:divBdr>
    </w:div>
    <w:div w:id="758716746">
      <w:bodyDiv w:val="1"/>
      <w:marLeft w:val="0"/>
      <w:marRight w:val="0"/>
      <w:marTop w:val="0"/>
      <w:marBottom w:val="0"/>
      <w:divBdr>
        <w:top w:val="none" w:sz="0" w:space="0" w:color="auto"/>
        <w:left w:val="none" w:sz="0" w:space="0" w:color="auto"/>
        <w:bottom w:val="none" w:sz="0" w:space="0" w:color="auto"/>
        <w:right w:val="none" w:sz="0" w:space="0" w:color="auto"/>
      </w:divBdr>
    </w:div>
    <w:div w:id="771315100">
      <w:bodyDiv w:val="1"/>
      <w:marLeft w:val="0"/>
      <w:marRight w:val="0"/>
      <w:marTop w:val="0"/>
      <w:marBottom w:val="0"/>
      <w:divBdr>
        <w:top w:val="none" w:sz="0" w:space="0" w:color="auto"/>
        <w:left w:val="none" w:sz="0" w:space="0" w:color="auto"/>
        <w:bottom w:val="none" w:sz="0" w:space="0" w:color="auto"/>
        <w:right w:val="none" w:sz="0" w:space="0" w:color="auto"/>
      </w:divBdr>
    </w:div>
    <w:div w:id="787965927">
      <w:bodyDiv w:val="1"/>
      <w:marLeft w:val="0"/>
      <w:marRight w:val="0"/>
      <w:marTop w:val="0"/>
      <w:marBottom w:val="0"/>
      <w:divBdr>
        <w:top w:val="none" w:sz="0" w:space="0" w:color="auto"/>
        <w:left w:val="none" w:sz="0" w:space="0" w:color="auto"/>
        <w:bottom w:val="none" w:sz="0" w:space="0" w:color="auto"/>
        <w:right w:val="none" w:sz="0" w:space="0" w:color="auto"/>
      </w:divBdr>
    </w:div>
    <w:div w:id="804547042">
      <w:bodyDiv w:val="1"/>
      <w:marLeft w:val="0"/>
      <w:marRight w:val="0"/>
      <w:marTop w:val="0"/>
      <w:marBottom w:val="0"/>
      <w:divBdr>
        <w:top w:val="none" w:sz="0" w:space="0" w:color="auto"/>
        <w:left w:val="none" w:sz="0" w:space="0" w:color="auto"/>
        <w:bottom w:val="none" w:sz="0" w:space="0" w:color="auto"/>
        <w:right w:val="none" w:sz="0" w:space="0" w:color="auto"/>
      </w:divBdr>
    </w:div>
    <w:div w:id="816337038">
      <w:bodyDiv w:val="1"/>
      <w:marLeft w:val="0"/>
      <w:marRight w:val="0"/>
      <w:marTop w:val="0"/>
      <w:marBottom w:val="0"/>
      <w:divBdr>
        <w:top w:val="none" w:sz="0" w:space="0" w:color="auto"/>
        <w:left w:val="none" w:sz="0" w:space="0" w:color="auto"/>
        <w:bottom w:val="none" w:sz="0" w:space="0" w:color="auto"/>
        <w:right w:val="none" w:sz="0" w:space="0" w:color="auto"/>
      </w:divBdr>
    </w:div>
    <w:div w:id="827482411">
      <w:bodyDiv w:val="1"/>
      <w:marLeft w:val="0"/>
      <w:marRight w:val="0"/>
      <w:marTop w:val="0"/>
      <w:marBottom w:val="0"/>
      <w:divBdr>
        <w:top w:val="none" w:sz="0" w:space="0" w:color="auto"/>
        <w:left w:val="none" w:sz="0" w:space="0" w:color="auto"/>
        <w:bottom w:val="none" w:sz="0" w:space="0" w:color="auto"/>
        <w:right w:val="none" w:sz="0" w:space="0" w:color="auto"/>
      </w:divBdr>
    </w:div>
    <w:div w:id="830413447">
      <w:bodyDiv w:val="1"/>
      <w:marLeft w:val="0"/>
      <w:marRight w:val="0"/>
      <w:marTop w:val="0"/>
      <w:marBottom w:val="0"/>
      <w:divBdr>
        <w:top w:val="none" w:sz="0" w:space="0" w:color="auto"/>
        <w:left w:val="none" w:sz="0" w:space="0" w:color="auto"/>
        <w:bottom w:val="none" w:sz="0" w:space="0" w:color="auto"/>
        <w:right w:val="none" w:sz="0" w:space="0" w:color="auto"/>
      </w:divBdr>
    </w:div>
    <w:div w:id="831801391">
      <w:bodyDiv w:val="1"/>
      <w:marLeft w:val="0"/>
      <w:marRight w:val="0"/>
      <w:marTop w:val="0"/>
      <w:marBottom w:val="0"/>
      <w:divBdr>
        <w:top w:val="none" w:sz="0" w:space="0" w:color="auto"/>
        <w:left w:val="none" w:sz="0" w:space="0" w:color="auto"/>
        <w:bottom w:val="none" w:sz="0" w:space="0" w:color="auto"/>
        <w:right w:val="none" w:sz="0" w:space="0" w:color="auto"/>
      </w:divBdr>
    </w:div>
    <w:div w:id="832719281">
      <w:bodyDiv w:val="1"/>
      <w:marLeft w:val="0"/>
      <w:marRight w:val="0"/>
      <w:marTop w:val="0"/>
      <w:marBottom w:val="0"/>
      <w:divBdr>
        <w:top w:val="none" w:sz="0" w:space="0" w:color="auto"/>
        <w:left w:val="none" w:sz="0" w:space="0" w:color="auto"/>
        <w:bottom w:val="none" w:sz="0" w:space="0" w:color="auto"/>
        <w:right w:val="none" w:sz="0" w:space="0" w:color="auto"/>
      </w:divBdr>
    </w:div>
    <w:div w:id="838078690">
      <w:bodyDiv w:val="1"/>
      <w:marLeft w:val="0"/>
      <w:marRight w:val="0"/>
      <w:marTop w:val="0"/>
      <w:marBottom w:val="0"/>
      <w:divBdr>
        <w:top w:val="none" w:sz="0" w:space="0" w:color="auto"/>
        <w:left w:val="none" w:sz="0" w:space="0" w:color="auto"/>
        <w:bottom w:val="none" w:sz="0" w:space="0" w:color="auto"/>
        <w:right w:val="none" w:sz="0" w:space="0" w:color="auto"/>
      </w:divBdr>
    </w:div>
    <w:div w:id="853113252">
      <w:bodyDiv w:val="1"/>
      <w:marLeft w:val="0"/>
      <w:marRight w:val="0"/>
      <w:marTop w:val="0"/>
      <w:marBottom w:val="0"/>
      <w:divBdr>
        <w:top w:val="none" w:sz="0" w:space="0" w:color="auto"/>
        <w:left w:val="none" w:sz="0" w:space="0" w:color="auto"/>
        <w:bottom w:val="none" w:sz="0" w:space="0" w:color="auto"/>
        <w:right w:val="none" w:sz="0" w:space="0" w:color="auto"/>
      </w:divBdr>
    </w:div>
    <w:div w:id="866717075">
      <w:bodyDiv w:val="1"/>
      <w:marLeft w:val="0"/>
      <w:marRight w:val="0"/>
      <w:marTop w:val="0"/>
      <w:marBottom w:val="0"/>
      <w:divBdr>
        <w:top w:val="none" w:sz="0" w:space="0" w:color="auto"/>
        <w:left w:val="none" w:sz="0" w:space="0" w:color="auto"/>
        <w:bottom w:val="none" w:sz="0" w:space="0" w:color="auto"/>
        <w:right w:val="none" w:sz="0" w:space="0" w:color="auto"/>
      </w:divBdr>
    </w:div>
    <w:div w:id="874197935">
      <w:bodyDiv w:val="1"/>
      <w:marLeft w:val="0"/>
      <w:marRight w:val="0"/>
      <w:marTop w:val="0"/>
      <w:marBottom w:val="0"/>
      <w:divBdr>
        <w:top w:val="none" w:sz="0" w:space="0" w:color="auto"/>
        <w:left w:val="none" w:sz="0" w:space="0" w:color="auto"/>
        <w:bottom w:val="none" w:sz="0" w:space="0" w:color="auto"/>
        <w:right w:val="none" w:sz="0" w:space="0" w:color="auto"/>
      </w:divBdr>
    </w:div>
    <w:div w:id="915362940">
      <w:bodyDiv w:val="1"/>
      <w:marLeft w:val="0"/>
      <w:marRight w:val="0"/>
      <w:marTop w:val="0"/>
      <w:marBottom w:val="0"/>
      <w:divBdr>
        <w:top w:val="none" w:sz="0" w:space="0" w:color="auto"/>
        <w:left w:val="none" w:sz="0" w:space="0" w:color="auto"/>
        <w:bottom w:val="none" w:sz="0" w:space="0" w:color="auto"/>
        <w:right w:val="none" w:sz="0" w:space="0" w:color="auto"/>
      </w:divBdr>
      <w:divsChild>
        <w:div w:id="1570992871">
          <w:marLeft w:val="0"/>
          <w:marRight w:val="0"/>
          <w:marTop w:val="0"/>
          <w:marBottom w:val="0"/>
          <w:divBdr>
            <w:top w:val="none" w:sz="0" w:space="0" w:color="auto"/>
            <w:left w:val="none" w:sz="0" w:space="0" w:color="auto"/>
            <w:bottom w:val="none" w:sz="0" w:space="0" w:color="auto"/>
            <w:right w:val="none" w:sz="0" w:space="0" w:color="auto"/>
          </w:divBdr>
          <w:divsChild>
            <w:div w:id="219634610">
              <w:marLeft w:val="0"/>
              <w:marRight w:val="0"/>
              <w:marTop w:val="0"/>
              <w:marBottom w:val="0"/>
              <w:divBdr>
                <w:top w:val="none" w:sz="0" w:space="0" w:color="auto"/>
                <w:left w:val="none" w:sz="0" w:space="0" w:color="auto"/>
                <w:bottom w:val="none" w:sz="0" w:space="0" w:color="auto"/>
                <w:right w:val="none" w:sz="0" w:space="0" w:color="auto"/>
              </w:divBdr>
              <w:divsChild>
                <w:div w:id="848369519">
                  <w:marLeft w:val="0"/>
                  <w:marRight w:val="0"/>
                  <w:marTop w:val="0"/>
                  <w:marBottom w:val="0"/>
                  <w:divBdr>
                    <w:top w:val="none" w:sz="0" w:space="0" w:color="auto"/>
                    <w:left w:val="none" w:sz="0" w:space="0" w:color="auto"/>
                    <w:bottom w:val="none" w:sz="0" w:space="0" w:color="auto"/>
                    <w:right w:val="none" w:sz="0" w:space="0" w:color="auto"/>
                  </w:divBdr>
                  <w:divsChild>
                    <w:div w:id="364258585">
                      <w:marLeft w:val="0"/>
                      <w:marRight w:val="0"/>
                      <w:marTop w:val="0"/>
                      <w:marBottom w:val="0"/>
                      <w:divBdr>
                        <w:top w:val="none" w:sz="0" w:space="0" w:color="auto"/>
                        <w:left w:val="none" w:sz="0" w:space="0" w:color="auto"/>
                        <w:bottom w:val="none" w:sz="0" w:space="0" w:color="auto"/>
                        <w:right w:val="none" w:sz="0" w:space="0" w:color="auto"/>
                      </w:divBdr>
                      <w:divsChild>
                        <w:div w:id="738098175">
                          <w:marLeft w:val="0"/>
                          <w:marRight w:val="0"/>
                          <w:marTop w:val="0"/>
                          <w:marBottom w:val="0"/>
                          <w:divBdr>
                            <w:top w:val="none" w:sz="0" w:space="0" w:color="auto"/>
                            <w:left w:val="none" w:sz="0" w:space="0" w:color="auto"/>
                            <w:bottom w:val="none" w:sz="0" w:space="0" w:color="auto"/>
                            <w:right w:val="none" w:sz="0" w:space="0" w:color="auto"/>
                          </w:divBdr>
                          <w:divsChild>
                            <w:div w:id="1473402013">
                              <w:marLeft w:val="0"/>
                              <w:marRight w:val="0"/>
                              <w:marTop w:val="0"/>
                              <w:marBottom w:val="0"/>
                              <w:divBdr>
                                <w:top w:val="none" w:sz="0" w:space="0" w:color="auto"/>
                                <w:left w:val="none" w:sz="0" w:space="0" w:color="auto"/>
                                <w:bottom w:val="none" w:sz="0" w:space="0" w:color="auto"/>
                                <w:right w:val="none" w:sz="0" w:space="0" w:color="auto"/>
                              </w:divBdr>
                              <w:divsChild>
                                <w:div w:id="487286760">
                                  <w:marLeft w:val="-225"/>
                                  <w:marRight w:val="-225"/>
                                  <w:marTop w:val="0"/>
                                  <w:marBottom w:val="0"/>
                                  <w:divBdr>
                                    <w:top w:val="none" w:sz="0" w:space="0" w:color="auto"/>
                                    <w:left w:val="none" w:sz="0" w:space="0" w:color="auto"/>
                                    <w:bottom w:val="none" w:sz="0" w:space="0" w:color="auto"/>
                                    <w:right w:val="none" w:sz="0" w:space="0" w:color="auto"/>
                                  </w:divBdr>
                                  <w:divsChild>
                                    <w:div w:id="951203437">
                                      <w:marLeft w:val="0"/>
                                      <w:marRight w:val="0"/>
                                      <w:marTop w:val="0"/>
                                      <w:marBottom w:val="0"/>
                                      <w:divBdr>
                                        <w:top w:val="none" w:sz="0" w:space="0" w:color="auto"/>
                                        <w:left w:val="none" w:sz="0" w:space="0" w:color="auto"/>
                                        <w:bottom w:val="none" w:sz="0" w:space="0" w:color="auto"/>
                                        <w:right w:val="none" w:sz="0" w:space="0" w:color="auto"/>
                                      </w:divBdr>
                                      <w:divsChild>
                                        <w:div w:id="312881150">
                                          <w:marLeft w:val="0"/>
                                          <w:marRight w:val="0"/>
                                          <w:marTop w:val="0"/>
                                          <w:marBottom w:val="0"/>
                                          <w:divBdr>
                                            <w:top w:val="none" w:sz="0" w:space="0" w:color="auto"/>
                                            <w:left w:val="none" w:sz="0" w:space="0" w:color="auto"/>
                                            <w:bottom w:val="none" w:sz="0" w:space="0" w:color="auto"/>
                                            <w:right w:val="none" w:sz="0" w:space="0" w:color="auto"/>
                                          </w:divBdr>
                                          <w:divsChild>
                                            <w:div w:id="1284965066">
                                              <w:marLeft w:val="0"/>
                                              <w:marRight w:val="0"/>
                                              <w:marTop w:val="0"/>
                                              <w:marBottom w:val="0"/>
                                              <w:divBdr>
                                                <w:top w:val="none" w:sz="0" w:space="0" w:color="auto"/>
                                                <w:left w:val="none" w:sz="0" w:space="0" w:color="auto"/>
                                                <w:bottom w:val="none" w:sz="0" w:space="0" w:color="auto"/>
                                                <w:right w:val="none" w:sz="0" w:space="0" w:color="auto"/>
                                              </w:divBdr>
                                              <w:divsChild>
                                                <w:div w:id="1495141963">
                                                  <w:marLeft w:val="0"/>
                                                  <w:marRight w:val="0"/>
                                                  <w:marTop w:val="0"/>
                                                  <w:marBottom w:val="0"/>
                                                  <w:divBdr>
                                                    <w:top w:val="none" w:sz="0" w:space="0" w:color="auto"/>
                                                    <w:left w:val="none" w:sz="0" w:space="0" w:color="auto"/>
                                                    <w:bottom w:val="none" w:sz="0" w:space="0" w:color="auto"/>
                                                    <w:right w:val="none" w:sz="0" w:space="0" w:color="auto"/>
                                                  </w:divBdr>
                                                  <w:divsChild>
                                                    <w:div w:id="1236743988">
                                                      <w:marLeft w:val="0"/>
                                                      <w:marRight w:val="0"/>
                                                      <w:marTop w:val="75"/>
                                                      <w:marBottom w:val="0"/>
                                                      <w:divBdr>
                                                        <w:top w:val="none" w:sz="0" w:space="0" w:color="auto"/>
                                                        <w:left w:val="none" w:sz="0" w:space="0" w:color="auto"/>
                                                        <w:bottom w:val="none" w:sz="0" w:space="0" w:color="auto"/>
                                                        <w:right w:val="none" w:sz="0" w:space="0" w:color="auto"/>
                                                      </w:divBdr>
                                                      <w:divsChild>
                                                        <w:div w:id="14996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8707849">
      <w:bodyDiv w:val="1"/>
      <w:marLeft w:val="0"/>
      <w:marRight w:val="0"/>
      <w:marTop w:val="0"/>
      <w:marBottom w:val="0"/>
      <w:divBdr>
        <w:top w:val="none" w:sz="0" w:space="0" w:color="auto"/>
        <w:left w:val="none" w:sz="0" w:space="0" w:color="auto"/>
        <w:bottom w:val="none" w:sz="0" w:space="0" w:color="auto"/>
        <w:right w:val="none" w:sz="0" w:space="0" w:color="auto"/>
      </w:divBdr>
    </w:div>
    <w:div w:id="921135957">
      <w:bodyDiv w:val="1"/>
      <w:marLeft w:val="0"/>
      <w:marRight w:val="0"/>
      <w:marTop w:val="0"/>
      <w:marBottom w:val="0"/>
      <w:divBdr>
        <w:top w:val="none" w:sz="0" w:space="0" w:color="auto"/>
        <w:left w:val="none" w:sz="0" w:space="0" w:color="auto"/>
        <w:bottom w:val="none" w:sz="0" w:space="0" w:color="auto"/>
        <w:right w:val="none" w:sz="0" w:space="0" w:color="auto"/>
      </w:divBdr>
    </w:div>
    <w:div w:id="923951163">
      <w:bodyDiv w:val="1"/>
      <w:marLeft w:val="0"/>
      <w:marRight w:val="0"/>
      <w:marTop w:val="0"/>
      <w:marBottom w:val="0"/>
      <w:divBdr>
        <w:top w:val="none" w:sz="0" w:space="0" w:color="auto"/>
        <w:left w:val="none" w:sz="0" w:space="0" w:color="auto"/>
        <w:bottom w:val="none" w:sz="0" w:space="0" w:color="auto"/>
        <w:right w:val="none" w:sz="0" w:space="0" w:color="auto"/>
      </w:divBdr>
    </w:div>
    <w:div w:id="923955527">
      <w:bodyDiv w:val="1"/>
      <w:marLeft w:val="0"/>
      <w:marRight w:val="0"/>
      <w:marTop w:val="0"/>
      <w:marBottom w:val="0"/>
      <w:divBdr>
        <w:top w:val="none" w:sz="0" w:space="0" w:color="auto"/>
        <w:left w:val="none" w:sz="0" w:space="0" w:color="auto"/>
        <w:bottom w:val="none" w:sz="0" w:space="0" w:color="auto"/>
        <w:right w:val="none" w:sz="0" w:space="0" w:color="auto"/>
      </w:divBdr>
    </w:div>
    <w:div w:id="931858603">
      <w:bodyDiv w:val="1"/>
      <w:marLeft w:val="0"/>
      <w:marRight w:val="0"/>
      <w:marTop w:val="0"/>
      <w:marBottom w:val="0"/>
      <w:divBdr>
        <w:top w:val="none" w:sz="0" w:space="0" w:color="auto"/>
        <w:left w:val="none" w:sz="0" w:space="0" w:color="auto"/>
        <w:bottom w:val="none" w:sz="0" w:space="0" w:color="auto"/>
        <w:right w:val="none" w:sz="0" w:space="0" w:color="auto"/>
      </w:divBdr>
    </w:div>
    <w:div w:id="936132957">
      <w:bodyDiv w:val="1"/>
      <w:marLeft w:val="0"/>
      <w:marRight w:val="0"/>
      <w:marTop w:val="0"/>
      <w:marBottom w:val="0"/>
      <w:divBdr>
        <w:top w:val="none" w:sz="0" w:space="0" w:color="auto"/>
        <w:left w:val="none" w:sz="0" w:space="0" w:color="auto"/>
        <w:bottom w:val="none" w:sz="0" w:space="0" w:color="auto"/>
        <w:right w:val="none" w:sz="0" w:space="0" w:color="auto"/>
      </w:divBdr>
    </w:div>
    <w:div w:id="941377271">
      <w:bodyDiv w:val="1"/>
      <w:marLeft w:val="0"/>
      <w:marRight w:val="0"/>
      <w:marTop w:val="0"/>
      <w:marBottom w:val="0"/>
      <w:divBdr>
        <w:top w:val="none" w:sz="0" w:space="0" w:color="auto"/>
        <w:left w:val="none" w:sz="0" w:space="0" w:color="auto"/>
        <w:bottom w:val="none" w:sz="0" w:space="0" w:color="auto"/>
        <w:right w:val="none" w:sz="0" w:space="0" w:color="auto"/>
      </w:divBdr>
    </w:div>
    <w:div w:id="945160714">
      <w:bodyDiv w:val="1"/>
      <w:marLeft w:val="0"/>
      <w:marRight w:val="0"/>
      <w:marTop w:val="0"/>
      <w:marBottom w:val="0"/>
      <w:divBdr>
        <w:top w:val="none" w:sz="0" w:space="0" w:color="auto"/>
        <w:left w:val="none" w:sz="0" w:space="0" w:color="auto"/>
        <w:bottom w:val="none" w:sz="0" w:space="0" w:color="auto"/>
        <w:right w:val="none" w:sz="0" w:space="0" w:color="auto"/>
      </w:divBdr>
    </w:div>
    <w:div w:id="954216146">
      <w:bodyDiv w:val="1"/>
      <w:marLeft w:val="0"/>
      <w:marRight w:val="0"/>
      <w:marTop w:val="0"/>
      <w:marBottom w:val="0"/>
      <w:divBdr>
        <w:top w:val="none" w:sz="0" w:space="0" w:color="auto"/>
        <w:left w:val="none" w:sz="0" w:space="0" w:color="auto"/>
        <w:bottom w:val="none" w:sz="0" w:space="0" w:color="auto"/>
        <w:right w:val="none" w:sz="0" w:space="0" w:color="auto"/>
      </w:divBdr>
    </w:div>
    <w:div w:id="957878810">
      <w:bodyDiv w:val="1"/>
      <w:marLeft w:val="0"/>
      <w:marRight w:val="0"/>
      <w:marTop w:val="0"/>
      <w:marBottom w:val="0"/>
      <w:divBdr>
        <w:top w:val="none" w:sz="0" w:space="0" w:color="auto"/>
        <w:left w:val="none" w:sz="0" w:space="0" w:color="auto"/>
        <w:bottom w:val="none" w:sz="0" w:space="0" w:color="auto"/>
        <w:right w:val="none" w:sz="0" w:space="0" w:color="auto"/>
      </w:divBdr>
    </w:div>
    <w:div w:id="962809121">
      <w:bodyDiv w:val="1"/>
      <w:marLeft w:val="0"/>
      <w:marRight w:val="0"/>
      <w:marTop w:val="0"/>
      <w:marBottom w:val="0"/>
      <w:divBdr>
        <w:top w:val="none" w:sz="0" w:space="0" w:color="auto"/>
        <w:left w:val="none" w:sz="0" w:space="0" w:color="auto"/>
        <w:bottom w:val="none" w:sz="0" w:space="0" w:color="auto"/>
        <w:right w:val="none" w:sz="0" w:space="0" w:color="auto"/>
      </w:divBdr>
    </w:div>
    <w:div w:id="975528315">
      <w:bodyDiv w:val="1"/>
      <w:marLeft w:val="0"/>
      <w:marRight w:val="0"/>
      <w:marTop w:val="0"/>
      <w:marBottom w:val="0"/>
      <w:divBdr>
        <w:top w:val="none" w:sz="0" w:space="0" w:color="auto"/>
        <w:left w:val="none" w:sz="0" w:space="0" w:color="auto"/>
        <w:bottom w:val="none" w:sz="0" w:space="0" w:color="auto"/>
        <w:right w:val="none" w:sz="0" w:space="0" w:color="auto"/>
      </w:divBdr>
    </w:div>
    <w:div w:id="993070529">
      <w:bodyDiv w:val="1"/>
      <w:marLeft w:val="0"/>
      <w:marRight w:val="0"/>
      <w:marTop w:val="0"/>
      <w:marBottom w:val="0"/>
      <w:divBdr>
        <w:top w:val="none" w:sz="0" w:space="0" w:color="auto"/>
        <w:left w:val="none" w:sz="0" w:space="0" w:color="auto"/>
        <w:bottom w:val="none" w:sz="0" w:space="0" w:color="auto"/>
        <w:right w:val="none" w:sz="0" w:space="0" w:color="auto"/>
      </w:divBdr>
    </w:div>
    <w:div w:id="1020669471">
      <w:bodyDiv w:val="1"/>
      <w:marLeft w:val="0"/>
      <w:marRight w:val="0"/>
      <w:marTop w:val="0"/>
      <w:marBottom w:val="0"/>
      <w:divBdr>
        <w:top w:val="none" w:sz="0" w:space="0" w:color="auto"/>
        <w:left w:val="none" w:sz="0" w:space="0" w:color="auto"/>
        <w:bottom w:val="none" w:sz="0" w:space="0" w:color="auto"/>
        <w:right w:val="none" w:sz="0" w:space="0" w:color="auto"/>
      </w:divBdr>
    </w:div>
    <w:div w:id="1030764695">
      <w:bodyDiv w:val="1"/>
      <w:marLeft w:val="0"/>
      <w:marRight w:val="0"/>
      <w:marTop w:val="0"/>
      <w:marBottom w:val="0"/>
      <w:divBdr>
        <w:top w:val="none" w:sz="0" w:space="0" w:color="auto"/>
        <w:left w:val="none" w:sz="0" w:space="0" w:color="auto"/>
        <w:bottom w:val="none" w:sz="0" w:space="0" w:color="auto"/>
        <w:right w:val="none" w:sz="0" w:space="0" w:color="auto"/>
      </w:divBdr>
    </w:div>
    <w:div w:id="1038627885">
      <w:bodyDiv w:val="1"/>
      <w:marLeft w:val="0"/>
      <w:marRight w:val="0"/>
      <w:marTop w:val="0"/>
      <w:marBottom w:val="0"/>
      <w:divBdr>
        <w:top w:val="none" w:sz="0" w:space="0" w:color="auto"/>
        <w:left w:val="none" w:sz="0" w:space="0" w:color="auto"/>
        <w:bottom w:val="none" w:sz="0" w:space="0" w:color="auto"/>
        <w:right w:val="none" w:sz="0" w:space="0" w:color="auto"/>
      </w:divBdr>
    </w:div>
    <w:div w:id="1040007550">
      <w:bodyDiv w:val="1"/>
      <w:marLeft w:val="0"/>
      <w:marRight w:val="0"/>
      <w:marTop w:val="0"/>
      <w:marBottom w:val="0"/>
      <w:divBdr>
        <w:top w:val="none" w:sz="0" w:space="0" w:color="auto"/>
        <w:left w:val="none" w:sz="0" w:space="0" w:color="auto"/>
        <w:bottom w:val="none" w:sz="0" w:space="0" w:color="auto"/>
        <w:right w:val="none" w:sz="0" w:space="0" w:color="auto"/>
      </w:divBdr>
    </w:div>
    <w:div w:id="1054087040">
      <w:bodyDiv w:val="1"/>
      <w:marLeft w:val="0"/>
      <w:marRight w:val="0"/>
      <w:marTop w:val="0"/>
      <w:marBottom w:val="0"/>
      <w:divBdr>
        <w:top w:val="none" w:sz="0" w:space="0" w:color="auto"/>
        <w:left w:val="none" w:sz="0" w:space="0" w:color="auto"/>
        <w:bottom w:val="none" w:sz="0" w:space="0" w:color="auto"/>
        <w:right w:val="none" w:sz="0" w:space="0" w:color="auto"/>
      </w:divBdr>
    </w:div>
    <w:div w:id="1069570802">
      <w:bodyDiv w:val="1"/>
      <w:marLeft w:val="0"/>
      <w:marRight w:val="0"/>
      <w:marTop w:val="0"/>
      <w:marBottom w:val="0"/>
      <w:divBdr>
        <w:top w:val="none" w:sz="0" w:space="0" w:color="auto"/>
        <w:left w:val="none" w:sz="0" w:space="0" w:color="auto"/>
        <w:bottom w:val="none" w:sz="0" w:space="0" w:color="auto"/>
        <w:right w:val="none" w:sz="0" w:space="0" w:color="auto"/>
      </w:divBdr>
    </w:div>
    <w:div w:id="1069616988">
      <w:bodyDiv w:val="1"/>
      <w:marLeft w:val="0"/>
      <w:marRight w:val="0"/>
      <w:marTop w:val="0"/>
      <w:marBottom w:val="0"/>
      <w:divBdr>
        <w:top w:val="none" w:sz="0" w:space="0" w:color="auto"/>
        <w:left w:val="none" w:sz="0" w:space="0" w:color="auto"/>
        <w:bottom w:val="none" w:sz="0" w:space="0" w:color="auto"/>
        <w:right w:val="none" w:sz="0" w:space="0" w:color="auto"/>
      </w:divBdr>
    </w:div>
    <w:div w:id="1087967383">
      <w:bodyDiv w:val="1"/>
      <w:marLeft w:val="0"/>
      <w:marRight w:val="0"/>
      <w:marTop w:val="0"/>
      <w:marBottom w:val="0"/>
      <w:divBdr>
        <w:top w:val="none" w:sz="0" w:space="0" w:color="auto"/>
        <w:left w:val="none" w:sz="0" w:space="0" w:color="auto"/>
        <w:bottom w:val="none" w:sz="0" w:space="0" w:color="auto"/>
        <w:right w:val="none" w:sz="0" w:space="0" w:color="auto"/>
      </w:divBdr>
    </w:div>
    <w:div w:id="1091700602">
      <w:bodyDiv w:val="1"/>
      <w:marLeft w:val="0"/>
      <w:marRight w:val="0"/>
      <w:marTop w:val="0"/>
      <w:marBottom w:val="0"/>
      <w:divBdr>
        <w:top w:val="none" w:sz="0" w:space="0" w:color="auto"/>
        <w:left w:val="none" w:sz="0" w:space="0" w:color="auto"/>
        <w:bottom w:val="none" w:sz="0" w:space="0" w:color="auto"/>
        <w:right w:val="none" w:sz="0" w:space="0" w:color="auto"/>
      </w:divBdr>
    </w:div>
    <w:div w:id="1096099429">
      <w:bodyDiv w:val="1"/>
      <w:marLeft w:val="0"/>
      <w:marRight w:val="0"/>
      <w:marTop w:val="0"/>
      <w:marBottom w:val="0"/>
      <w:divBdr>
        <w:top w:val="none" w:sz="0" w:space="0" w:color="auto"/>
        <w:left w:val="none" w:sz="0" w:space="0" w:color="auto"/>
        <w:bottom w:val="none" w:sz="0" w:space="0" w:color="auto"/>
        <w:right w:val="none" w:sz="0" w:space="0" w:color="auto"/>
      </w:divBdr>
    </w:div>
    <w:div w:id="1102186954">
      <w:bodyDiv w:val="1"/>
      <w:marLeft w:val="0"/>
      <w:marRight w:val="0"/>
      <w:marTop w:val="0"/>
      <w:marBottom w:val="0"/>
      <w:divBdr>
        <w:top w:val="none" w:sz="0" w:space="0" w:color="auto"/>
        <w:left w:val="none" w:sz="0" w:space="0" w:color="auto"/>
        <w:bottom w:val="none" w:sz="0" w:space="0" w:color="auto"/>
        <w:right w:val="none" w:sz="0" w:space="0" w:color="auto"/>
      </w:divBdr>
    </w:div>
    <w:div w:id="1109934563">
      <w:bodyDiv w:val="1"/>
      <w:marLeft w:val="0"/>
      <w:marRight w:val="0"/>
      <w:marTop w:val="0"/>
      <w:marBottom w:val="0"/>
      <w:divBdr>
        <w:top w:val="none" w:sz="0" w:space="0" w:color="auto"/>
        <w:left w:val="none" w:sz="0" w:space="0" w:color="auto"/>
        <w:bottom w:val="none" w:sz="0" w:space="0" w:color="auto"/>
        <w:right w:val="none" w:sz="0" w:space="0" w:color="auto"/>
      </w:divBdr>
    </w:div>
    <w:div w:id="1114712295">
      <w:bodyDiv w:val="1"/>
      <w:marLeft w:val="0"/>
      <w:marRight w:val="0"/>
      <w:marTop w:val="0"/>
      <w:marBottom w:val="0"/>
      <w:divBdr>
        <w:top w:val="none" w:sz="0" w:space="0" w:color="auto"/>
        <w:left w:val="none" w:sz="0" w:space="0" w:color="auto"/>
        <w:bottom w:val="none" w:sz="0" w:space="0" w:color="auto"/>
        <w:right w:val="none" w:sz="0" w:space="0" w:color="auto"/>
      </w:divBdr>
    </w:div>
    <w:div w:id="1140347609">
      <w:bodyDiv w:val="1"/>
      <w:marLeft w:val="0"/>
      <w:marRight w:val="0"/>
      <w:marTop w:val="0"/>
      <w:marBottom w:val="0"/>
      <w:divBdr>
        <w:top w:val="none" w:sz="0" w:space="0" w:color="auto"/>
        <w:left w:val="none" w:sz="0" w:space="0" w:color="auto"/>
        <w:bottom w:val="none" w:sz="0" w:space="0" w:color="auto"/>
        <w:right w:val="none" w:sz="0" w:space="0" w:color="auto"/>
      </w:divBdr>
    </w:div>
    <w:div w:id="1149707388">
      <w:bodyDiv w:val="1"/>
      <w:marLeft w:val="0"/>
      <w:marRight w:val="0"/>
      <w:marTop w:val="0"/>
      <w:marBottom w:val="0"/>
      <w:divBdr>
        <w:top w:val="none" w:sz="0" w:space="0" w:color="auto"/>
        <w:left w:val="none" w:sz="0" w:space="0" w:color="auto"/>
        <w:bottom w:val="none" w:sz="0" w:space="0" w:color="auto"/>
        <w:right w:val="none" w:sz="0" w:space="0" w:color="auto"/>
      </w:divBdr>
    </w:div>
    <w:div w:id="1154296637">
      <w:bodyDiv w:val="1"/>
      <w:marLeft w:val="0"/>
      <w:marRight w:val="0"/>
      <w:marTop w:val="0"/>
      <w:marBottom w:val="0"/>
      <w:divBdr>
        <w:top w:val="none" w:sz="0" w:space="0" w:color="auto"/>
        <w:left w:val="none" w:sz="0" w:space="0" w:color="auto"/>
        <w:bottom w:val="none" w:sz="0" w:space="0" w:color="auto"/>
        <w:right w:val="none" w:sz="0" w:space="0" w:color="auto"/>
      </w:divBdr>
    </w:div>
    <w:div w:id="1157185166">
      <w:bodyDiv w:val="1"/>
      <w:marLeft w:val="0"/>
      <w:marRight w:val="0"/>
      <w:marTop w:val="0"/>
      <w:marBottom w:val="0"/>
      <w:divBdr>
        <w:top w:val="none" w:sz="0" w:space="0" w:color="auto"/>
        <w:left w:val="none" w:sz="0" w:space="0" w:color="auto"/>
        <w:bottom w:val="none" w:sz="0" w:space="0" w:color="auto"/>
        <w:right w:val="none" w:sz="0" w:space="0" w:color="auto"/>
      </w:divBdr>
    </w:div>
    <w:div w:id="1174684300">
      <w:bodyDiv w:val="1"/>
      <w:marLeft w:val="0"/>
      <w:marRight w:val="0"/>
      <w:marTop w:val="0"/>
      <w:marBottom w:val="0"/>
      <w:divBdr>
        <w:top w:val="none" w:sz="0" w:space="0" w:color="auto"/>
        <w:left w:val="none" w:sz="0" w:space="0" w:color="auto"/>
        <w:bottom w:val="none" w:sz="0" w:space="0" w:color="auto"/>
        <w:right w:val="none" w:sz="0" w:space="0" w:color="auto"/>
      </w:divBdr>
      <w:divsChild>
        <w:div w:id="230510404">
          <w:marLeft w:val="0"/>
          <w:marRight w:val="0"/>
          <w:marTop w:val="0"/>
          <w:marBottom w:val="0"/>
          <w:divBdr>
            <w:top w:val="none" w:sz="0" w:space="0" w:color="auto"/>
            <w:left w:val="none" w:sz="0" w:space="0" w:color="auto"/>
            <w:bottom w:val="none" w:sz="0" w:space="0" w:color="auto"/>
            <w:right w:val="none" w:sz="0" w:space="0" w:color="auto"/>
          </w:divBdr>
        </w:div>
        <w:div w:id="1580407858">
          <w:marLeft w:val="0"/>
          <w:marRight w:val="0"/>
          <w:marTop w:val="0"/>
          <w:marBottom w:val="0"/>
          <w:divBdr>
            <w:top w:val="none" w:sz="0" w:space="0" w:color="auto"/>
            <w:left w:val="none" w:sz="0" w:space="0" w:color="auto"/>
            <w:bottom w:val="none" w:sz="0" w:space="0" w:color="auto"/>
            <w:right w:val="none" w:sz="0" w:space="0" w:color="auto"/>
          </w:divBdr>
        </w:div>
        <w:div w:id="2137021552">
          <w:marLeft w:val="0"/>
          <w:marRight w:val="0"/>
          <w:marTop w:val="0"/>
          <w:marBottom w:val="0"/>
          <w:divBdr>
            <w:top w:val="none" w:sz="0" w:space="0" w:color="auto"/>
            <w:left w:val="none" w:sz="0" w:space="0" w:color="auto"/>
            <w:bottom w:val="none" w:sz="0" w:space="0" w:color="auto"/>
            <w:right w:val="none" w:sz="0" w:space="0" w:color="auto"/>
          </w:divBdr>
        </w:div>
      </w:divsChild>
    </w:div>
    <w:div w:id="1183591929">
      <w:bodyDiv w:val="1"/>
      <w:marLeft w:val="0"/>
      <w:marRight w:val="0"/>
      <w:marTop w:val="0"/>
      <w:marBottom w:val="0"/>
      <w:divBdr>
        <w:top w:val="none" w:sz="0" w:space="0" w:color="auto"/>
        <w:left w:val="none" w:sz="0" w:space="0" w:color="auto"/>
        <w:bottom w:val="none" w:sz="0" w:space="0" w:color="auto"/>
        <w:right w:val="none" w:sz="0" w:space="0" w:color="auto"/>
      </w:divBdr>
    </w:div>
    <w:div w:id="1185553214">
      <w:bodyDiv w:val="1"/>
      <w:marLeft w:val="0"/>
      <w:marRight w:val="0"/>
      <w:marTop w:val="0"/>
      <w:marBottom w:val="0"/>
      <w:divBdr>
        <w:top w:val="none" w:sz="0" w:space="0" w:color="auto"/>
        <w:left w:val="none" w:sz="0" w:space="0" w:color="auto"/>
        <w:bottom w:val="none" w:sz="0" w:space="0" w:color="auto"/>
        <w:right w:val="none" w:sz="0" w:space="0" w:color="auto"/>
      </w:divBdr>
    </w:div>
    <w:div w:id="1210992596">
      <w:bodyDiv w:val="1"/>
      <w:marLeft w:val="0"/>
      <w:marRight w:val="0"/>
      <w:marTop w:val="0"/>
      <w:marBottom w:val="0"/>
      <w:divBdr>
        <w:top w:val="none" w:sz="0" w:space="0" w:color="auto"/>
        <w:left w:val="none" w:sz="0" w:space="0" w:color="auto"/>
        <w:bottom w:val="none" w:sz="0" w:space="0" w:color="auto"/>
        <w:right w:val="none" w:sz="0" w:space="0" w:color="auto"/>
      </w:divBdr>
    </w:div>
    <w:div w:id="1248883342">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0508755">
      <w:bodyDiv w:val="1"/>
      <w:marLeft w:val="0"/>
      <w:marRight w:val="0"/>
      <w:marTop w:val="0"/>
      <w:marBottom w:val="0"/>
      <w:divBdr>
        <w:top w:val="none" w:sz="0" w:space="0" w:color="auto"/>
        <w:left w:val="none" w:sz="0" w:space="0" w:color="auto"/>
        <w:bottom w:val="none" w:sz="0" w:space="0" w:color="auto"/>
        <w:right w:val="none" w:sz="0" w:space="0" w:color="auto"/>
      </w:divBdr>
    </w:div>
    <w:div w:id="1252742632">
      <w:bodyDiv w:val="1"/>
      <w:marLeft w:val="0"/>
      <w:marRight w:val="0"/>
      <w:marTop w:val="0"/>
      <w:marBottom w:val="0"/>
      <w:divBdr>
        <w:top w:val="none" w:sz="0" w:space="0" w:color="auto"/>
        <w:left w:val="none" w:sz="0" w:space="0" w:color="auto"/>
        <w:bottom w:val="none" w:sz="0" w:space="0" w:color="auto"/>
        <w:right w:val="none" w:sz="0" w:space="0" w:color="auto"/>
      </w:divBdr>
    </w:div>
    <w:div w:id="1253860015">
      <w:bodyDiv w:val="1"/>
      <w:marLeft w:val="0"/>
      <w:marRight w:val="0"/>
      <w:marTop w:val="0"/>
      <w:marBottom w:val="0"/>
      <w:divBdr>
        <w:top w:val="none" w:sz="0" w:space="0" w:color="auto"/>
        <w:left w:val="none" w:sz="0" w:space="0" w:color="auto"/>
        <w:bottom w:val="none" w:sz="0" w:space="0" w:color="auto"/>
        <w:right w:val="none" w:sz="0" w:space="0" w:color="auto"/>
      </w:divBdr>
      <w:divsChild>
        <w:div w:id="1007096662">
          <w:marLeft w:val="0"/>
          <w:marRight w:val="0"/>
          <w:marTop w:val="0"/>
          <w:marBottom w:val="0"/>
          <w:divBdr>
            <w:top w:val="none" w:sz="0" w:space="0" w:color="auto"/>
            <w:left w:val="none" w:sz="0" w:space="0" w:color="auto"/>
            <w:bottom w:val="none" w:sz="0" w:space="0" w:color="auto"/>
            <w:right w:val="none" w:sz="0" w:space="0" w:color="auto"/>
          </w:divBdr>
          <w:divsChild>
            <w:div w:id="2070417938">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 w:id="1264847715">
      <w:bodyDiv w:val="1"/>
      <w:marLeft w:val="0"/>
      <w:marRight w:val="0"/>
      <w:marTop w:val="0"/>
      <w:marBottom w:val="0"/>
      <w:divBdr>
        <w:top w:val="none" w:sz="0" w:space="0" w:color="auto"/>
        <w:left w:val="none" w:sz="0" w:space="0" w:color="auto"/>
        <w:bottom w:val="none" w:sz="0" w:space="0" w:color="auto"/>
        <w:right w:val="none" w:sz="0" w:space="0" w:color="auto"/>
      </w:divBdr>
    </w:div>
    <w:div w:id="1303970885">
      <w:bodyDiv w:val="1"/>
      <w:marLeft w:val="0"/>
      <w:marRight w:val="0"/>
      <w:marTop w:val="0"/>
      <w:marBottom w:val="0"/>
      <w:divBdr>
        <w:top w:val="none" w:sz="0" w:space="0" w:color="auto"/>
        <w:left w:val="none" w:sz="0" w:space="0" w:color="auto"/>
        <w:bottom w:val="none" w:sz="0" w:space="0" w:color="auto"/>
        <w:right w:val="none" w:sz="0" w:space="0" w:color="auto"/>
      </w:divBdr>
    </w:div>
    <w:div w:id="1306856297">
      <w:bodyDiv w:val="1"/>
      <w:marLeft w:val="0"/>
      <w:marRight w:val="0"/>
      <w:marTop w:val="0"/>
      <w:marBottom w:val="0"/>
      <w:divBdr>
        <w:top w:val="none" w:sz="0" w:space="0" w:color="auto"/>
        <w:left w:val="none" w:sz="0" w:space="0" w:color="auto"/>
        <w:bottom w:val="none" w:sz="0" w:space="0" w:color="auto"/>
        <w:right w:val="none" w:sz="0" w:space="0" w:color="auto"/>
      </w:divBdr>
    </w:div>
    <w:div w:id="1310983139">
      <w:bodyDiv w:val="1"/>
      <w:marLeft w:val="0"/>
      <w:marRight w:val="0"/>
      <w:marTop w:val="0"/>
      <w:marBottom w:val="0"/>
      <w:divBdr>
        <w:top w:val="none" w:sz="0" w:space="0" w:color="auto"/>
        <w:left w:val="none" w:sz="0" w:space="0" w:color="auto"/>
        <w:bottom w:val="none" w:sz="0" w:space="0" w:color="auto"/>
        <w:right w:val="none" w:sz="0" w:space="0" w:color="auto"/>
      </w:divBdr>
    </w:div>
    <w:div w:id="1312252456">
      <w:bodyDiv w:val="1"/>
      <w:marLeft w:val="0"/>
      <w:marRight w:val="0"/>
      <w:marTop w:val="0"/>
      <w:marBottom w:val="0"/>
      <w:divBdr>
        <w:top w:val="none" w:sz="0" w:space="0" w:color="auto"/>
        <w:left w:val="none" w:sz="0" w:space="0" w:color="auto"/>
        <w:bottom w:val="none" w:sz="0" w:space="0" w:color="auto"/>
        <w:right w:val="none" w:sz="0" w:space="0" w:color="auto"/>
      </w:divBdr>
    </w:div>
    <w:div w:id="1318732164">
      <w:bodyDiv w:val="1"/>
      <w:marLeft w:val="0"/>
      <w:marRight w:val="0"/>
      <w:marTop w:val="0"/>
      <w:marBottom w:val="0"/>
      <w:divBdr>
        <w:top w:val="none" w:sz="0" w:space="0" w:color="auto"/>
        <w:left w:val="none" w:sz="0" w:space="0" w:color="auto"/>
        <w:bottom w:val="none" w:sz="0" w:space="0" w:color="auto"/>
        <w:right w:val="none" w:sz="0" w:space="0" w:color="auto"/>
      </w:divBdr>
    </w:div>
    <w:div w:id="1323587582">
      <w:bodyDiv w:val="1"/>
      <w:marLeft w:val="0"/>
      <w:marRight w:val="0"/>
      <w:marTop w:val="0"/>
      <w:marBottom w:val="0"/>
      <w:divBdr>
        <w:top w:val="none" w:sz="0" w:space="0" w:color="auto"/>
        <w:left w:val="none" w:sz="0" w:space="0" w:color="auto"/>
        <w:bottom w:val="none" w:sz="0" w:space="0" w:color="auto"/>
        <w:right w:val="none" w:sz="0" w:space="0" w:color="auto"/>
      </w:divBdr>
    </w:div>
    <w:div w:id="1344473649">
      <w:bodyDiv w:val="1"/>
      <w:marLeft w:val="0"/>
      <w:marRight w:val="0"/>
      <w:marTop w:val="0"/>
      <w:marBottom w:val="0"/>
      <w:divBdr>
        <w:top w:val="none" w:sz="0" w:space="0" w:color="auto"/>
        <w:left w:val="none" w:sz="0" w:space="0" w:color="auto"/>
        <w:bottom w:val="none" w:sz="0" w:space="0" w:color="auto"/>
        <w:right w:val="none" w:sz="0" w:space="0" w:color="auto"/>
      </w:divBdr>
    </w:div>
    <w:div w:id="1349912479">
      <w:bodyDiv w:val="1"/>
      <w:marLeft w:val="0"/>
      <w:marRight w:val="0"/>
      <w:marTop w:val="0"/>
      <w:marBottom w:val="0"/>
      <w:divBdr>
        <w:top w:val="none" w:sz="0" w:space="0" w:color="auto"/>
        <w:left w:val="none" w:sz="0" w:space="0" w:color="auto"/>
        <w:bottom w:val="none" w:sz="0" w:space="0" w:color="auto"/>
        <w:right w:val="none" w:sz="0" w:space="0" w:color="auto"/>
      </w:divBdr>
    </w:div>
    <w:div w:id="1350571079">
      <w:bodyDiv w:val="1"/>
      <w:marLeft w:val="0"/>
      <w:marRight w:val="0"/>
      <w:marTop w:val="0"/>
      <w:marBottom w:val="0"/>
      <w:divBdr>
        <w:top w:val="none" w:sz="0" w:space="0" w:color="auto"/>
        <w:left w:val="none" w:sz="0" w:space="0" w:color="auto"/>
        <w:bottom w:val="none" w:sz="0" w:space="0" w:color="auto"/>
        <w:right w:val="none" w:sz="0" w:space="0" w:color="auto"/>
      </w:divBdr>
    </w:div>
    <w:div w:id="1373307835">
      <w:bodyDiv w:val="1"/>
      <w:marLeft w:val="0"/>
      <w:marRight w:val="0"/>
      <w:marTop w:val="0"/>
      <w:marBottom w:val="0"/>
      <w:divBdr>
        <w:top w:val="none" w:sz="0" w:space="0" w:color="auto"/>
        <w:left w:val="none" w:sz="0" w:space="0" w:color="auto"/>
        <w:bottom w:val="none" w:sz="0" w:space="0" w:color="auto"/>
        <w:right w:val="none" w:sz="0" w:space="0" w:color="auto"/>
      </w:divBdr>
    </w:div>
    <w:div w:id="1391658050">
      <w:bodyDiv w:val="1"/>
      <w:marLeft w:val="0"/>
      <w:marRight w:val="0"/>
      <w:marTop w:val="0"/>
      <w:marBottom w:val="0"/>
      <w:divBdr>
        <w:top w:val="none" w:sz="0" w:space="0" w:color="auto"/>
        <w:left w:val="none" w:sz="0" w:space="0" w:color="auto"/>
        <w:bottom w:val="none" w:sz="0" w:space="0" w:color="auto"/>
        <w:right w:val="none" w:sz="0" w:space="0" w:color="auto"/>
      </w:divBdr>
    </w:div>
    <w:div w:id="1393964148">
      <w:bodyDiv w:val="1"/>
      <w:marLeft w:val="0"/>
      <w:marRight w:val="0"/>
      <w:marTop w:val="0"/>
      <w:marBottom w:val="0"/>
      <w:divBdr>
        <w:top w:val="none" w:sz="0" w:space="0" w:color="auto"/>
        <w:left w:val="none" w:sz="0" w:space="0" w:color="auto"/>
        <w:bottom w:val="none" w:sz="0" w:space="0" w:color="auto"/>
        <w:right w:val="none" w:sz="0" w:space="0" w:color="auto"/>
      </w:divBdr>
    </w:div>
    <w:div w:id="1402942582">
      <w:bodyDiv w:val="1"/>
      <w:marLeft w:val="0"/>
      <w:marRight w:val="0"/>
      <w:marTop w:val="0"/>
      <w:marBottom w:val="0"/>
      <w:divBdr>
        <w:top w:val="none" w:sz="0" w:space="0" w:color="auto"/>
        <w:left w:val="none" w:sz="0" w:space="0" w:color="auto"/>
        <w:bottom w:val="none" w:sz="0" w:space="0" w:color="auto"/>
        <w:right w:val="none" w:sz="0" w:space="0" w:color="auto"/>
      </w:divBdr>
    </w:div>
    <w:div w:id="1409302836">
      <w:bodyDiv w:val="1"/>
      <w:marLeft w:val="0"/>
      <w:marRight w:val="0"/>
      <w:marTop w:val="0"/>
      <w:marBottom w:val="0"/>
      <w:divBdr>
        <w:top w:val="none" w:sz="0" w:space="0" w:color="auto"/>
        <w:left w:val="none" w:sz="0" w:space="0" w:color="auto"/>
        <w:bottom w:val="none" w:sz="0" w:space="0" w:color="auto"/>
        <w:right w:val="none" w:sz="0" w:space="0" w:color="auto"/>
      </w:divBdr>
    </w:div>
    <w:div w:id="1418357686">
      <w:bodyDiv w:val="1"/>
      <w:marLeft w:val="0"/>
      <w:marRight w:val="0"/>
      <w:marTop w:val="0"/>
      <w:marBottom w:val="0"/>
      <w:divBdr>
        <w:top w:val="none" w:sz="0" w:space="0" w:color="auto"/>
        <w:left w:val="none" w:sz="0" w:space="0" w:color="auto"/>
        <w:bottom w:val="none" w:sz="0" w:space="0" w:color="auto"/>
        <w:right w:val="none" w:sz="0" w:space="0" w:color="auto"/>
      </w:divBdr>
    </w:div>
    <w:div w:id="1423843468">
      <w:bodyDiv w:val="1"/>
      <w:marLeft w:val="0"/>
      <w:marRight w:val="0"/>
      <w:marTop w:val="0"/>
      <w:marBottom w:val="0"/>
      <w:divBdr>
        <w:top w:val="none" w:sz="0" w:space="0" w:color="auto"/>
        <w:left w:val="none" w:sz="0" w:space="0" w:color="auto"/>
        <w:bottom w:val="none" w:sz="0" w:space="0" w:color="auto"/>
        <w:right w:val="none" w:sz="0" w:space="0" w:color="auto"/>
      </w:divBdr>
    </w:div>
    <w:div w:id="1429741502">
      <w:bodyDiv w:val="1"/>
      <w:marLeft w:val="0"/>
      <w:marRight w:val="0"/>
      <w:marTop w:val="0"/>
      <w:marBottom w:val="0"/>
      <w:divBdr>
        <w:top w:val="none" w:sz="0" w:space="0" w:color="auto"/>
        <w:left w:val="none" w:sz="0" w:space="0" w:color="auto"/>
        <w:bottom w:val="none" w:sz="0" w:space="0" w:color="auto"/>
        <w:right w:val="none" w:sz="0" w:space="0" w:color="auto"/>
      </w:divBdr>
    </w:div>
    <w:div w:id="1437871012">
      <w:bodyDiv w:val="1"/>
      <w:marLeft w:val="0"/>
      <w:marRight w:val="0"/>
      <w:marTop w:val="0"/>
      <w:marBottom w:val="0"/>
      <w:divBdr>
        <w:top w:val="none" w:sz="0" w:space="0" w:color="auto"/>
        <w:left w:val="none" w:sz="0" w:space="0" w:color="auto"/>
        <w:bottom w:val="none" w:sz="0" w:space="0" w:color="auto"/>
        <w:right w:val="none" w:sz="0" w:space="0" w:color="auto"/>
      </w:divBdr>
    </w:div>
    <w:div w:id="1442141592">
      <w:bodyDiv w:val="1"/>
      <w:marLeft w:val="0"/>
      <w:marRight w:val="0"/>
      <w:marTop w:val="0"/>
      <w:marBottom w:val="0"/>
      <w:divBdr>
        <w:top w:val="none" w:sz="0" w:space="0" w:color="auto"/>
        <w:left w:val="none" w:sz="0" w:space="0" w:color="auto"/>
        <w:bottom w:val="none" w:sz="0" w:space="0" w:color="auto"/>
        <w:right w:val="none" w:sz="0" w:space="0" w:color="auto"/>
      </w:divBdr>
    </w:div>
    <w:div w:id="1446848903">
      <w:bodyDiv w:val="1"/>
      <w:marLeft w:val="0"/>
      <w:marRight w:val="0"/>
      <w:marTop w:val="0"/>
      <w:marBottom w:val="0"/>
      <w:divBdr>
        <w:top w:val="none" w:sz="0" w:space="0" w:color="auto"/>
        <w:left w:val="none" w:sz="0" w:space="0" w:color="auto"/>
        <w:bottom w:val="none" w:sz="0" w:space="0" w:color="auto"/>
        <w:right w:val="none" w:sz="0" w:space="0" w:color="auto"/>
      </w:divBdr>
    </w:div>
    <w:div w:id="1459566971">
      <w:bodyDiv w:val="1"/>
      <w:marLeft w:val="0"/>
      <w:marRight w:val="0"/>
      <w:marTop w:val="0"/>
      <w:marBottom w:val="0"/>
      <w:divBdr>
        <w:top w:val="none" w:sz="0" w:space="0" w:color="auto"/>
        <w:left w:val="none" w:sz="0" w:space="0" w:color="auto"/>
        <w:bottom w:val="none" w:sz="0" w:space="0" w:color="auto"/>
        <w:right w:val="none" w:sz="0" w:space="0" w:color="auto"/>
      </w:divBdr>
    </w:div>
    <w:div w:id="1474373749">
      <w:bodyDiv w:val="1"/>
      <w:marLeft w:val="0"/>
      <w:marRight w:val="0"/>
      <w:marTop w:val="0"/>
      <w:marBottom w:val="0"/>
      <w:divBdr>
        <w:top w:val="none" w:sz="0" w:space="0" w:color="auto"/>
        <w:left w:val="none" w:sz="0" w:space="0" w:color="auto"/>
        <w:bottom w:val="none" w:sz="0" w:space="0" w:color="auto"/>
        <w:right w:val="none" w:sz="0" w:space="0" w:color="auto"/>
      </w:divBdr>
    </w:div>
    <w:div w:id="1476873318">
      <w:bodyDiv w:val="1"/>
      <w:marLeft w:val="0"/>
      <w:marRight w:val="0"/>
      <w:marTop w:val="0"/>
      <w:marBottom w:val="0"/>
      <w:divBdr>
        <w:top w:val="none" w:sz="0" w:space="0" w:color="auto"/>
        <w:left w:val="none" w:sz="0" w:space="0" w:color="auto"/>
        <w:bottom w:val="none" w:sz="0" w:space="0" w:color="auto"/>
        <w:right w:val="none" w:sz="0" w:space="0" w:color="auto"/>
      </w:divBdr>
    </w:div>
    <w:div w:id="1484810565">
      <w:bodyDiv w:val="1"/>
      <w:marLeft w:val="0"/>
      <w:marRight w:val="0"/>
      <w:marTop w:val="0"/>
      <w:marBottom w:val="0"/>
      <w:divBdr>
        <w:top w:val="none" w:sz="0" w:space="0" w:color="auto"/>
        <w:left w:val="none" w:sz="0" w:space="0" w:color="auto"/>
        <w:bottom w:val="none" w:sz="0" w:space="0" w:color="auto"/>
        <w:right w:val="none" w:sz="0" w:space="0" w:color="auto"/>
      </w:divBdr>
    </w:div>
    <w:div w:id="1487238563">
      <w:bodyDiv w:val="1"/>
      <w:marLeft w:val="0"/>
      <w:marRight w:val="0"/>
      <w:marTop w:val="0"/>
      <w:marBottom w:val="0"/>
      <w:divBdr>
        <w:top w:val="none" w:sz="0" w:space="0" w:color="auto"/>
        <w:left w:val="none" w:sz="0" w:space="0" w:color="auto"/>
        <w:bottom w:val="none" w:sz="0" w:space="0" w:color="auto"/>
        <w:right w:val="none" w:sz="0" w:space="0" w:color="auto"/>
      </w:divBdr>
    </w:div>
    <w:div w:id="1489439533">
      <w:bodyDiv w:val="1"/>
      <w:marLeft w:val="0"/>
      <w:marRight w:val="0"/>
      <w:marTop w:val="0"/>
      <w:marBottom w:val="0"/>
      <w:divBdr>
        <w:top w:val="none" w:sz="0" w:space="0" w:color="auto"/>
        <w:left w:val="none" w:sz="0" w:space="0" w:color="auto"/>
        <w:bottom w:val="none" w:sz="0" w:space="0" w:color="auto"/>
        <w:right w:val="none" w:sz="0" w:space="0" w:color="auto"/>
      </w:divBdr>
    </w:div>
    <w:div w:id="1507938095">
      <w:bodyDiv w:val="1"/>
      <w:marLeft w:val="0"/>
      <w:marRight w:val="0"/>
      <w:marTop w:val="0"/>
      <w:marBottom w:val="0"/>
      <w:divBdr>
        <w:top w:val="none" w:sz="0" w:space="0" w:color="auto"/>
        <w:left w:val="none" w:sz="0" w:space="0" w:color="auto"/>
        <w:bottom w:val="none" w:sz="0" w:space="0" w:color="auto"/>
        <w:right w:val="none" w:sz="0" w:space="0" w:color="auto"/>
      </w:divBdr>
    </w:div>
    <w:div w:id="1509716286">
      <w:bodyDiv w:val="1"/>
      <w:marLeft w:val="0"/>
      <w:marRight w:val="0"/>
      <w:marTop w:val="0"/>
      <w:marBottom w:val="0"/>
      <w:divBdr>
        <w:top w:val="none" w:sz="0" w:space="0" w:color="auto"/>
        <w:left w:val="none" w:sz="0" w:space="0" w:color="auto"/>
        <w:bottom w:val="none" w:sz="0" w:space="0" w:color="auto"/>
        <w:right w:val="none" w:sz="0" w:space="0" w:color="auto"/>
      </w:divBdr>
    </w:div>
    <w:div w:id="1510680990">
      <w:bodyDiv w:val="1"/>
      <w:marLeft w:val="0"/>
      <w:marRight w:val="0"/>
      <w:marTop w:val="0"/>
      <w:marBottom w:val="0"/>
      <w:divBdr>
        <w:top w:val="none" w:sz="0" w:space="0" w:color="auto"/>
        <w:left w:val="none" w:sz="0" w:space="0" w:color="auto"/>
        <w:bottom w:val="none" w:sz="0" w:space="0" w:color="auto"/>
        <w:right w:val="none" w:sz="0" w:space="0" w:color="auto"/>
      </w:divBdr>
    </w:div>
    <w:div w:id="1513181567">
      <w:bodyDiv w:val="1"/>
      <w:marLeft w:val="0"/>
      <w:marRight w:val="0"/>
      <w:marTop w:val="0"/>
      <w:marBottom w:val="0"/>
      <w:divBdr>
        <w:top w:val="none" w:sz="0" w:space="0" w:color="auto"/>
        <w:left w:val="none" w:sz="0" w:space="0" w:color="auto"/>
        <w:bottom w:val="none" w:sz="0" w:space="0" w:color="auto"/>
        <w:right w:val="none" w:sz="0" w:space="0" w:color="auto"/>
      </w:divBdr>
    </w:div>
    <w:div w:id="1533690540">
      <w:bodyDiv w:val="1"/>
      <w:marLeft w:val="0"/>
      <w:marRight w:val="0"/>
      <w:marTop w:val="0"/>
      <w:marBottom w:val="0"/>
      <w:divBdr>
        <w:top w:val="none" w:sz="0" w:space="0" w:color="auto"/>
        <w:left w:val="none" w:sz="0" w:space="0" w:color="auto"/>
        <w:bottom w:val="none" w:sz="0" w:space="0" w:color="auto"/>
        <w:right w:val="none" w:sz="0" w:space="0" w:color="auto"/>
      </w:divBdr>
    </w:div>
    <w:div w:id="1543400560">
      <w:bodyDiv w:val="1"/>
      <w:marLeft w:val="0"/>
      <w:marRight w:val="0"/>
      <w:marTop w:val="0"/>
      <w:marBottom w:val="0"/>
      <w:divBdr>
        <w:top w:val="none" w:sz="0" w:space="0" w:color="auto"/>
        <w:left w:val="none" w:sz="0" w:space="0" w:color="auto"/>
        <w:bottom w:val="none" w:sz="0" w:space="0" w:color="auto"/>
        <w:right w:val="none" w:sz="0" w:space="0" w:color="auto"/>
      </w:divBdr>
    </w:div>
    <w:div w:id="1563590207">
      <w:bodyDiv w:val="1"/>
      <w:marLeft w:val="0"/>
      <w:marRight w:val="0"/>
      <w:marTop w:val="0"/>
      <w:marBottom w:val="0"/>
      <w:divBdr>
        <w:top w:val="none" w:sz="0" w:space="0" w:color="auto"/>
        <w:left w:val="none" w:sz="0" w:space="0" w:color="auto"/>
        <w:bottom w:val="none" w:sz="0" w:space="0" w:color="auto"/>
        <w:right w:val="none" w:sz="0" w:space="0" w:color="auto"/>
      </w:divBdr>
    </w:div>
    <w:div w:id="1563902521">
      <w:bodyDiv w:val="1"/>
      <w:marLeft w:val="0"/>
      <w:marRight w:val="0"/>
      <w:marTop w:val="0"/>
      <w:marBottom w:val="0"/>
      <w:divBdr>
        <w:top w:val="none" w:sz="0" w:space="0" w:color="auto"/>
        <w:left w:val="none" w:sz="0" w:space="0" w:color="auto"/>
        <w:bottom w:val="none" w:sz="0" w:space="0" w:color="auto"/>
        <w:right w:val="none" w:sz="0" w:space="0" w:color="auto"/>
      </w:divBdr>
    </w:div>
    <w:div w:id="1563910072">
      <w:bodyDiv w:val="1"/>
      <w:marLeft w:val="0"/>
      <w:marRight w:val="0"/>
      <w:marTop w:val="0"/>
      <w:marBottom w:val="0"/>
      <w:divBdr>
        <w:top w:val="none" w:sz="0" w:space="0" w:color="auto"/>
        <w:left w:val="none" w:sz="0" w:space="0" w:color="auto"/>
        <w:bottom w:val="none" w:sz="0" w:space="0" w:color="auto"/>
        <w:right w:val="none" w:sz="0" w:space="0" w:color="auto"/>
      </w:divBdr>
    </w:div>
    <w:div w:id="1566138342">
      <w:bodyDiv w:val="1"/>
      <w:marLeft w:val="0"/>
      <w:marRight w:val="0"/>
      <w:marTop w:val="0"/>
      <w:marBottom w:val="0"/>
      <w:divBdr>
        <w:top w:val="none" w:sz="0" w:space="0" w:color="auto"/>
        <w:left w:val="none" w:sz="0" w:space="0" w:color="auto"/>
        <w:bottom w:val="none" w:sz="0" w:space="0" w:color="auto"/>
        <w:right w:val="none" w:sz="0" w:space="0" w:color="auto"/>
      </w:divBdr>
    </w:div>
    <w:div w:id="1566449172">
      <w:bodyDiv w:val="1"/>
      <w:marLeft w:val="0"/>
      <w:marRight w:val="0"/>
      <w:marTop w:val="0"/>
      <w:marBottom w:val="0"/>
      <w:divBdr>
        <w:top w:val="none" w:sz="0" w:space="0" w:color="auto"/>
        <w:left w:val="none" w:sz="0" w:space="0" w:color="auto"/>
        <w:bottom w:val="none" w:sz="0" w:space="0" w:color="auto"/>
        <w:right w:val="none" w:sz="0" w:space="0" w:color="auto"/>
      </w:divBdr>
    </w:div>
    <w:div w:id="1566918436">
      <w:bodyDiv w:val="1"/>
      <w:marLeft w:val="0"/>
      <w:marRight w:val="0"/>
      <w:marTop w:val="0"/>
      <w:marBottom w:val="0"/>
      <w:divBdr>
        <w:top w:val="none" w:sz="0" w:space="0" w:color="auto"/>
        <w:left w:val="none" w:sz="0" w:space="0" w:color="auto"/>
        <w:bottom w:val="none" w:sz="0" w:space="0" w:color="auto"/>
        <w:right w:val="none" w:sz="0" w:space="0" w:color="auto"/>
      </w:divBdr>
      <w:divsChild>
        <w:div w:id="1696999396">
          <w:marLeft w:val="0"/>
          <w:marRight w:val="0"/>
          <w:marTop w:val="0"/>
          <w:marBottom w:val="0"/>
          <w:divBdr>
            <w:top w:val="none" w:sz="0" w:space="0" w:color="auto"/>
            <w:left w:val="none" w:sz="0" w:space="0" w:color="auto"/>
            <w:bottom w:val="none" w:sz="0" w:space="0" w:color="auto"/>
            <w:right w:val="none" w:sz="0" w:space="0" w:color="auto"/>
          </w:divBdr>
          <w:divsChild>
            <w:div w:id="1494833564">
              <w:marLeft w:val="0"/>
              <w:marRight w:val="0"/>
              <w:marTop w:val="0"/>
              <w:marBottom w:val="0"/>
              <w:divBdr>
                <w:top w:val="none" w:sz="0" w:space="0" w:color="auto"/>
                <w:left w:val="none" w:sz="0" w:space="0" w:color="auto"/>
                <w:bottom w:val="none" w:sz="0" w:space="0" w:color="auto"/>
                <w:right w:val="none" w:sz="0" w:space="0" w:color="auto"/>
              </w:divBdr>
              <w:divsChild>
                <w:div w:id="1496722501">
                  <w:marLeft w:val="0"/>
                  <w:marRight w:val="0"/>
                  <w:marTop w:val="0"/>
                  <w:marBottom w:val="0"/>
                  <w:divBdr>
                    <w:top w:val="none" w:sz="0" w:space="0" w:color="auto"/>
                    <w:left w:val="none" w:sz="0" w:space="0" w:color="auto"/>
                    <w:bottom w:val="none" w:sz="0" w:space="0" w:color="auto"/>
                    <w:right w:val="none" w:sz="0" w:space="0" w:color="auto"/>
                  </w:divBdr>
                  <w:divsChild>
                    <w:div w:id="395662721">
                      <w:marLeft w:val="0"/>
                      <w:marRight w:val="0"/>
                      <w:marTop w:val="0"/>
                      <w:marBottom w:val="0"/>
                      <w:divBdr>
                        <w:top w:val="none" w:sz="0" w:space="0" w:color="auto"/>
                        <w:left w:val="none" w:sz="0" w:space="0" w:color="auto"/>
                        <w:bottom w:val="none" w:sz="0" w:space="0" w:color="auto"/>
                        <w:right w:val="none" w:sz="0" w:space="0" w:color="auto"/>
                      </w:divBdr>
                      <w:divsChild>
                        <w:div w:id="2072268155">
                          <w:marLeft w:val="0"/>
                          <w:marRight w:val="0"/>
                          <w:marTop w:val="0"/>
                          <w:marBottom w:val="0"/>
                          <w:divBdr>
                            <w:top w:val="none" w:sz="0" w:space="0" w:color="auto"/>
                            <w:left w:val="none" w:sz="0" w:space="0" w:color="auto"/>
                            <w:bottom w:val="none" w:sz="0" w:space="0" w:color="auto"/>
                            <w:right w:val="none" w:sz="0" w:space="0" w:color="auto"/>
                          </w:divBdr>
                          <w:divsChild>
                            <w:div w:id="437064215">
                              <w:marLeft w:val="0"/>
                              <w:marRight w:val="0"/>
                              <w:marTop w:val="0"/>
                              <w:marBottom w:val="0"/>
                              <w:divBdr>
                                <w:top w:val="none" w:sz="0" w:space="0" w:color="auto"/>
                                <w:left w:val="none" w:sz="0" w:space="0" w:color="auto"/>
                                <w:bottom w:val="none" w:sz="0" w:space="0" w:color="auto"/>
                                <w:right w:val="none" w:sz="0" w:space="0" w:color="auto"/>
                              </w:divBdr>
                              <w:divsChild>
                                <w:div w:id="395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17379">
      <w:bodyDiv w:val="1"/>
      <w:marLeft w:val="0"/>
      <w:marRight w:val="0"/>
      <w:marTop w:val="0"/>
      <w:marBottom w:val="0"/>
      <w:divBdr>
        <w:top w:val="none" w:sz="0" w:space="0" w:color="auto"/>
        <w:left w:val="none" w:sz="0" w:space="0" w:color="auto"/>
        <w:bottom w:val="none" w:sz="0" w:space="0" w:color="auto"/>
        <w:right w:val="none" w:sz="0" w:space="0" w:color="auto"/>
      </w:divBdr>
    </w:div>
    <w:div w:id="1620070977">
      <w:bodyDiv w:val="1"/>
      <w:marLeft w:val="0"/>
      <w:marRight w:val="0"/>
      <w:marTop w:val="0"/>
      <w:marBottom w:val="0"/>
      <w:divBdr>
        <w:top w:val="none" w:sz="0" w:space="0" w:color="auto"/>
        <w:left w:val="none" w:sz="0" w:space="0" w:color="auto"/>
        <w:bottom w:val="none" w:sz="0" w:space="0" w:color="auto"/>
        <w:right w:val="none" w:sz="0" w:space="0" w:color="auto"/>
      </w:divBdr>
    </w:div>
    <w:div w:id="1623268910">
      <w:bodyDiv w:val="1"/>
      <w:marLeft w:val="0"/>
      <w:marRight w:val="0"/>
      <w:marTop w:val="0"/>
      <w:marBottom w:val="0"/>
      <w:divBdr>
        <w:top w:val="none" w:sz="0" w:space="0" w:color="auto"/>
        <w:left w:val="none" w:sz="0" w:space="0" w:color="auto"/>
        <w:bottom w:val="none" w:sz="0" w:space="0" w:color="auto"/>
        <w:right w:val="none" w:sz="0" w:space="0" w:color="auto"/>
      </w:divBdr>
    </w:div>
    <w:div w:id="1627197068">
      <w:bodyDiv w:val="1"/>
      <w:marLeft w:val="0"/>
      <w:marRight w:val="0"/>
      <w:marTop w:val="0"/>
      <w:marBottom w:val="0"/>
      <w:divBdr>
        <w:top w:val="none" w:sz="0" w:space="0" w:color="auto"/>
        <w:left w:val="none" w:sz="0" w:space="0" w:color="auto"/>
        <w:bottom w:val="none" w:sz="0" w:space="0" w:color="auto"/>
        <w:right w:val="none" w:sz="0" w:space="0" w:color="auto"/>
      </w:divBdr>
    </w:div>
    <w:div w:id="1631936178">
      <w:bodyDiv w:val="1"/>
      <w:marLeft w:val="0"/>
      <w:marRight w:val="0"/>
      <w:marTop w:val="0"/>
      <w:marBottom w:val="0"/>
      <w:divBdr>
        <w:top w:val="none" w:sz="0" w:space="0" w:color="auto"/>
        <w:left w:val="none" w:sz="0" w:space="0" w:color="auto"/>
        <w:bottom w:val="none" w:sz="0" w:space="0" w:color="auto"/>
        <w:right w:val="none" w:sz="0" w:space="0" w:color="auto"/>
      </w:divBdr>
    </w:div>
    <w:div w:id="1649699794">
      <w:marLeft w:val="0"/>
      <w:marRight w:val="0"/>
      <w:marTop w:val="0"/>
      <w:marBottom w:val="0"/>
      <w:divBdr>
        <w:top w:val="none" w:sz="0" w:space="0" w:color="auto"/>
        <w:left w:val="none" w:sz="0" w:space="0" w:color="auto"/>
        <w:bottom w:val="none" w:sz="0" w:space="0" w:color="auto"/>
        <w:right w:val="none" w:sz="0" w:space="0" w:color="auto"/>
      </w:divBdr>
      <w:divsChild>
        <w:div w:id="1649699800">
          <w:marLeft w:val="0"/>
          <w:marRight w:val="0"/>
          <w:marTop w:val="0"/>
          <w:marBottom w:val="0"/>
          <w:divBdr>
            <w:top w:val="none" w:sz="0" w:space="0" w:color="auto"/>
            <w:left w:val="none" w:sz="0" w:space="0" w:color="auto"/>
            <w:bottom w:val="none" w:sz="0" w:space="0" w:color="auto"/>
            <w:right w:val="none" w:sz="0" w:space="0" w:color="auto"/>
          </w:divBdr>
          <w:divsChild>
            <w:div w:id="1649699801">
              <w:marLeft w:val="0"/>
              <w:marRight w:val="0"/>
              <w:marTop w:val="0"/>
              <w:marBottom w:val="0"/>
              <w:divBdr>
                <w:top w:val="none" w:sz="0" w:space="0" w:color="auto"/>
                <w:left w:val="none" w:sz="0" w:space="0" w:color="auto"/>
                <w:bottom w:val="none" w:sz="0" w:space="0" w:color="auto"/>
                <w:right w:val="none" w:sz="0" w:space="0" w:color="auto"/>
              </w:divBdr>
              <w:divsChild>
                <w:div w:id="1649699795">
                  <w:marLeft w:val="0"/>
                  <w:marRight w:val="0"/>
                  <w:marTop w:val="0"/>
                  <w:marBottom w:val="0"/>
                  <w:divBdr>
                    <w:top w:val="none" w:sz="0" w:space="0" w:color="auto"/>
                    <w:left w:val="none" w:sz="0" w:space="0" w:color="auto"/>
                    <w:bottom w:val="none" w:sz="0" w:space="0" w:color="auto"/>
                    <w:right w:val="none" w:sz="0" w:space="0" w:color="auto"/>
                  </w:divBdr>
                  <w:divsChild>
                    <w:div w:id="16496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99796">
      <w:marLeft w:val="0"/>
      <w:marRight w:val="0"/>
      <w:marTop w:val="0"/>
      <w:marBottom w:val="0"/>
      <w:divBdr>
        <w:top w:val="none" w:sz="0" w:space="0" w:color="auto"/>
        <w:left w:val="none" w:sz="0" w:space="0" w:color="auto"/>
        <w:bottom w:val="none" w:sz="0" w:space="0" w:color="auto"/>
        <w:right w:val="none" w:sz="0" w:space="0" w:color="auto"/>
      </w:divBdr>
      <w:divsChild>
        <w:div w:id="1649699791">
          <w:marLeft w:val="0"/>
          <w:marRight w:val="0"/>
          <w:marTop w:val="0"/>
          <w:marBottom w:val="0"/>
          <w:divBdr>
            <w:top w:val="none" w:sz="0" w:space="0" w:color="auto"/>
            <w:left w:val="none" w:sz="0" w:space="0" w:color="auto"/>
            <w:bottom w:val="none" w:sz="0" w:space="0" w:color="auto"/>
            <w:right w:val="none" w:sz="0" w:space="0" w:color="auto"/>
          </w:divBdr>
          <w:divsChild>
            <w:div w:id="1649699797">
              <w:marLeft w:val="0"/>
              <w:marRight w:val="0"/>
              <w:marTop w:val="0"/>
              <w:marBottom w:val="0"/>
              <w:divBdr>
                <w:top w:val="none" w:sz="0" w:space="0" w:color="auto"/>
                <w:left w:val="none" w:sz="0" w:space="0" w:color="auto"/>
                <w:bottom w:val="none" w:sz="0" w:space="0" w:color="auto"/>
                <w:right w:val="none" w:sz="0" w:space="0" w:color="auto"/>
              </w:divBdr>
              <w:divsChild>
                <w:div w:id="1649699792">
                  <w:marLeft w:val="0"/>
                  <w:marRight w:val="0"/>
                  <w:marTop w:val="0"/>
                  <w:marBottom w:val="0"/>
                  <w:divBdr>
                    <w:top w:val="none" w:sz="0" w:space="0" w:color="auto"/>
                    <w:left w:val="none" w:sz="0" w:space="0" w:color="auto"/>
                    <w:bottom w:val="none" w:sz="0" w:space="0" w:color="auto"/>
                    <w:right w:val="none" w:sz="0" w:space="0" w:color="auto"/>
                  </w:divBdr>
                  <w:divsChild>
                    <w:div w:id="1649699799">
                      <w:marLeft w:val="0"/>
                      <w:marRight w:val="0"/>
                      <w:marTop w:val="0"/>
                      <w:marBottom w:val="0"/>
                      <w:divBdr>
                        <w:top w:val="none" w:sz="0" w:space="0" w:color="auto"/>
                        <w:left w:val="none" w:sz="0" w:space="0" w:color="auto"/>
                        <w:bottom w:val="none" w:sz="0" w:space="0" w:color="auto"/>
                        <w:right w:val="none" w:sz="0" w:space="0" w:color="auto"/>
                      </w:divBdr>
                      <w:divsChild>
                        <w:div w:id="1649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699802">
      <w:marLeft w:val="0"/>
      <w:marRight w:val="0"/>
      <w:marTop w:val="0"/>
      <w:marBottom w:val="0"/>
      <w:divBdr>
        <w:top w:val="none" w:sz="0" w:space="0" w:color="auto"/>
        <w:left w:val="none" w:sz="0" w:space="0" w:color="auto"/>
        <w:bottom w:val="none" w:sz="0" w:space="0" w:color="auto"/>
        <w:right w:val="none" w:sz="0" w:space="0" w:color="auto"/>
      </w:divBdr>
    </w:div>
    <w:div w:id="1649699806">
      <w:marLeft w:val="0"/>
      <w:marRight w:val="0"/>
      <w:marTop w:val="0"/>
      <w:marBottom w:val="0"/>
      <w:divBdr>
        <w:top w:val="none" w:sz="0" w:space="0" w:color="auto"/>
        <w:left w:val="none" w:sz="0" w:space="0" w:color="auto"/>
        <w:bottom w:val="none" w:sz="0" w:space="0" w:color="auto"/>
        <w:right w:val="none" w:sz="0" w:space="0" w:color="auto"/>
      </w:divBdr>
      <w:divsChild>
        <w:div w:id="1649699804">
          <w:marLeft w:val="0"/>
          <w:marRight w:val="0"/>
          <w:marTop w:val="0"/>
          <w:marBottom w:val="0"/>
          <w:divBdr>
            <w:top w:val="none" w:sz="0" w:space="0" w:color="auto"/>
            <w:left w:val="none" w:sz="0" w:space="0" w:color="auto"/>
            <w:bottom w:val="none" w:sz="0" w:space="0" w:color="auto"/>
            <w:right w:val="none" w:sz="0" w:space="0" w:color="auto"/>
          </w:divBdr>
        </w:div>
        <w:div w:id="1649699805">
          <w:marLeft w:val="0"/>
          <w:marRight w:val="0"/>
          <w:marTop w:val="0"/>
          <w:marBottom w:val="0"/>
          <w:divBdr>
            <w:top w:val="none" w:sz="0" w:space="0" w:color="auto"/>
            <w:left w:val="none" w:sz="0" w:space="0" w:color="auto"/>
            <w:bottom w:val="none" w:sz="0" w:space="0" w:color="auto"/>
            <w:right w:val="none" w:sz="0" w:space="0" w:color="auto"/>
          </w:divBdr>
        </w:div>
      </w:divsChild>
    </w:div>
    <w:div w:id="1649699807">
      <w:marLeft w:val="0"/>
      <w:marRight w:val="0"/>
      <w:marTop w:val="0"/>
      <w:marBottom w:val="0"/>
      <w:divBdr>
        <w:top w:val="none" w:sz="0" w:space="0" w:color="auto"/>
        <w:left w:val="none" w:sz="0" w:space="0" w:color="auto"/>
        <w:bottom w:val="none" w:sz="0" w:space="0" w:color="auto"/>
        <w:right w:val="none" w:sz="0" w:space="0" w:color="auto"/>
      </w:divBdr>
      <w:divsChild>
        <w:div w:id="1649699803">
          <w:marLeft w:val="0"/>
          <w:marRight w:val="0"/>
          <w:marTop w:val="0"/>
          <w:marBottom w:val="0"/>
          <w:divBdr>
            <w:top w:val="none" w:sz="0" w:space="0" w:color="auto"/>
            <w:left w:val="none" w:sz="0" w:space="0" w:color="auto"/>
            <w:bottom w:val="none" w:sz="0" w:space="0" w:color="auto"/>
            <w:right w:val="none" w:sz="0" w:space="0" w:color="auto"/>
          </w:divBdr>
        </w:div>
        <w:div w:id="1649699808">
          <w:marLeft w:val="0"/>
          <w:marRight w:val="0"/>
          <w:marTop w:val="0"/>
          <w:marBottom w:val="0"/>
          <w:divBdr>
            <w:top w:val="none" w:sz="0" w:space="0" w:color="auto"/>
            <w:left w:val="none" w:sz="0" w:space="0" w:color="auto"/>
            <w:bottom w:val="none" w:sz="0" w:space="0" w:color="auto"/>
            <w:right w:val="none" w:sz="0" w:space="0" w:color="auto"/>
          </w:divBdr>
        </w:div>
      </w:divsChild>
    </w:div>
    <w:div w:id="1654723827">
      <w:bodyDiv w:val="1"/>
      <w:marLeft w:val="0"/>
      <w:marRight w:val="0"/>
      <w:marTop w:val="0"/>
      <w:marBottom w:val="0"/>
      <w:divBdr>
        <w:top w:val="none" w:sz="0" w:space="0" w:color="auto"/>
        <w:left w:val="none" w:sz="0" w:space="0" w:color="auto"/>
        <w:bottom w:val="none" w:sz="0" w:space="0" w:color="auto"/>
        <w:right w:val="none" w:sz="0" w:space="0" w:color="auto"/>
      </w:divBdr>
    </w:div>
    <w:div w:id="1658727746">
      <w:bodyDiv w:val="1"/>
      <w:marLeft w:val="0"/>
      <w:marRight w:val="0"/>
      <w:marTop w:val="0"/>
      <w:marBottom w:val="0"/>
      <w:divBdr>
        <w:top w:val="none" w:sz="0" w:space="0" w:color="auto"/>
        <w:left w:val="none" w:sz="0" w:space="0" w:color="auto"/>
        <w:bottom w:val="none" w:sz="0" w:space="0" w:color="auto"/>
        <w:right w:val="none" w:sz="0" w:space="0" w:color="auto"/>
      </w:divBdr>
    </w:div>
    <w:div w:id="1666085902">
      <w:bodyDiv w:val="1"/>
      <w:marLeft w:val="0"/>
      <w:marRight w:val="0"/>
      <w:marTop w:val="0"/>
      <w:marBottom w:val="0"/>
      <w:divBdr>
        <w:top w:val="none" w:sz="0" w:space="0" w:color="auto"/>
        <w:left w:val="none" w:sz="0" w:space="0" w:color="auto"/>
        <w:bottom w:val="none" w:sz="0" w:space="0" w:color="auto"/>
        <w:right w:val="none" w:sz="0" w:space="0" w:color="auto"/>
      </w:divBdr>
    </w:div>
    <w:div w:id="1675718216">
      <w:bodyDiv w:val="1"/>
      <w:marLeft w:val="0"/>
      <w:marRight w:val="0"/>
      <w:marTop w:val="0"/>
      <w:marBottom w:val="0"/>
      <w:divBdr>
        <w:top w:val="none" w:sz="0" w:space="0" w:color="auto"/>
        <w:left w:val="none" w:sz="0" w:space="0" w:color="auto"/>
        <w:bottom w:val="none" w:sz="0" w:space="0" w:color="auto"/>
        <w:right w:val="none" w:sz="0" w:space="0" w:color="auto"/>
      </w:divBdr>
    </w:div>
    <w:div w:id="1705979736">
      <w:bodyDiv w:val="1"/>
      <w:marLeft w:val="0"/>
      <w:marRight w:val="0"/>
      <w:marTop w:val="0"/>
      <w:marBottom w:val="0"/>
      <w:divBdr>
        <w:top w:val="none" w:sz="0" w:space="0" w:color="auto"/>
        <w:left w:val="none" w:sz="0" w:space="0" w:color="auto"/>
        <w:bottom w:val="none" w:sz="0" w:space="0" w:color="auto"/>
        <w:right w:val="none" w:sz="0" w:space="0" w:color="auto"/>
      </w:divBdr>
    </w:div>
    <w:div w:id="1711608564">
      <w:bodyDiv w:val="1"/>
      <w:marLeft w:val="0"/>
      <w:marRight w:val="0"/>
      <w:marTop w:val="0"/>
      <w:marBottom w:val="0"/>
      <w:divBdr>
        <w:top w:val="none" w:sz="0" w:space="0" w:color="auto"/>
        <w:left w:val="none" w:sz="0" w:space="0" w:color="auto"/>
        <w:bottom w:val="none" w:sz="0" w:space="0" w:color="auto"/>
        <w:right w:val="none" w:sz="0" w:space="0" w:color="auto"/>
      </w:divBdr>
    </w:div>
    <w:div w:id="1714234763">
      <w:bodyDiv w:val="1"/>
      <w:marLeft w:val="0"/>
      <w:marRight w:val="0"/>
      <w:marTop w:val="0"/>
      <w:marBottom w:val="0"/>
      <w:divBdr>
        <w:top w:val="none" w:sz="0" w:space="0" w:color="auto"/>
        <w:left w:val="none" w:sz="0" w:space="0" w:color="auto"/>
        <w:bottom w:val="none" w:sz="0" w:space="0" w:color="auto"/>
        <w:right w:val="none" w:sz="0" w:space="0" w:color="auto"/>
      </w:divBdr>
    </w:div>
    <w:div w:id="1718552768">
      <w:bodyDiv w:val="1"/>
      <w:marLeft w:val="0"/>
      <w:marRight w:val="0"/>
      <w:marTop w:val="0"/>
      <w:marBottom w:val="0"/>
      <w:divBdr>
        <w:top w:val="none" w:sz="0" w:space="0" w:color="auto"/>
        <w:left w:val="none" w:sz="0" w:space="0" w:color="auto"/>
        <w:bottom w:val="none" w:sz="0" w:space="0" w:color="auto"/>
        <w:right w:val="none" w:sz="0" w:space="0" w:color="auto"/>
      </w:divBdr>
    </w:div>
    <w:div w:id="1736854805">
      <w:bodyDiv w:val="1"/>
      <w:marLeft w:val="0"/>
      <w:marRight w:val="0"/>
      <w:marTop w:val="0"/>
      <w:marBottom w:val="0"/>
      <w:divBdr>
        <w:top w:val="none" w:sz="0" w:space="0" w:color="auto"/>
        <w:left w:val="none" w:sz="0" w:space="0" w:color="auto"/>
        <w:bottom w:val="none" w:sz="0" w:space="0" w:color="auto"/>
        <w:right w:val="none" w:sz="0" w:space="0" w:color="auto"/>
      </w:divBdr>
    </w:div>
    <w:div w:id="1747024764">
      <w:bodyDiv w:val="1"/>
      <w:marLeft w:val="0"/>
      <w:marRight w:val="0"/>
      <w:marTop w:val="0"/>
      <w:marBottom w:val="0"/>
      <w:divBdr>
        <w:top w:val="none" w:sz="0" w:space="0" w:color="auto"/>
        <w:left w:val="none" w:sz="0" w:space="0" w:color="auto"/>
        <w:bottom w:val="none" w:sz="0" w:space="0" w:color="auto"/>
        <w:right w:val="none" w:sz="0" w:space="0" w:color="auto"/>
      </w:divBdr>
    </w:div>
    <w:div w:id="1748530467">
      <w:bodyDiv w:val="1"/>
      <w:marLeft w:val="0"/>
      <w:marRight w:val="0"/>
      <w:marTop w:val="0"/>
      <w:marBottom w:val="0"/>
      <w:divBdr>
        <w:top w:val="none" w:sz="0" w:space="0" w:color="auto"/>
        <w:left w:val="none" w:sz="0" w:space="0" w:color="auto"/>
        <w:bottom w:val="none" w:sz="0" w:space="0" w:color="auto"/>
        <w:right w:val="none" w:sz="0" w:space="0" w:color="auto"/>
      </w:divBdr>
    </w:div>
    <w:div w:id="1759399047">
      <w:bodyDiv w:val="1"/>
      <w:marLeft w:val="0"/>
      <w:marRight w:val="0"/>
      <w:marTop w:val="0"/>
      <w:marBottom w:val="0"/>
      <w:divBdr>
        <w:top w:val="none" w:sz="0" w:space="0" w:color="auto"/>
        <w:left w:val="none" w:sz="0" w:space="0" w:color="auto"/>
        <w:bottom w:val="none" w:sz="0" w:space="0" w:color="auto"/>
        <w:right w:val="none" w:sz="0" w:space="0" w:color="auto"/>
      </w:divBdr>
    </w:div>
    <w:div w:id="1760830736">
      <w:bodyDiv w:val="1"/>
      <w:marLeft w:val="0"/>
      <w:marRight w:val="0"/>
      <w:marTop w:val="0"/>
      <w:marBottom w:val="0"/>
      <w:divBdr>
        <w:top w:val="none" w:sz="0" w:space="0" w:color="auto"/>
        <w:left w:val="none" w:sz="0" w:space="0" w:color="auto"/>
        <w:bottom w:val="none" w:sz="0" w:space="0" w:color="auto"/>
        <w:right w:val="none" w:sz="0" w:space="0" w:color="auto"/>
      </w:divBdr>
    </w:div>
    <w:div w:id="1763451479">
      <w:bodyDiv w:val="1"/>
      <w:marLeft w:val="0"/>
      <w:marRight w:val="0"/>
      <w:marTop w:val="0"/>
      <w:marBottom w:val="0"/>
      <w:divBdr>
        <w:top w:val="none" w:sz="0" w:space="0" w:color="auto"/>
        <w:left w:val="none" w:sz="0" w:space="0" w:color="auto"/>
        <w:bottom w:val="none" w:sz="0" w:space="0" w:color="auto"/>
        <w:right w:val="none" w:sz="0" w:space="0" w:color="auto"/>
      </w:divBdr>
    </w:div>
    <w:div w:id="1769809142">
      <w:bodyDiv w:val="1"/>
      <w:marLeft w:val="0"/>
      <w:marRight w:val="0"/>
      <w:marTop w:val="0"/>
      <w:marBottom w:val="0"/>
      <w:divBdr>
        <w:top w:val="none" w:sz="0" w:space="0" w:color="auto"/>
        <w:left w:val="none" w:sz="0" w:space="0" w:color="auto"/>
        <w:bottom w:val="none" w:sz="0" w:space="0" w:color="auto"/>
        <w:right w:val="none" w:sz="0" w:space="0" w:color="auto"/>
      </w:divBdr>
    </w:div>
    <w:div w:id="1779718604">
      <w:bodyDiv w:val="1"/>
      <w:marLeft w:val="0"/>
      <w:marRight w:val="0"/>
      <w:marTop w:val="0"/>
      <w:marBottom w:val="0"/>
      <w:divBdr>
        <w:top w:val="none" w:sz="0" w:space="0" w:color="auto"/>
        <w:left w:val="none" w:sz="0" w:space="0" w:color="auto"/>
        <w:bottom w:val="none" w:sz="0" w:space="0" w:color="auto"/>
        <w:right w:val="none" w:sz="0" w:space="0" w:color="auto"/>
      </w:divBdr>
    </w:div>
    <w:div w:id="1780828238">
      <w:bodyDiv w:val="1"/>
      <w:marLeft w:val="0"/>
      <w:marRight w:val="0"/>
      <w:marTop w:val="0"/>
      <w:marBottom w:val="0"/>
      <w:divBdr>
        <w:top w:val="none" w:sz="0" w:space="0" w:color="auto"/>
        <w:left w:val="none" w:sz="0" w:space="0" w:color="auto"/>
        <w:bottom w:val="none" w:sz="0" w:space="0" w:color="auto"/>
        <w:right w:val="none" w:sz="0" w:space="0" w:color="auto"/>
      </w:divBdr>
    </w:div>
    <w:div w:id="1789230054">
      <w:bodyDiv w:val="1"/>
      <w:marLeft w:val="0"/>
      <w:marRight w:val="0"/>
      <w:marTop w:val="0"/>
      <w:marBottom w:val="0"/>
      <w:divBdr>
        <w:top w:val="none" w:sz="0" w:space="0" w:color="auto"/>
        <w:left w:val="none" w:sz="0" w:space="0" w:color="auto"/>
        <w:bottom w:val="none" w:sz="0" w:space="0" w:color="auto"/>
        <w:right w:val="none" w:sz="0" w:space="0" w:color="auto"/>
      </w:divBdr>
    </w:div>
    <w:div w:id="1789471860">
      <w:bodyDiv w:val="1"/>
      <w:marLeft w:val="0"/>
      <w:marRight w:val="0"/>
      <w:marTop w:val="0"/>
      <w:marBottom w:val="0"/>
      <w:divBdr>
        <w:top w:val="none" w:sz="0" w:space="0" w:color="auto"/>
        <w:left w:val="none" w:sz="0" w:space="0" w:color="auto"/>
        <w:bottom w:val="none" w:sz="0" w:space="0" w:color="auto"/>
        <w:right w:val="none" w:sz="0" w:space="0" w:color="auto"/>
      </w:divBdr>
    </w:div>
    <w:div w:id="1794127665">
      <w:bodyDiv w:val="1"/>
      <w:marLeft w:val="0"/>
      <w:marRight w:val="0"/>
      <w:marTop w:val="0"/>
      <w:marBottom w:val="0"/>
      <w:divBdr>
        <w:top w:val="none" w:sz="0" w:space="0" w:color="auto"/>
        <w:left w:val="none" w:sz="0" w:space="0" w:color="auto"/>
        <w:bottom w:val="none" w:sz="0" w:space="0" w:color="auto"/>
        <w:right w:val="none" w:sz="0" w:space="0" w:color="auto"/>
      </w:divBdr>
    </w:div>
    <w:div w:id="1796170079">
      <w:bodyDiv w:val="1"/>
      <w:marLeft w:val="0"/>
      <w:marRight w:val="0"/>
      <w:marTop w:val="0"/>
      <w:marBottom w:val="0"/>
      <w:divBdr>
        <w:top w:val="none" w:sz="0" w:space="0" w:color="auto"/>
        <w:left w:val="none" w:sz="0" w:space="0" w:color="auto"/>
        <w:bottom w:val="none" w:sz="0" w:space="0" w:color="auto"/>
        <w:right w:val="none" w:sz="0" w:space="0" w:color="auto"/>
      </w:divBdr>
    </w:div>
    <w:div w:id="1797722277">
      <w:bodyDiv w:val="1"/>
      <w:marLeft w:val="0"/>
      <w:marRight w:val="0"/>
      <w:marTop w:val="0"/>
      <w:marBottom w:val="0"/>
      <w:divBdr>
        <w:top w:val="none" w:sz="0" w:space="0" w:color="auto"/>
        <w:left w:val="none" w:sz="0" w:space="0" w:color="auto"/>
        <w:bottom w:val="none" w:sz="0" w:space="0" w:color="auto"/>
        <w:right w:val="none" w:sz="0" w:space="0" w:color="auto"/>
      </w:divBdr>
    </w:div>
    <w:div w:id="1802306562">
      <w:bodyDiv w:val="1"/>
      <w:marLeft w:val="0"/>
      <w:marRight w:val="0"/>
      <w:marTop w:val="0"/>
      <w:marBottom w:val="0"/>
      <w:divBdr>
        <w:top w:val="none" w:sz="0" w:space="0" w:color="auto"/>
        <w:left w:val="none" w:sz="0" w:space="0" w:color="auto"/>
        <w:bottom w:val="none" w:sz="0" w:space="0" w:color="auto"/>
        <w:right w:val="none" w:sz="0" w:space="0" w:color="auto"/>
      </w:divBdr>
    </w:div>
    <w:div w:id="1809202037">
      <w:bodyDiv w:val="1"/>
      <w:marLeft w:val="0"/>
      <w:marRight w:val="0"/>
      <w:marTop w:val="0"/>
      <w:marBottom w:val="0"/>
      <w:divBdr>
        <w:top w:val="none" w:sz="0" w:space="0" w:color="auto"/>
        <w:left w:val="none" w:sz="0" w:space="0" w:color="auto"/>
        <w:bottom w:val="none" w:sz="0" w:space="0" w:color="auto"/>
        <w:right w:val="none" w:sz="0" w:space="0" w:color="auto"/>
      </w:divBdr>
    </w:div>
    <w:div w:id="1821000253">
      <w:bodyDiv w:val="1"/>
      <w:marLeft w:val="0"/>
      <w:marRight w:val="0"/>
      <w:marTop w:val="0"/>
      <w:marBottom w:val="0"/>
      <w:divBdr>
        <w:top w:val="none" w:sz="0" w:space="0" w:color="auto"/>
        <w:left w:val="none" w:sz="0" w:space="0" w:color="auto"/>
        <w:bottom w:val="none" w:sz="0" w:space="0" w:color="auto"/>
        <w:right w:val="none" w:sz="0" w:space="0" w:color="auto"/>
      </w:divBdr>
    </w:div>
    <w:div w:id="1825001206">
      <w:bodyDiv w:val="1"/>
      <w:marLeft w:val="0"/>
      <w:marRight w:val="0"/>
      <w:marTop w:val="0"/>
      <w:marBottom w:val="0"/>
      <w:divBdr>
        <w:top w:val="none" w:sz="0" w:space="0" w:color="auto"/>
        <w:left w:val="none" w:sz="0" w:space="0" w:color="auto"/>
        <w:bottom w:val="none" w:sz="0" w:space="0" w:color="auto"/>
        <w:right w:val="none" w:sz="0" w:space="0" w:color="auto"/>
      </w:divBdr>
    </w:div>
    <w:div w:id="1833330221">
      <w:bodyDiv w:val="1"/>
      <w:marLeft w:val="0"/>
      <w:marRight w:val="0"/>
      <w:marTop w:val="0"/>
      <w:marBottom w:val="0"/>
      <w:divBdr>
        <w:top w:val="none" w:sz="0" w:space="0" w:color="auto"/>
        <w:left w:val="none" w:sz="0" w:space="0" w:color="auto"/>
        <w:bottom w:val="none" w:sz="0" w:space="0" w:color="auto"/>
        <w:right w:val="none" w:sz="0" w:space="0" w:color="auto"/>
      </w:divBdr>
    </w:div>
    <w:div w:id="1841045441">
      <w:bodyDiv w:val="1"/>
      <w:marLeft w:val="0"/>
      <w:marRight w:val="0"/>
      <w:marTop w:val="0"/>
      <w:marBottom w:val="0"/>
      <w:divBdr>
        <w:top w:val="none" w:sz="0" w:space="0" w:color="auto"/>
        <w:left w:val="none" w:sz="0" w:space="0" w:color="auto"/>
        <w:bottom w:val="none" w:sz="0" w:space="0" w:color="auto"/>
        <w:right w:val="none" w:sz="0" w:space="0" w:color="auto"/>
      </w:divBdr>
    </w:div>
    <w:div w:id="1870290140">
      <w:bodyDiv w:val="1"/>
      <w:marLeft w:val="0"/>
      <w:marRight w:val="0"/>
      <w:marTop w:val="0"/>
      <w:marBottom w:val="0"/>
      <w:divBdr>
        <w:top w:val="none" w:sz="0" w:space="0" w:color="auto"/>
        <w:left w:val="none" w:sz="0" w:space="0" w:color="auto"/>
        <w:bottom w:val="none" w:sz="0" w:space="0" w:color="auto"/>
        <w:right w:val="none" w:sz="0" w:space="0" w:color="auto"/>
      </w:divBdr>
      <w:divsChild>
        <w:div w:id="982974617">
          <w:marLeft w:val="0"/>
          <w:marRight w:val="0"/>
          <w:marTop w:val="0"/>
          <w:marBottom w:val="0"/>
          <w:divBdr>
            <w:top w:val="none" w:sz="0" w:space="0" w:color="auto"/>
            <w:left w:val="none" w:sz="0" w:space="0" w:color="auto"/>
            <w:bottom w:val="none" w:sz="0" w:space="0" w:color="auto"/>
            <w:right w:val="none" w:sz="0" w:space="0" w:color="auto"/>
          </w:divBdr>
          <w:divsChild>
            <w:div w:id="1352561870">
              <w:marLeft w:val="0"/>
              <w:marRight w:val="0"/>
              <w:marTop w:val="0"/>
              <w:marBottom w:val="0"/>
              <w:divBdr>
                <w:top w:val="none" w:sz="0" w:space="0" w:color="auto"/>
                <w:left w:val="none" w:sz="0" w:space="0" w:color="auto"/>
                <w:bottom w:val="none" w:sz="0" w:space="0" w:color="auto"/>
                <w:right w:val="none" w:sz="0" w:space="0" w:color="auto"/>
              </w:divBdr>
              <w:divsChild>
                <w:div w:id="644623148">
                  <w:marLeft w:val="0"/>
                  <w:marRight w:val="0"/>
                  <w:marTop w:val="0"/>
                  <w:marBottom w:val="0"/>
                  <w:divBdr>
                    <w:top w:val="none" w:sz="0" w:space="0" w:color="auto"/>
                    <w:left w:val="none" w:sz="0" w:space="0" w:color="auto"/>
                    <w:bottom w:val="none" w:sz="0" w:space="0" w:color="auto"/>
                    <w:right w:val="none" w:sz="0" w:space="0" w:color="auto"/>
                  </w:divBdr>
                  <w:divsChild>
                    <w:div w:id="240797315">
                      <w:marLeft w:val="0"/>
                      <w:marRight w:val="0"/>
                      <w:marTop w:val="0"/>
                      <w:marBottom w:val="0"/>
                      <w:divBdr>
                        <w:top w:val="none" w:sz="0" w:space="0" w:color="auto"/>
                        <w:left w:val="none" w:sz="0" w:space="0" w:color="auto"/>
                        <w:bottom w:val="none" w:sz="0" w:space="0" w:color="auto"/>
                        <w:right w:val="none" w:sz="0" w:space="0" w:color="auto"/>
                      </w:divBdr>
                      <w:divsChild>
                        <w:div w:id="77754016">
                          <w:marLeft w:val="0"/>
                          <w:marRight w:val="0"/>
                          <w:marTop w:val="0"/>
                          <w:marBottom w:val="0"/>
                          <w:divBdr>
                            <w:top w:val="none" w:sz="0" w:space="0" w:color="auto"/>
                            <w:left w:val="none" w:sz="0" w:space="0" w:color="auto"/>
                            <w:bottom w:val="none" w:sz="0" w:space="0" w:color="auto"/>
                            <w:right w:val="none" w:sz="0" w:space="0" w:color="auto"/>
                          </w:divBdr>
                          <w:divsChild>
                            <w:div w:id="1183398529">
                              <w:marLeft w:val="0"/>
                              <w:marRight w:val="0"/>
                              <w:marTop w:val="0"/>
                              <w:marBottom w:val="0"/>
                              <w:divBdr>
                                <w:top w:val="none" w:sz="0" w:space="0" w:color="auto"/>
                                <w:left w:val="none" w:sz="0" w:space="0" w:color="auto"/>
                                <w:bottom w:val="none" w:sz="0" w:space="0" w:color="auto"/>
                                <w:right w:val="none" w:sz="0" w:space="0" w:color="auto"/>
                              </w:divBdr>
                              <w:divsChild>
                                <w:div w:id="14138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093127">
      <w:bodyDiv w:val="1"/>
      <w:marLeft w:val="0"/>
      <w:marRight w:val="0"/>
      <w:marTop w:val="0"/>
      <w:marBottom w:val="0"/>
      <w:divBdr>
        <w:top w:val="none" w:sz="0" w:space="0" w:color="auto"/>
        <w:left w:val="none" w:sz="0" w:space="0" w:color="auto"/>
        <w:bottom w:val="none" w:sz="0" w:space="0" w:color="auto"/>
        <w:right w:val="none" w:sz="0" w:space="0" w:color="auto"/>
      </w:divBdr>
    </w:div>
    <w:div w:id="1882132211">
      <w:bodyDiv w:val="1"/>
      <w:marLeft w:val="0"/>
      <w:marRight w:val="0"/>
      <w:marTop w:val="0"/>
      <w:marBottom w:val="0"/>
      <w:divBdr>
        <w:top w:val="none" w:sz="0" w:space="0" w:color="auto"/>
        <w:left w:val="none" w:sz="0" w:space="0" w:color="auto"/>
        <w:bottom w:val="none" w:sz="0" w:space="0" w:color="auto"/>
        <w:right w:val="none" w:sz="0" w:space="0" w:color="auto"/>
      </w:divBdr>
    </w:div>
    <w:div w:id="1884445264">
      <w:bodyDiv w:val="1"/>
      <w:marLeft w:val="0"/>
      <w:marRight w:val="0"/>
      <w:marTop w:val="0"/>
      <w:marBottom w:val="0"/>
      <w:divBdr>
        <w:top w:val="none" w:sz="0" w:space="0" w:color="auto"/>
        <w:left w:val="none" w:sz="0" w:space="0" w:color="auto"/>
        <w:bottom w:val="none" w:sz="0" w:space="0" w:color="auto"/>
        <w:right w:val="none" w:sz="0" w:space="0" w:color="auto"/>
      </w:divBdr>
    </w:div>
    <w:div w:id="1926062379">
      <w:bodyDiv w:val="1"/>
      <w:marLeft w:val="0"/>
      <w:marRight w:val="0"/>
      <w:marTop w:val="0"/>
      <w:marBottom w:val="0"/>
      <w:divBdr>
        <w:top w:val="none" w:sz="0" w:space="0" w:color="auto"/>
        <w:left w:val="none" w:sz="0" w:space="0" w:color="auto"/>
        <w:bottom w:val="none" w:sz="0" w:space="0" w:color="auto"/>
        <w:right w:val="none" w:sz="0" w:space="0" w:color="auto"/>
      </w:divBdr>
    </w:div>
    <w:div w:id="1931427723">
      <w:bodyDiv w:val="1"/>
      <w:marLeft w:val="0"/>
      <w:marRight w:val="0"/>
      <w:marTop w:val="0"/>
      <w:marBottom w:val="0"/>
      <w:divBdr>
        <w:top w:val="none" w:sz="0" w:space="0" w:color="auto"/>
        <w:left w:val="none" w:sz="0" w:space="0" w:color="auto"/>
        <w:bottom w:val="none" w:sz="0" w:space="0" w:color="auto"/>
        <w:right w:val="none" w:sz="0" w:space="0" w:color="auto"/>
      </w:divBdr>
    </w:div>
    <w:div w:id="1932661122">
      <w:bodyDiv w:val="1"/>
      <w:marLeft w:val="0"/>
      <w:marRight w:val="0"/>
      <w:marTop w:val="0"/>
      <w:marBottom w:val="0"/>
      <w:divBdr>
        <w:top w:val="none" w:sz="0" w:space="0" w:color="auto"/>
        <w:left w:val="none" w:sz="0" w:space="0" w:color="auto"/>
        <w:bottom w:val="none" w:sz="0" w:space="0" w:color="auto"/>
        <w:right w:val="none" w:sz="0" w:space="0" w:color="auto"/>
      </w:divBdr>
    </w:div>
    <w:div w:id="1936132556">
      <w:bodyDiv w:val="1"/>
      <w:marLeft w:val="0"/>
      <w:marRight w:val="0"/>
      <w:marTop w:val="0"/>
      <w:marBottom w:val="0"/>
      <w:divBdr>
        <w:top w:val="none" w:sz="0" w:space="0" w:color="auto"/>
        <w:left w:val="none" w:sz="0" w:space="0" w:color="auto"/>
        <w:bottom w:val="none" w:sz="0" w:space="0" w:color="auto"/>
        <w:right w:val="none" w:sz="0" w:space="0" w:color="auto"/>
      </w:divBdr>
    </w:div>
    <w:div w:id="1947811706">
      <w:bodyDiv w:val="1"/>
      <w:marLeft w:val="0"/>
      <w:marRight w:val="0"/>
      <w:marTop w:val="0"/>
      <w:marBottom w:val="0"/>
      <w:divBdr>
        <w:top w:val="none" w:sz="0" w:space="0" w:color="auto"/>
        <w:left w:val="none" w:sz="0" w:space="0" w:color="auto"/>
        <w:bottom w:val="none" w:sz="0" w:space="0" w:color="auto"/>
        <w:right w:val="none" w:sz="0" w:space="0" w:color="auto"/>
      </w:divBdr>
    </w:div>
    <w:div w:id="1954438288">
      <w:bodyDiv w:val="1"/>
      <w:marLeft w:val="0"/>
      <w:marRight w:val="0"/>
      <w:marTop w:val="0"/>
      <w:marBottom w:val="0"/>
      <w:divBdr>
        <w:top w:val="none" w:sz="0" w:space="0" w:color="auto"/>
        <w:left w:val="none" w:sz="0" w:space="0" w:color="auto"/>
        <w:bottom w:val="none" w:sz="0" w:space="0" w:color="auto"/>
        <w:right w:val="none" w:sz="0" w:space="0" w:color="auto"/>
      </w:divBdr>
    </w:div>
    <w:div w:id="1961913284">
      <w:bodyDiv w:val="1"/>
      <w:marLeft w:val="0"/>
      <w:marRight w:val="0"/>
      <w:marTop w:val="0"/>
      <w:marBottom w:val="0"/>
      <w:divBdr>
        <w:top w:val="none" w:sz="0" w:space="0" w:color="auto"/>
        <w:left w:val="none" w:sz="0" w:space="0" w:color="auto"/>
        <w:bottom w:val="none" w:sz="0" w:space="0" w:color="auto"/>
        <w:right w:val="none" w:sz="0" w:space="0" w:color="auto"/>
      </w:divBdr>
    </w:div>
    <w:div w:id="1963922590">
      <w:bodyDiv w:val="1"/>
      <w:marLeft w:val="0"/>
      <w:marRight w:val="0"/>
      <w:marTop w:val="0"/>
      <w:marBottom w:val="0"/>
      <w:divBdr>
        <w:top w:val="none" w:sz="0" w:space="0" w:color="auto"/>
        <w:left w:val="none" w:sz="0" w:space="0" w:color="auto"/>
        <w:bottom w:val="none" w:sz="0" w:space="0" w:color="auto"/>
        <w:right w:val="none" w:sz="0" w:space="0" w:color="auto"/>
      </w:divBdr>
    </w:div>
    <w:div w:id="1966766487">
      <w:bodyDiv w:val="1"/>
      <w:marLeft w:val="0"/>
      <w:marRight w:val="0"/>
      <w:marTop w:val="0"/>
      <w:marBottom w:val="0"/>
      <w:divBdr>
        <w:top w:val="none" w:sz="0" w:space="0" w:color="auto"/>
        <w:left w:val="none" w:sz="0" w:space="0" w:color="auto"/>
        <w:bottom w:val="none" w:sz="0" w:space="0" w:color="auto"/>
        <w:right w:val="none" w:sz="0" w:space="0" w:color="auto"/>
      </w:divBdr>
    </w:div>
    <w:div w:id="1973440216">
      <w:bodyDiv w:val="1"/>
      <w:marLeft w:val="0"/>
      <w:marRight w:val="0"/>
      <w:marTop w:val="0"/>
      <w:marBottom w:val="0"/>
      <w:divBdr>
        <w:top w:val="none" w:sz="0" w:space="0" w:color="auto"/>
        <w:left w:val="none" w:sz="0" w:space="0" w:color="auto"/>
        <w:bottom w:val="none" w:sz="0" w:space="0" w:color="auto"/>
        <w:right w:val="none" w:sz="0" w:space="0" w:color="auto"/>
      </w:divBdr>
    </w:div>
    <w:div w:id="1974092106">
      <w:bodyDiv w:val="1"/>
      <w:marLeft w:val="0"/>
      <w:marRight w:val="0"/>
      <w:marTop w:val="0"/>
      <w:marBottom w:val="0"/>
      <w:divBdr>
        <w:top w:val="none" w:sz="0" w:space="0" w:color="auto"/>
        <w:left w:val="none" w:sz="0" w:space="0" w:color="auto"/>
        <w:bottom w:val="none" w:sz="0" w:space="0" w:color="auto"/>
        <w:right w:val="none" w:sz="0" w:space="0" w:color="auto"/>
      </w:divBdr>
    </w:div>
    <w:div w:id="1985037135">
      <w:bodyDiv w:val="1"/>
      <w:marLeft w:val="0"/>
      <w:marRight w:val="0"/>
      <w:marTop w:val="0"/>
      <w:marBottom w:val="0"/>
      <w:divBdr>
        <w:top w:val="none" w:sz="0" w:space="0" w:color="auto"/>
        <w:left w:val="none" w:sz="0" w:space="0" w:color="auto"/>
        <w:bottom w:val="none" w:sz="0" w:space="0" w:color="auto"/>
        <w:right w:val="none" w:sz="0" w:space="0" w:color="auto"/>
      </w:divBdr>
    </w:div>
    <w:div w:id="1993368142">
      <w:bodyDiv w:val="1"/>
      <w:marLeft w:val="0"/>
      <w:marRight w:val="0"/>
      <w:marTop w:val="0"/>
      <w:marBottom w:val="0"/>
      <w:divBdr>
        <w:top w:val="none" w:sz="0" w:space="0" w:color="auto"/>
        <w:left w:val="none" w:sz="0" w:space="0" w:color="auto"/>
        <w:bottom w:val="none" w:sz="0" w:space="0" w:color="auto"/>
        <w:right w:val="none" w:sz="0" w:space="0" w:color="auto"/>
      </w:divBdr>
    </w:div>
    <w:div w:id="1996883482">
      <w:bodyDiv w:val="1"/>
      <w:marLeft w:val="0"/>
      <w:marRight w:val="0"/>
      <w:marTop w:val="0"/>
      <w:marBottom w:val="0"/>
      <w:divBdr>
        <w:top w:val="none" w:sz="0" w:space="0" w:color="auto"/>
        <w:left w:val="none" w:sz="0" w:space="0" w:color="auto"/>
        <w:bottom w:val="none" w:sz="0" w:space="0" w:color="auto"/>
        <w:right w:val="none" w:sz="0" w:space="0" w:color="auto"/>
      </w:divBdr>
    </w:div>
    <w:div w:id="2005355899">
      <w:bodyDiv w:val="1"/>
      <w:marLeft w:val="0"/>
      <w:marRight w:val="0"/>
      <w:marTop w:val="0"/>
      <w:marBottom w:val="0"/>
      <w:divBdr>
        <w:top w:val="none" w:sz="0" w:space="0" w:color="auto"/>
        <w:left w:val="none" w:sz="0" w:space="0" w:color="auto"/>
        <w:bottom w:val="none" w:sz="0" w:space="0" w:color="auto"/>
        <w:right w:val="none" w:sz="0" w:space="0" w:color="auto"/>
      </w:divBdr>
    </w:div>
    <w:div w:id="2013795324">
      <w:bodyDiv w:val="1"/>
      <w:marLeft w:val="0"/>
      <w:marRight w:val="0"/>
      <w:marTop w:val="0"/>
      <w:marBottom w:val="0"/>
      <w:divBdr>
        <w:top w:val="none" w:sz="0" w:space="0" w:color="auto"/>
        <w:left w:val="none" w:sz="0" w:space="0" w:color="auto"/>
        <w:bottom w:val="none" w:sz="0" w:space="0" w:color="auto"/>
        <w:right w:val="none" w:sz="0" w:space="0" w:color="auto"/>
      </w:divBdr>
    </w:div>
    <w:div w:id="2015256817">
      <w:bodyDiv w:val="1"/>
      <w:marLeft w:val="0"/>
      <w:marRight w:val="0"/>
      <w:marTop w:val="0"/>
      <w:marBottom w:val="0"/>
      <w:divBdr>
        <w:top w:val="none" w:sz="0" w:space="0" w:color="auto"/>
        <w:left w:val="none" w:sz="0" w:space="0" w:color="auto"/>
        <w:bottom w:val="none" w:sz="0" w:space="0" w:color="auto"/>
        <w:right w:val="none" w:sz="0" w:space="0" w:color="auto"/>
      </w:divBdr>
    </w:div>
    <w:div w:id="2031955041">
      <w:bodyDiv w:val="1"/>
      <w:marLeft w:val="0"/>
      <w:marRight w:val="0"/>
      <w:marTop w:val="0"/>
      <w:marBottom w:val="0"/>
      <w:divBdr>
        <w:top w:val="none" w:sz="0" w:space="0" w:color="auto"/>
        <w:left w:val="none" w:sz="0" w:space="0" w:color="auto"/>
        <w:bottom w:val="none" w:sz="0" w:space="0" w:color="auto"/>
        <w:right w:val="none" w:sz="0" w:space="0" w:color="auto"/>
      </w:divBdr>
    </w:div>
    <w:div w:id="2034837439">
      <w:bodyDiv w:val="1"/>
      <w:marLeft w:val="0"/>
      <w:marRight w:val="0"/>
      <w:marTop w:val="0"/>
      <w:marBottom w:val="0"/>
      <w:divBdr>
        <w:top w:val="none" w:sz="0" w:space="0" w:color="auto"/>
        <w:left w:val="none" w:sz="0" w:space="0" w:color="auto"/>
        <w:bottom w:val="none" w:sz="0" w:space="0" w:color="auto"/>
        <w:right w:val="none" w:sz="0" w:space="0" w:color="auto"/>
      </w:divBdr>
    </w:div>
    <w:div w:id="2034843470">
      <w:bodyDiv w:val="1"/>
      <w:marLeft w:val="0"/>
      <w:marRight w:val="0"/>
      <w:marTop w:val="0"/>
      <w:marBottom w:val="0"/>
      <w:divBdr>
        <w:top w:val="none" w:sz="0" w:space="0" w:color="auto"/>
        <w:left w:val="none" w:sz="0" w:space="0" w:color="auto"/>
        <w:bottom w:val="none" w:sz="0" w:space="0" w:color="auto"/>
        <w:right w:val="none" w:sz="0" w:space="0" w:color="auto"/>
      </w:divBdr>
    </w:div>
    <w:div w:id="2054958265">
      <w:bodyDiv w:val="1"/>
      <w:marLeft w:val="0"/>
      <w:marRight w:val="0"/>
      <w:marTop w:val="0"/>
      <w:marBottom w:val="0"/>
      <w:divBdr>
        <w:top w:val="none" w:sz="0" w:space="0" w:color="auto"/>
        <w:left w:val="none" w:sz="0" w:space="0" w:color="auto"/>
        <w:bottom w:val="none" w:sz="0" w:space="0" w:color="auto"/>
        <w:right w:val="none" w:sz="0" w:space="0" w:color="auto"/>
      </w:divBdr>
      <w:divsChild>
        <w:div w:id="837187282">
          <w:marLeft w:val="0"/>
          <w:marRight w:val="0"/>
          <w:marTop w:val="0"/>
          <w:marBottom w:val="0"/>
          <w:divBdr>
            <w:top w:val="none" w:sz="0" w:space="0" w:color="auto"/>
            <w:left w:val="none" w:sz="0" w:space="0" w:color="auto"/>
            <w:bottom w:val="none" w:sz="0" w:space="0" w:color="auto"/>
            <w:right w:val="none" w:sz="0" w:space="0" w:color="auto"/>
          </w:divBdr>
          <w:divsChild>
            <w:div w:id="1652558847">
              <w:marLeft w:val="0"/>
              <w:marRight w:val="0"/>
              <w:marTop w:val="0"/>
              <w:marBottom w:val="0"/>
              <w:divBdr>
                <w:top w:val="none" w:sz="0" w:space="0" w:color="auto"/>
                <w:left w:val="none" w:sz="0" w:space="0" w:color="auto"/>
                <w:bottom w:val="none" w:sz="0" w:space="0" w:color="auto"/>
                <w:right w:val="none" w:sz="0" w:space="0" w:color="auto"/>
              </w:divBdr>
              <w:divsChild>
                <w:div w:id="25299744">
                  <w:marLeft w:val="0"/>
                  <w:marRight w:val="0"/>
                  <w:marTop w:val="0"/>
                  <w:marBottom w:val="0"/>
                  <w:divBdr>
                    <w:top w:val="none" w:sz="0" w:space="0" w:color="auto"/>
                    <w:left w:val="none" w:sz="0" w:space="0" w:color="auto"/>
                    <w:bottom w:val="none" w:sz="0" w:space="0" w:color="auto"/>
                    <w:right w:val="none" w:sz="0" w:space="0" w:color="auto"/>
                  </w:divBdr>
                  <w:divsChild>
                    <w:div w:id="35854544">
                      <w:marLeft w:val="0"/>
                      <w:marRight w:val="0"/>
                      <w:marTop w:val="0"/>
                      <w:marBottom w:val="0"/>
                      <w:divBdr>
                        <w:top w:val="none" w:sz="0" w:space="0" w:color="auto"/>
                        <w:left w:val="none" w:sz="0" w:space="0" w:color="auto"/>
                        <w:bottom w:val="none" w:sz="0" w:space="0" w:color="auto"/>
                        <w:right w:val="none" w:sz="0" w:space="0" w:color="auto"/>
                      </w:divBdr>
                      <w:divsChild>
                        <w:div w:id="1674143087">
                          <w:marLeft w:val="0"/>
                          <w:marRight w:val="0"/>
                          <w:marTop w:val="0"/>
                          <w:marBottom w:val="0"/>
                          <w:divBdr>
                            <w:top w:val="none" w:sz="0" w:space="0" w:color="auto"/>
                            <w:left w:val="none" w:sz="0" w:space="0" w:color="auto"/>
                            <w:bottom w:val="none" w:sz="0" w:space="0" w:color="auto"/>
                            <w:right w:val="none" w:sz="0" w:space="0" w:color="auto"/>
                          </w:divBdr>
                          <w:divsChild>
                            <w:div w:id="247273870">
                              <w:marLeft w:val="0"/>
                              <w:marRight w:val="0"/>
                              <w:marTop w:val="0"/>
                              <w:marBottom w:val="0"/>
                              <w:divBdr>
                                <w:top w:val="none" w:sz="0" w:space="0" w:color="auto"/>
                                <w:left w:val="none" w:sz="0" w:space="0" w:color="auto"/>
                                <w:bottom w:val="none" w:sz="0" w:space="0" w:color="auto"/>
                                <w:right w:val="none" w:sz="0" w:space="0" w:color="auto"/>
                              </w:divBdr>
                              <w:divsChild>
                                <w:div w:id="1434127938">
                                  <w:marLeft w:val="-225"/>
                                  <w:marRight w:val="-225"/>
                                  <w:marTop w:val="0"/>
                                  <w:marBottom w:val="0"/>
                                  <w:divBdr>
                                    <w:top w:val="none" w:sz="0" w:space="0" w:color="auto"/>
                                    <w:left w:val="none" w:sz="0" w:space="0" w:color="auto"/>
                                    <w:bottom w:val="none" w:sz="0" w:space="0" w:color="auto"/>
                                    <w:right w:val="none" w:sz="0" w:space="0" w:color="auto"/>
                                  </w:divBdr>
                                  <w:divsChild>
                                    <w:div w:id="1847475787">
                                      <w:marLeft w:val="0"/>
                                      <w:marRight w:val="0"/>
                                      <w:marTop w:val="0"/>
                                      <w:marBottom w:val="0"/>
                                      <w:divBdr>
                                        <w:top w:val="none" w:sz="0" w:space="0" w:color="auto"/>
                                        <w:left w:val="none" w:sz="0" w:space="0" w:color="auto"/>
                                        <w:bottom w:val="none" w:sz="0" w:space="0" w:color="auto"/>
                                        <w:right w:val="none" w:sz="0" w:space="0" w:color="auto"/>
                                      </w:divBdr>
                                      <w:divsChild>
                                        <w:div w:id="1955019623">
                                          <w:marLeft w:val="0"/>
                                          <w:marRight w:val="0"/>
                                          <w:marTop w:val="0"/>
                                          <w:marBottom w:val="0"/>
                                          <w:divBdr>
                                            <w:top w:val="none" w:sz="0" w:space="0" w:color="auto"/>
                                            <w:left w:val="none" w:sz="0" w:space="0" w:color="auto"/>
                                            <w:bottom w:val="none" w:sz="0" w:space="0" w:color="auto"/>
                                            <w:right w:val="none" w:sz="0" w:space="0" w:color="auto"/>
                                          </w:divBdr>
                                          <w:divsChild>
                                            <w:div w:id="722750909">
                                              <w:marLeft w:val="0"/>
                                              <w:marRight w:val="0"/>
                                              <w:marTop w:val="0"/>
                                              <w:marBottom w:val="0"/>
                                              <w:divBdr>
                                                <w:top w:val="none" w:sz="0" w:space="0" w:color="auto"/>
                                                <w:left w:val="none" w:sz="0" w:space="0" w:color="auto"/>
                                                <w:bottom w:val="none" w:sz="0" w:space="0" w:color="auto"/>
                                                <w:right w:val="none" w:sz="0" w:space="0" w:color="auto"/>
                                              </w:divBdr>
                                              <w:divsChild>
                                                <w:div w:id="1951662742">
                                                  <w:marLeft w:val="0"/>
                                                  <w:marRight w:val="0"/>
                                                  <w:marTop w:val="0"/>
                                                  <w:marBottom w:val="0"/>
                                                  <w:divBdr>
                                                    <w:top w:val="none" w:sz="0" w:space="0" w:color="auto"/>
                                                    <w:left w:val="none" w:sz="0" w:space="0" w:color="auto"/>
                                                    <w:bottom w:val="none" w:sz="0" w:space="0" w:color="auto"/>
                                                    <w:right w:val="none" w:sz="0" w:space="0" w:color="auto"/>
                                                  </w:divBdr>
                                                  <w:divsChild>
                                                    <w:div w:id="2034066999">
                                                      <w:marLeft w:val="0"/>
                                                      <w:marRight w:val="0"/>
                                                      <w:marTop w:val="75"/>
                                                      <w:marBottom w:val="0"/>
                                                      <w:divBdr>
                                                        <w:top w:val="none" w:sz="0" w:space="0" w:color="auto"/>
                                                        <w:left w:val="none" w:sz="0" w:space="0" w:color="auto"/>
                                                        <w:bottom w:val="none" w:sz="0" w:space="0" w:color="auto"/>
                                                        <w:right w:val="none" w:sz="0" w:space="0" w:color="auto"/>
                                                      </w:divBdr>
                                                      <w:divsChild>
                                                        <w:div w:id="2901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463014">
      <w:bodyDiv w:val="1"/>
      <w:marLeft w:val="0"/>
      <w:marRight w:val="0"/>
      <w:marTop w:val="0"/>
      <w:marBottom w:val="0"/>
      <w:divBdr>
        <w:top w:val="none" w:sz="0" w:space="0" w:color="auto"/>
        <w:left w:val="none" w:sz="0" w:space="0" w:color="auto"/>
        <w:bottom w:val="none" w:sz="0" w:space="0" w:color="auto"/>
        <w:right w:val="none" w:sz="0" w:space="0" w:color="auto"/>
      </w:divBdr>
    </w:div>
    <w:div w:id="2063938952">
      <w:bodyDiv w:val="1"/>
      <w:marLeft w:val="0"/>
      <w:marRight w:val="0"/>
      <w:marTop w:val="0"/>
      <w:marBottom w:val="0"/>
      <w:divBdr>
        <w:top w:val="none" w:sz="0" w:space="0" w:color="auto"/>
        <w:left w:val="none" w:sz="0" w:space="0" w:color="auto"/>
        <w:bottom w:val="none" w:sz="0" w:space="0" w:color="auto"/>
        <w:right w:val="none" w:sz="0" w:space="0" w:color="auto"/>
      </w:divBdr>
    </w:div>
    <w:div w:id="2067870827">
      <w:bodyDiv w:val="1"/>
      <w:marLeft w:val="0"/>
      <w:marRight w:val="0"/>
      <w:marTop w:val="0"/>
      <w:marBottom w:val="0"/>
      <w:divBdr>
        <w:top w:val="none" w:sz="0" w:space="0" w:color="auto"/>
        <w:left w:val="none" w:sz="0" w:space="0" w:color="auto"/>
        <w:bottom w:val="none" w:sz="0" w:space="0" w:color="auto"/>
        <w:right w:val="none" w:sz="0" w:space="0" w:color="auto"/>
      </w:divBdr>
    </w:div>
    <w:div w:id="2073580814">
      <w:bodyDiv w:val="1"/>
      <w:marLeft w:val="0"/>
      <w:marRight w:val="0"/>
      <w:marTop w:val="0"/>
      <w:marBottom w:val="0"/>
      <w:divBdr>
        <w:top w:val="none" w:sz="0" w:space="0" w:color="auto"/>
        <w:left w:val="none" w:sz="0" w:space="0" w:color="auto"/>
        <w:bottom w:val="none" w:sz="0" w:space="0" w:color="auto"/>
        <w:right w:val="none" w:sz="0" w:space="0" w:color="auto"/>
      </w:divBdr>
    </w:div>
    <w:div w:id="2074422545">
      <w:bodyDiv w:val="1"/>
      <w:marLeft w:val="0"/>
      <w:marRight w:val="0"/>
      <w:marTop w:val="0"/>
      <w:marBottom w:val="0"/>
      <w:divBdr>
        <w:top w:val="none" w:sz="0" w:space="0" w:color="auto"/>
        <w:left w:val="none" w:sz="0" w:space="0" w:color="auto"/>
        <w:bottom w:val="none" w:sz="0" w:space="0" w:color="auto"/>
        <w:right w:val="none" w:sz="0" w:space="0" w:color="auto"/>
      </w:divBdr>
    </w:div>
    <w:div w:id="2074429135">
      <w:bodyDiv w:val="1"/>
      <w:marLeft w:val="0"/>
      <w:marRight w:val="0"/>
      <w:marTop w:val="0"/>
      <w:marBottom w:val="0"/>
      <w:divBdr>
        <w:top w:val="none" w:sz="0" w:space="0" w:color="auto"/>
        <w:left w:val="none" w:sz="0" w:space="0" w:color="auto"/>
        <w:bottom w:val="none" w:sz="0" w:space="0" w:color="auto"/>
        <w:right w:val="none" w:sz="0" w:space="0" w:color="auto"/>
      </w:divBdr>
    </w:div>
    <w:div w:id="2090223848">
      <w:bodyDiv w:val="1"/>
      <w:marLeft w:val="0"/>
      <w:marRight w:val="0"/>
      <w:marTop w:val="0"/>
      <w:marBottom w:val="0"/>
      <w:divBdr>
        <w:top w:val="none" w:sz="0" w:space="0" w:color="auto"/>
        <w:left w:val="none" w:sz="0" w:space="0" w:color="auto"/>
        <w:bottom w:val="none" w:sz="0" w:space="0" w:color="auto"/>
        <w:right w:val="none" w:sz="0" w:space="0" w:color="auto"/>
      </w:divBdr>
    </w:div>
    <w:div w:id="2091269837">
      <w:bodyDiv w:val="1"/>
      <w:marLeft w:val="0"/>
      <w:marRight w:val="0"/>
      <w:marTop w:val="0"/>
      <w:marBottom w:val="0"/>
      <w:divBdr>
        <w:top w:val="none" w:sz="0" w:space="0" w:color="auto"/>
        <w:left w:val="none" w:sz="0" w:space="0" w:color="auto"/>
        <w:bottom w:val="none" w:sz="0" w:space="0" w:color="auto"/>
        <w:right w:val="none" w:sz="0" w:space="0" w:color="auto"/>
      </w:divBdr>
    </w:div>
    <w:div w:id="2096659390">
      <w:bodyDiv w:val="1"/>
      <w:marLeft w:val="0"/>
      <w:marRight w:val="0"/>
      <w:marTop w:val="0"/>
      <w:marBottom w:val="0"/>
      <w:divBdr>
        <w:top w:val="none" w:sz="0" w:space="0" w:color="auto"/>
        <w:left w:val="none" w:sz="0" w:space="0" w:color="auto"/>
        <w:bottom w:val="none" w:sz="0" w:space="0" w:color="auto"/>
        <w:right w:val="none" w:sz="0" w:space="0" w:color="auto"/>
      </w:divBdr>
    </w:div>
    <w:div w:id="2100758351">
      <w:bodyDiv w:val="1"/>
      <w:marLeft w:val="0"/>
      <w:marRight w:val="0"/>
      <w:marTop w:val="0"/>
      <w:marBottom w:val="0"/>
      <w:divBdr>
        <w:top w:val="none" w:sz="0" w:space="0" w:color="auto"/>
        <w:left w:val="none" w:sz="0" w:space="0" w:color="auto"/>
        <w:bottom w:val="none" w:sz="0" w:space="0" w:color="auto"/>
        <w:right w:val="none" w:sz="0" w:space="0" w:color="auto"/>
      </w:divBdr>
    </w:div>
    <w:div w:id="2119518088">
      <w:bodyDiv w:val="1"/>
      <w:marLeft w:val="0"/>
      <w:marRight w:val="0"/>
      <w:marTop w:val="0"/>
      <w:marBottom w:val="0"/>
      <w:divBdr>
        <w:top w:val="none" w:sz="0" w:space="0" w:color="auto"/>
        <w:left w:val="none" w:sz="0" w:space="0" w:color="auto"/>
        <w:bottom w:val="none" w:sz="0" w:space="0" w:color="auto"/>
        <w:right w:val="none" w:sz="0" w:space="0" w:color="auto"/>
      </w:divBdr>
    </w:div>
    <w:div w:id="2124373279">
      <w:bodyDiv w:val="1"/>
      <w:marLeft w:val="0"/>
      <w:marRight w:val="0"/>
      <w:marTop w:val="0"/>
      <w:marBottom w:val="0"/>
      <w:divBdr>
        <w:top w:val="none" w:sz="0" w:space="0" w:color="auto"/>
        <w:left w:val="none" w:sz="0" w:space="0" w:color="auto"/>
        <w:bottom w:val="none" w:sz="0" w:space="0" w:color="auto"/>
        <w:right w:val="none" w:sz="0" w:space="0" w:color="auto"/>
      </w:divBdr>
    </w:div>
    <w:div w:id="2129739960">
      <w:bodyDiv w:val="1"/>
      <w:marLeft w:val="0"/>
      <w:marRight w:val="0"/>
      <w:marTop w:val="0"/>
      <w:marBottom w:val="0"/>
      <w:divBdr>
        <w:top w:val="none" w:sz="0" w:space="0" w:color="auto"/>
        <w:left w:val="none" w:sz="0" w:space="0" w:color="auto"/>
        <w:bottom w:val="none" w:sz="0" w:space="0" w:color="auto"/>
        <w:right w:val="none" w:sz="0" w:space="0" w:color="auto"/>
      </w:divBdr>
    </w:div>
    <w:div w:id="2145150651">
      <w:bodyDiv w:val="1"/>
      <w:marLeft w:val="0"/>
      <w:marRight w:val="0"/>
      <w:marTop w:val="0"/>
      <w:marBottom w:val="0"/>
      <w:divBdr>
        <w:top w:val="none" w:sz="0" w:space="0" w:color="auto"/>
        <w:left w:val="none" w:sz="0" w:space="0" w:color="auto"/>
        <w:bottom w:val="none" w:sz="0" w:space="0" w:color="auto"/>
        <w:right w:val="none" w:sz="0" w:space="0" w:color="auto"/>
      </w:divBdr>
    </w:div>
    <w:div w:id="21472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tracey.frey@casa.gov.au" TargetMode="Externa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rob.walker@casa.gov.au" TargetMode="External"/><Relationship Id="rId33" Type="http://schemas.openxmlformats.org/officeDocument/2006/relationships/hyperlink" Target="http://www.youtube.com/watch?v=60XFFRtfRZI" TargetMode="External"/><Relationship Id="rId38" Type="http://schemas.openxmlformats.org/officeDocument/2006/relationships/header" Target="header12.xml"/><Relationship Id="rId46" Type="http://schemas.openxmlformats.org/officeDocument/2006/relationships/hyperlink" Target="http://www.casa.gov.au/newrules"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6.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ativecommons.org/licenses/by/3.0/au/legalcode" TargetMode="External"/><Relationship Id="rId24" Type="http://schemas.openxmlformats.org/officeDocument/2006/relationships/hyperlink" Target="mailto:graeme.crawford@casa.gov.au" TargetMode="Externa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mailto:simon.frawley@casa.gov.au" TargetMode="External"/><Relationship Id="rId36" Type="http://schemas.openxmlformats.org/officeDocument/2006/relationships/header" Target="header10.xml"/><Relationship Id="rId49" Type="http://schemas.openxmlformats.org/officeDocument/2006/relationships/footer" Target="footer10.xml"/><Relationship Id="rId10" Type="http://schemas.openxmlformats.org/officeDocument/2006/relationships/image" Target="cid:image001.png@01D06D26.A092BB60" TargetMode="External"/><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header" Target="header1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sa.gov.au/wcmswr/_assets/main/download/act_regs/caa.pdf" TargetMode="External"/><Relationship Id="rId22" Type="http://schemas.openxmlformats.org/officeDocument/2006/relationships/footer" Target="footer6.xml"/><Relationship Id="rId27" Type="http://schemas.openxmlformats.org/officeDocument/2006/relationships/hyperlink" Target="mailto:jonathan.aleck@casa.gov.au" TargetMode="Externa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20.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C6124-0978-4077-BD46-8CD7C7B2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152</Pages>
  <Words>52762</Words>
  <Characters>300749</Characters>
  <Application>Microsoft Office Word</Application>
  <DocSecurity>0</DocSecurity>
  <Lines>2506</Lines>
  <Paragraphs>705</Paragraphs>
  <ScaleCrop>false</ScaleCrop>
  <HeadingPairs>
    <vt:vector size="2" baseType="variant">
      <vt:variant>
        <vt:lpstr>Title</vt:lpstr>
      </vt:variant>
      <vt:variant>
        <vt:i4>1</vt:i4>
      </vt:variant>
    </vt:vector>
  </HeadingPairs>
  <TitlesOfParts>
    <vt:vector size="1" baseType="lpstr">
      <vt:lpstr>Civil Aviation Safety Authority</vt:lpstr>
    </vt:vector>
  </TitlesOfParts>
  <Company/>
  <LinksUpToDate>false</LinksUpToDate>
  <CharactersWithSpaces>352806</CharactersWithSpaces>
  <SharedDoc>false</SharedDoc>
  <HLinks>
    <vt:vector size="222" baseType="variant">
      <vt:variant>
        <vt:i4>2621556</vt:i4>
      </vt:variant>
      <vt:variant>
        <vt:i4>228</vt:i4>
      </vt:variant>
      <vt:variant>
        <vt:i4>0</vt:i4>
      </vt:variant>
      <vt:variant>
        <vt:i4>5</vt:i4>
      </vt:variant>
      <vt:variant>
        <vt:lpwstr>http://www.casa.gov.au/newrules</vt:lpwstr>
      </vt:variant>
      <vt:variant>
        <vt:lpwstr/>
      </vt:variant>
      <vt:variant>
        <vt:i4>2752626</vt:i4>
      </vt:variant>
      <vt:variant>
        <vt:i4>210</vt:i4>
      </vt:variant>
      <vt:variant>
        <vt:i4>0</vt:i4>
      </vt:variant>
      <vt:variant>
        <vt:i4>5</vt:i4>
      </vt:variant>
      <vt:variant>
        <vt:lpwstr>http://www.casa.gov.au/wcmswr/_assets/main/download/act_regs/caa.pdf</vt:lpwstr>
      </vt:variant>
      <vt:variant>
        <vt:lpwstr/>
      </vt:variant>
      <vt:variant>
        <vt:i4>1572925</vt:i4>
      </vt:variant>
      <vt:variant>
        <vt:i4>203</vt:i4>
      </vt:variant>
      <vt:variant>
        <vt:i4>0</vt:i4>
      </vt:variant>
      <vt:variant>
        <vt:i4>5</vt:i4>
      </vt:variant>
      <vt:variant>
        <vt:lpwstr/>
      </vt:variant>
      <vt:variant>
        <vt:lpwstr>_Toc523924905</vt:lpwstr>
      </vt:variant>
      <vt:variant>
        <vt:i4>1572925</vt:i4>
      </vt:variant>
      <vt:variant>
        <vt:i4>197</vt:i4>
      </vt:variant>
      <vt:variant>
        <vt:i4>0</vt:i4>
      </vt:variant>
      <vt:variant>
        <vt:i4>5</vt:i4>
      </vt:variant>
      <vt:variant>
        <vt:lpwstr/>
      </vt:variant>
      <vt:variant>
        <vt:lpwstr>_Toc523924904</vt:lpwstr>
      </vt:variant>
      <vt:variant>
        <vt:i4>1572925</vt:i4>
      </vt:variant>
      <vt:variant>
        <vt:i4>191</vt:i4>
      </vt:variant>
      <vt:variant>
        <vt:i4>0</vt:i4>
      </vt:variant>
      <vt:variant>
        <vt:i4>5</vt:i4>
      </vt:variant>
      <vt:variant>
        <vt:lpwstr/>
      </vt:variant>
      <vt:variant>
        <vt:lpwstr>_Toc523924903</vt:lpwstr>
      </vt:variant>
      <vt:variant>
        <vt:i4>1572925</vt:i4>
      </vt:variant>
      <vt:variant>
        <vt:i4>185</vt:i4>
      </vt:variant>
      <vt:variant>
        <vt:i4>0</vt:i4>
      </vt:variant>
      <vt:variant>
        <vt:i4>5</vt:i4>
      </vt:variant>
      <vt:variant>
        <vt:lpwstr/>
      </vt:variant>
      <vt:variant>
        <vt:lpwstr>_Toc523924902</vt:lpwstr>
      </vt:variant>
      <vt:variant>
        <vt:i4>1572925</vt:i4>
      </vt:variant>
      <vt:variant>
        <vt:i4>179</vt:i4>
      </vt:variant>
      <vt:variant>
        <vt:i4>0</vt:i4>
      </vt:variant>
      <vt:variant>
        <vt:i4>5</vt:i4>
      </vt:variant>
      <vt:variant>
        <vt:lpwstr/>
      </vt:variant>
      <vt:variant>
        <vt:lpwstr>_Toc523924901</vt:lpwstr>
      </vt:variant>
      <vt:variant>
        <vt:i4>1572925</vt:i4>
      </vt:variant>
      <vt:variant>
        <vt:i4>173</vt:i4>
      </vt:variant>
      <vt:variant>
        <vt:i4>0</vt:i4>
      </vt:variant>
      <vt:variant>
        <vt:i4>5</vt:i4>
      </vt:variant>
      <vt:variant>
        <vt:lpwstr/>
      </vt:variant>
      <vt:variant>
        <vt:lpwstr>_Toc523924900</vt:lpwstr>
      </vt:variant>
      <vt:variant>
        <vt:i4>1114172</vt:i4>
      </vt:variant>
      <vt:variant>
        <vt:i4>167</vt:i4>
      </vt:variant>
      <vt:variant>
        <vt:i4>0</vt:i4>
      </vt:variant>
      <vt:variant>
        <vt:i4>5</vt:i4>
      </vt:variant>
      <vt:variant>
        <vt:lpwstr/>
      </vt:variant>
      <vt:variant>
        <vt:lpwstr>_Toc523924899</vt:lpwstr>
      </vt:variant>
      <vt:variant>
        <vt:i4>1114172</vt:i4>
      </vt:variant>
      <vt:variant>
        <vt:i4>161</vt:i4>
      </vt:variant>
      <vt:variant>
        <vt:i4>0</vt:i4>
      </vt:variant>
      <vt:variant>
        <vt:i4>5</vt:i4>
      </vt:variant>
      <vt:variant>
        <vt:lpwstr/>
      </vt:variant>
      <vt:variant>
        <vt:lpwstr>_Toc523924898</vt:lpwstr>
      </vt:variant>
      <vt:variant>
        <vt:i4>1114172</vt:i4>
      </vt:variant>
      <vt:variant>
        <vt:i4>155</vt:i4>
      </vt:variant>
      <vt:variant>
        <vt:i4>0</vt:i4>
      </vt:variant>
      <vt:variant>
        <vt:i4>5</vt:i4>
      </vt:variant>
      <vt:variant>
        <vt:lpwstr/>
      </vt:variant>
      <vt:variant>
        <vt:lpwstr>_Toc523924897</vt:lpwstr>
      </vt:variant>
      <vt:variant>
        <vt:i4>1114172</vt:i4>
      </vt:variant>
      <vt:variant>
        <vt:i4>149</vt:i4>
      </vt:variant>
      <vt:variant>
        <vt:i4>0</vt:i4>
      </vt:variant>
      <vt:variant>
        <vt:i4>5</vt:i4>
      </vt:variant>
      <vt:variant>
        <vt:lpwstr/>
      </vt:variant>
      <vt:variant>
        <vt:lpwstr>_Toc523924896</vt:lpwstr>
      </vt:variant>
      <vt:variant>
        <vt:i4>1114172</vt:i4>
      </vt:variant>
      <vt:variant>
        <vt:i4>143</vt:i4>
      </vt:variant>
      <vt:variant>
        <vt:i4>0</vt:i4>
      </vt:variant>
      <vt:variant>
        <vt:i4>5</vt:i4>
      </vt:variant>
      <vt:variant>
        <vt:lpwstr/>
      </vt:variant>
      <vt:variant>
        <vt:lpwstr>_Toc523924895</vt:lpwstr>
      </vt:variant>
      <vt:variant>
        <vt:i4>1114172</vt:i4>
      </vt:variant>
      <vt:variant>
        <vt:i4>137</vt:i4>
      </vt:variant>
      <vt:variant>
        <vt:i4>0</vt:i4>
      </vt:variant>
      <vt:variant>
        <vt:i4>5</vt:i4>
      </vt:variant>
      <vt:variant>
        <vt:lpwstr/>
      </vt:variant>
      <vt:variant>
        <vt:lpwstr>_Toc523924894</vt:lpwstr>
      </vt:variant>
      <vt:variant>
        <vt:i4>1114172</vt:i4>
      </vt:variant>
      <vt:variant>
        <vt:i4>131</vt:i4>
      </vt:variant>
      <vt:variant>
        <vt:i4>0</vt:i4>
      </vt:variant>
      <vt:variant>
        <vt:i4>5</vt:i4>
      </vt:variant>
      <vt:variant>
        <vt:lpwstr/>
      </vt:variant>
      <vt:variant>
        <vt:lpwstr>_Toc523924893</vt:lpwstr>
      </vt:variant>
      <vt:variant>
        <vt:i4>1114172</vt:i4>
      </vt:variant>
      <vt:variant>
        <vt:i4>125</vt:i4>
      </vt:variant>
      <vt:variant>
        <vt:i4>0</vt:i4>
      </vt:variant>
      <vt:variant>
        <vt:i4>5</vt:i4>
      </vt:variant>
      <vt:variant>
        <vt:lpwstr/>
      </vt:variant>
      <vt:variant>
        <vt:lpwstr>_Toc523924892</vt:lpwstr>
      </vt:variant>
      <vt:variant>
        <vt:i4>1114172</vt:i4>
      </vt:variant>
      <vt:variant>
        <vt:i4>119</vt:i4>
      </vt:variant>
      <vt:variant>
        <vt:i4>0</vt:i4>
      </vt:variant>
      <vt:variant>
        <vt:i4>5</vt:i4>
      </vt:variant>
      <vt:variant>
        <vt:lpwstr/>
      </vt:variant>
      <vt:variant>
        <vt:lpwstr>_Toc523924891</vt:lpwstr>
      </vt:variant>
      <vt:variant>
        <vt:i4>1114172</vt:i4>
      </vt:variant>
      <vt:variant>
        <vt:i4>113</vt:i4>
      </vt:variant>
      <vt:variant>
        <vt:i4>0</vt:i4>
      </vt:variant>
      <vt:variant>
        <vt:i4>5</vt:i4>
      </vt:variant>
      <vt:variant>
        <vt:lpwstr/>
      </vt:variant>
      <vt:variant>
        <vt:lpwstr>_Toc523924890</vt:lpwstr>
      </vt:variant>
      <vt:variant>
        <vt:i4>1048636</vt:i4>
      </vt:variant>
      <vt:variant>
        <vt:i4>107</vt:i4>
      </vt:variant>
      <vt:variant>
        <vt:i4>0</vt:i4>
      </vt:variant>
      <vt:variant>
        <vt:i4>5</vt:i4>
      </vt:variant>
      <vt:variant>
        <vt:lpwstr/>
      </vt:variant>
      <vt:variant>
        <vt:lpwstr>_Toc523924889</vt:lpwstr>
      </vt:variant>
      <vt:variant>
        <vt:i4>1048636</vt:i4>
      </vt:variant>
      <vt:variant>
        <vt:i4>101</vt:i4>
      </vt:variant>
      <vt:variant>
        <vt:i4>0</vt:i4>
      </vt:variant>
      <vt:variant>
        <vt:i4>5</vt:i4>
      </vt:variant>
      <vt:variant>
        <vt:lpwstr/>
      </vt:variant>
      <vt:variant>
        <vt:lpwstr>_Toc523924888</vt:lpwstr>
      </vt:variant>
      <vt:variant>
        <vt:i4>1048636</vt:i4>
      </vt:variant>
      <vt:variant>
        <vt:i4>95</vt:i4>
      </vt:variant>
      <vt:variant>
        <vt:i4>0</vt:i4>
      </vt:variant>
      <vt:variant>
        <vt:i4>5</vt:i4>
      </vt:variant>
      <vt:variant>
        <vt:lpwstr/>
      </vt:variant>
      <vt:variant>
        <vt:lpwstr>_Toc523924887</vt:lpwstr>
      </vt:variant>
      <vt:variant>
        <vt:i4>1048636</vt:i4>
      </vt:variant>
      <vt:variant>
        <vt:i4>89</vt:i4>
      </vt:variant>
      <vt:variant>
        <vt:i4>0</vt:i4>
      </vt:variant>
      <vt:variant>
        <vt:i4>5</vt:i4>
      </vt:variant>
      <vt:variant>
        <vt:lpwstr/>
      </vt:variant>
      <vt:variant>
        <vt:lpwstr>_Toc523924886</vt:lpwstr>
      </vt:variant>
      <vt:variant>
        <vt:i4>1048636</vt:i4>
      </vt:variant>
      <vt:variant>
        <vt:i4>83</vt:i4>
      </vt:variant>
      <vt:variant>
        <vt:i4>0</vt:i4>
      </vt:variant>
      <vt:variant>
        <vt:i4>5</vt:i4>
      </vt:variant>
      <vt:variant>
        <vt:lpwstr/>
      </vt:variant>
      <vt:variant>
        <vt:lpwstr>_Toc523924885</vt:lpwstr>
      </vt:variant>
      <vt:variant>
        <vt:i4>1048636</vt:i4>
      </vt:variant>
      <vt:variant>
        <vt:i4>77</vt:i4>
      </vt:variant>
      <vt:variant>
        <vt:i4>0</vt:i4>
      </vt:variant>
      <vt:variant>
        <vt:i4>5</vt:i4>
      </vt:variant>
      <vt:variant>
        <vt:lpwstr/>
      </vt:variant>
      <vt:variant>
        <vt:lpwstr>_Toc523924884</vt:lpwstr>
      </vt:variant>
      <vt:variant>
        <vt:i4>1048636</vt:i4>
      </vt:variant>
      <vt:variant>
        <vt:i4>71</vt:i4>
      </vt:variant>
      <vt:variant>
        <vt:i4>0</vt:i4>
      </vt:variant>
      <vt:variant>
        <vt:i4>5</vt:i4>
      </vt:variant>
      <vt:variant>
        <vt:lpwstr/>
      </vt:variant>
      <vt:variant>
        <vt:lpwstr>_Toc523924883</vt:lpwstr>
      </vt:variant>
      <vt:variant>
        <vt:i4>1048636</vt:i4>
      </vt:variant>
      <vt:variant>
        <vt:i4>65</vt:i4>
      </vt:variant>
      <vt:variant>
        <vt:i4>0</vt:i4>
      </vt:variant>
      <vt:variant>
        <vt:i4>5</vt:i4>
      </vt:variant>
      <vt:variant>
        <vt:lpwstr/>
      </vt:variant>
      <vt:variant>
        <vt:lpwstr>_Toc523924882</vt:lpwstr>
      </vt:variant>
      <vt:variant>
        <vt:i4>1048636</vt:i4>
      </vt:variant>
      <vt:variant>
        <vt:i4>59</vt:i4>
      </vt:variant>
      <vt:variant>
        <vt:i4>0</vt:i4>
      </vt:variant>
      <vt:variant>
        <vt:i4>5</vt:i4>
      </vt:variant>
      <vt:variant>
        <vt:lpwstr/>
      </vt:variant>
      <vt:variant>
        <vt:lpwstr>_Toc523924881</vt:lpwstr>
      </vt:variant>
      <vt:variant>
        <vt:i4>1048636</vt:i4>
      </vt:variant>
      <vt:variant>
        <vt:i4>53</vt:i4>
      </vt:variant>
      <vt:variant>
        <vt:i4>0</vt:i4>
      </vt:variant>
      <vt:variant>
        <vt:i4>5</vt:i4>
      </vt:variant>
      <vt:variant>
        <vt:lpwstr/>
      </vt:variant>
      <vt:variant>
        <vt:lpwstr>_Toc523924880</vt:lpwstr>
      </vt:variant>
      <vt:variant>
        <vt:i4>2031676</vt:i4>
      </vt:variant>
      <vt:variant>
        <vt:i4>47</vt:i4>
      </vt:variant>
      <vt:variant>
        <vt:i4>0</vt:i4>
      </vt:variant>
      <vt:variant>
        <vt:i4>5</vt:i4>
      </vt:variant>
      <vt:variant>
        <vt:lpwstr/>
      </vt:variant>
      <vt:variant>
        <vt:lpwstr>_Toc523924879</vt:lpwstr>
      </vt:variant>
      <vt:variant>
        <vt:i4>2031676</vt:i4>
      </vt:variant>
      <vt:variant>
        <vt:i4>41</vt:i4>
      </vt:variant>
      <vt:variant>
        <vt:i4>0</vt:i4>
      </vt:variant>
      <vt:variant>
        <vt:i4>5</vt:i4>
      </vt:variant>
      <vt:variant>
        <vt:lpwstr/>
      </vt:variant>
      <vt:variant>
        <vt:lpwstr>_Toc523924878</vt:lpwstr>
      </vt:variant>
      <vt:variant>
        <vt:i4>2031676</vt:i4>
      </vt:variant>
      <vt:variant>
        <vt:i4>35</vt:i4>
      </vt:variant>
      <vt:variant>
        <vt:i4>0</vt:i4>
      </vt:variant>
      <vt:variant>
        <vt:i4>5</vt:i4>
      </vt:variant>
      <vt:variant>
        <vt:lpwstr/>
      </vt:variant>
      <vt:variant>
        <vt:lpwstr>_Toc523924877</vt:lpwstr>
      </vt:variant>
      <vt:variant>
        <vt:i4>2031676</vt:i4>
      </vt:variant>
      <vt:variant>
        <vt:i4>29</vt:i4>
      </vt:variant>
      <vt:variant>
        <vt:i4>0</vt:i4>
      </vt:variant>
      <vt:variant>
        <vt:i4>5</vt:i4>
      </vt:variant>
      <vt:variant>
        <vt:lpwstr/>
      </vt:variant>
      <vt:variant>
        <vt:lpwstr>_Toc523924876</vt:lpwstr>
      </vt:variant>
      <vt:variant>
        <vt:i4>2031676</vt:i4>
      </vt:variant>
      <vt:variant>
        <vt:i4>23</vt:i4>
      </vt:variant>
      <vt:variant>
        <vt:i4>0</vt:i4>
      </vt:variant>
      <vt:variant>
        <vt:i4>5</vt:i4>
      </vt:variant>
      <vt:variant>
        <vt:lpwstr/>
      </vt:variant>
      <vt:variant>
        <vt:lpwstr>_Toc523924875</vt:lpwstr>
      </vt:variant>
      <vt:variant>
        <vt:i4>2031676</vt:i4>
      </vt:variant>
      <vt:variant>
        <vt:i4>17</vt:i4>
      </vt:variant>
      <vt:variant>
        <vt:i4>0</vt:i4>
      </vt:variant>
      <vt:variant>
        <vt:i4>5</vt:i4>
      </vt:variant>
      <vt:variant>
        <vt:lpwstr/>
      </vt:variant>
      <vt:variant>
        <vt:lpwstr>_Toc523924874</vt:lpwstr>
      </vt:variant>
      <vt:variant>
        <vt:i4>2031676</vt:i4>
      </vt:variant>
      <vt:variant>
        <vt:i4>11</vt:i4>
      </vt:variant>
      <vt:variant>
        <vt:i4>0</vt:i4>
      </vt:variant>
      <vt:variant>
        <vt:i4>5</vt:i4>
      </vt:variant>
      <vt:variant>
        <vt:lpwstr/>
      </vt:variant>
      <vt:variant>
        <vt:lpwstr>_Toc523924873</vt:lpwstr>
      </vt:variant>
      <vt:variant>
        <vt:i4>2031676</vt:i4>
      </vt:variant>
      <vt:variant>
        <vt:i4>5</vt:i4>
      </vt:variant>
      <vt:variant>
        <vt:i4>0</vt:i4>
      </vt:variant>
      <vt:variant>
        <vt:i4>5</vt:i4>
      </vt:variant>
      <vt:variant>
        <vt:lpwstr/>
      </vt:variant>
      <vt:variant>
        <vt:lpwstr>_Toc523924872</vt:lpwstr>
      </vt:variant>
      <vt:variant>
        <vt:i4>7274590</vt:i4>
      </vt:variant>
      <vt:variant>
        <vt:i4>300521</vt:i4>
      </vt:variant>
      <vt:variant>
        <vt:i4>1033</vt:i4>
      </vt:variant>
      <vt:variant>
        <vt:i4>1</vt:i4>
      </vt:variant>
      <vt:variant>
        <vt:lpwstr>cid:image003.png@01D41900.29D3FC80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Safety Authority</dc:title>
  <dc:subject>Annual report 2017-18</dc:subject>
  <dc:creator>Civil Aviation Safety Authority</dc:creator>
  <cp:keywords/>
  <cp:lastModifiedBy>Larkins, Bernadette</cp:lastModifiedBy>
  <cp:revision>10</cp:revision>
  <cp:lastPrinted>2018-09-06T02:12:00Z</cp:lastPrinted>
  <dcterms:created xsi:type="dcterms:W3CDTF">2018-11-27T05:21:00Z</dcterms:created>
  <dcterms:modified xsi:type="dcterms:W3CDTF">2018-11-28T01:51:00Z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