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F7211C" w:rsidP="006E6B86">
            <w:r>
              <w:t>C</w:t>
            </w:r>
            <w:r w:rsidR="008975F3">
              <w:t>PL(H) 37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540AE1" w:rsidP="00CC08CA">
            <w:pPr>
              <w:pStyle w:val="tablebullet1"/>
            </w:pPr>
            <w:r>
              <w:t>Consolidation and practise of previously introduced principles and techniques</w:t>
            </w:r>
            <w:bookmarkStart w:id="0" w:name="_GoBack"/>
            <w:bookmarkEnd w:id="0"/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540AE1">
              <w:t xml:space="preserve">As required. </w:t>
            </w:r>
            <w:r>
              <w:t xml:space="preserve">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D472B4">
              <w:t>Basic Instrument Flight</w:t>
            </w:r>
            <w:r w:rsidR="00EA65C7">
              <w:t xml:space="preserve"> </w:t>
            </w:r>
          </w:p>
          <w:p w:rsidR="00CC08CA" w:rsidRPr="008462C8" w:rsidRDefault="00540AE1" w:rsidP="00CC08CA">
            <w:pPr>
              <w:pStyle w:val="tablebullet1"/>
            </w:pPr>
            <w:r>
              <w:t>Review/expand previously introduced material as required.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CF5F48" w:rsidRPr="008462C8" w:rsidRDefault="008144F5" w:rsidP="00540AE1">
            <w:pPr>
              <w:pStyle w:val="tablebullet1"/>
            </w:pPr>
            <w:r>
              <w:t>Review/expand previously introduced knowledge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D472B4" w:rsidP="00FA3399">
            <w:pPr>
              <w:pStyle w:val="tablebullet1"/>
            </w:pPr>
            <w:r>
              <w:t>Ensure VMC can be maintained</w:t>
            </w:r>
          </w:p>
          <w:p w:rsidR="00D472B4" w:rsidRDefault="00D472B4" w:rsidP="00FA3399">
            <w:pPr>
              <w:pStyle w:val="tablebullet1"/>
            </w:pPr>
            <w:r>
              <w:t>Look out for traffic.</w:t>
            </w:r>
          </w:p>
          <w:p w:rsidR="00FA3399" w:rsidRDefault="00FA3399" w:rsidP="00FA3399">
            <w:pPr>
              <w:pStyle w:val="tablebullet1"/>
            </w:pPr>
            <w:r>
              <w:t>Maintain situational awareness</w:t>
            </w:r>
          </w:p>
          <w:p w:rsidR="00CC08CA" w:rsidRPr="008462C8" w:rsidRDefault="00FA3399" w:rsidP="00CC08CA">
            <w:pPr>
              <w:pStyle w:val="tablebullet1"/>
            </w:pPr>
            <w:r>
              <w:t>Use correct handover /take over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Default="009E6D94" w:rsidP="006E6B86"/>
    <w:p w:rsidR="00605089" w:rsidRPr="006E6B86" w:rsidRDefault="00605089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605089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Default="00D03D76" w:rsidP="006E6B86"/>
    <w:p w:rsidR="00605089" w:rsidRPr="006E6B86" w:rsidRDefault="00605089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68"/>
        <w:gridCol w:w="8305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lastRenderedPageBreak/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</w:t>
            </w:r>
            <w:r w:rsidR="006F361F">
              <w:t xml:space="preserve"> time [1.2</w:t>
            </w:r>
            <w:r w:rsidR="005E32A2" w:rsidRPr="006E6B86">
              <w:t xml:space="preserve"> hour</w:t>
            </w:r>
            <w:r w:rsidR="00540AE1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573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68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73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68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Determine and monitor the serviceability of flight instruments and instrument 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serviceability of flight and navigational instruments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functional checks of flight and navigational instruments where applicable prior to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flight instrument and instrument power sources and react to any warnings, unserviceability or erroneous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manoeuvres using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flight instrument indications and apply procedures and techniques to achieve and maintain a specified flight path using the aircraft's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and maintain power and attitude by reference to the full instrument panel to achieve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straight and level performance during normal cruise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nominated climb performance within the flight tolerance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descent performance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and maintain power and attitude by reference to the full instrument panel to establish a rate 1 turn onto a nominated heading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Recover from upset situations and unusual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identify upset situations and unusual attitudes under simulated IMC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recover to controlled flight from upset situations and unusual attitudes under simulated IMC from any combination of the following aircraft states: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(i) high and low-nose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(ii) varying angles of bank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(iii) various power settings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various aircraft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unbalanced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Recognise failure of attitude indicator and stabilised heading indicator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monitor flight instruments and instrument power sources and recognise warning indicators or erroneous instrument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transition from a full instrument panel to a limited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manoeuvres -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interpret and respond appropriately to instrument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power and attitude settings to achieve straight and level performance during: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 normal cruise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(ii) in a helicopter - at minimum power for level flight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power and attitude settings to achieve: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 nominated climb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(ii)  nominated descent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(iii)  during climb, descent and straight and level flight, rate 1 turns onto a nominated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balance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establish level flight at a nominated altitude, from a climb or descent during straight or turning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Recover from upset situations and unusual attitudes -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correctly identify upset situations and unusual attitudes under simulated IMC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recover to stabilised straight and level flight using approved techniques  from upset situations and unusual attitudes under simulated IMC from any combination of the following aircraft states: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(i) high and low-nose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(ii) varying angles of bank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(iii) various power settings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(iv) various aircraft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(v) unbalanced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IFL.4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transition from visual flight conditions to instrument flight conditions while maintaining control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 manoeuvre to 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implement a plan that ensures the flight continues in VMC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8975F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Pr="006E6B86" w:rsidRDefault="00573D12" w:rsidP="00573D12">
      <w:pPr>
        <w:tabs>
          <w:tab w:val="left" w:pos="7860"/>
        </w:tabs>
      </w:pPr>
      <w:r>
        <w:tab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605089" w:rsidRDefault="00605089" w:rsidP="006E6B86"/>
    <w:p w:rsidR="00605089" w:rsidRDefault="00605089" w:rsidP="00605089"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6050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lastRenderedPageBreak/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605089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605089">
        <w:trPr>
          <w:trHeight w:val="258"/>
        </w:trPr>
        <w:tc>
          <w:tcPr>
            <w:tcW w:w="734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AE1" w:rsidRDefault="00540AE1" w:rsidP="00061457">
      <w:r>
        <w:separator/>
      </w:r>
    </w:p>
  </w:endnote>
  <w:endnote w:type="continuationSeparator" w:id="0">
    <w:p w:rsidR="00540AE1" w:rsidRDefault="00540AE1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Default="00540AE1">
    <w:pPr>
      <w:pStyle w:val="Footer"/>
    </w:pPr>
    <w:r>
      <w:t xml:space="preserve">CPL(H) 37  </w:t>
    </w:r>
    <w:r w:rsidR="00605089">
      <w:fldChar w:fldCharType="begin"/>
    </w:r>
    <w:r w:rsidR="00605089">
      <w:instrText xml:space="preserve"> DOCPROPERTY  Version  \* MERGEFORMAT </w:instrText>
    </w:r>
    <w:r w:rsidR="00605089">
      <w:fldChar w:fldCharType="separate"/>
    </w:r>
    <w:r w:rsidR="00605089">
      <w:t>v1.1</w:t>
    </w:r>
    <w:r w:rsidR="00605089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605089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60508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Pr="00AB198B" w:rsidRDefault="00540AE1" w:rsidP="00682F97">
    <w:pPr>
      <w:pStyle w:val="Footer"/>
      <w:tabs>
        <w:tab w:val="left" w:pos="8010"/>
      </w:tabs>
    </w:pPr>
    <w:r>
      <w:t xml:space="preserve">CPL(H) 37  </w:t>
    </w:r>
    <w:r w:rsidR="00605089">
      <w:fldChar w:fldCharType="begin"/>
    </w:r>
    <w:r w:rsidR="00605089">
      <w:instrText xml:space="preserve"> DOCPROPERTY  Version  \* MERGEFORMAT </w:instrText>
    </w:r>
    <w:r w:rsidR="00605089">
      <w:fldChar w:fldCharType="separate"/>
    </w:r>
    <w:r w:rsidR="00605089">
      <w:t>v1.1</w:t>
    </w:r>
    <w:r w:rsidR="00605089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605089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60508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AE1" w:rsidRDefault="00540AE1" w:rsidP="00061457">
      <w:r>
        <w:separator/>
      </w:r>
    </w:p>
  </w:footnote>
  <w:footnote w:type="continuationSeparator" w:id="0">
    <w:p w:rsidR="00540AE1" w:rsidRDefault="00540AE1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Pr="006E6B86" w:rsidRDefault="00540AE1" w:rsidP="00D472B4">
    <w:pPr>
      <w:pStyle w:val="Syllabuslessonplan"/>
    </w:pPr>
    <w:r w:rsidRPr="006E6B86">
      <w:t>LESSON PLAN AND TRAINING record</w:t>
    </w:r>
  </w:p>
  <w:p w:rsidR="00540AE1" w:rsidRPr="006E6B86" w:rsidRDefault="00540AE1" w:rsidP="00D472B4">
    <w:pPr>
      <w:pStyle w:val="Syllabuslessonplan"/>
    </w:pPr>
    <w:r>
      <w:t>CPL(H)  37</w:t>
    </w:r>
    <w:r w:rsidRPr="006E6B86">
      <w:t xml:space="preserve">: </w:t>
    </w:r>
    <w:r>
      <w:t>basic instrument flight</w:t>
    </w:r>
  </w:p>
  <w:p w:rsidR="00540AE1" w:rsidRPr="00324A25" w:rsidRDefault="00540AE1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E1" w:rsidRDefault="00540AE1" w:rsidP="0021700B">
    <w:pPr>
      <w:pStyle w:val="TrainingCoursetitle"/>
    </w:pPr>
    <w:r>
      <w:t>Commercial Pilot Licence – Helicopter Category Rating</w:t>
    </w:r>
  </w:p>
  <w:p w:rsidR="00540AE1" w:rsidRPr="006E6B86" w:rsidRDefault="00540AE1" w:rsidP="006E6B86"/>
  <w:p w:rsidR="00540AE1" w:rsidRPr="006E6B86" w:rsidRDefault="00540AE1" w:rsidP="00161953">
    <w:pPr>
      <w:pStyle w:val="Syllabuslessonplan"/>
    </w:pPr>
    <w:r w:rsidRPr="006E6B86">
      <w:t>LESSON PLAN AND TRAINING record</w:t>
    </w:r>
  </w:p>
  <w:p w:rsidR="00540AE1" w:rsidRPr="006E6B86" w:rsidRDefault="00540AE1" w:rsidP="00161953">
    <w:pPr>
      <w:pStyle w:val="Syllabuslessonplan"/>
    </w:pPr>
    <w:r>
      <w:t>CPL(H)  37</w:t>
    </w:r>
    <w:r w:rsidRPr="006E6B86">
      <w:t xml:space="preserve">: </w:t>
    </w:r>
    <w:r>
      <w:t>basic instrument flight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E14D9"/>
    <w:multiLevelType w:val="hybridMultilevel"/>
    <w:tmpl w:val="10DC290A"/>
    <w:lvl w:ilvl="0" w:tplc="E62472EC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55D67C62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47CCF1CE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2974AA5A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C040DB7A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98DA7AF6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AE880B04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0F743C7A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73A2677E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3">
    <w:nsid w:val="3FEA3131"/>
    <w:multiLevelType w:val="hybridMultilevel"/>
    <w:tmpl w:val="C17892B0"/>
    <w:lvl w:ilvl="0" w:tplc="DBDACAD2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6ED8F47A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916E90C8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D16480D6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1046BEE4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E954FD00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A6768642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F9863F78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3E34C170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4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4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F12EA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850FD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40AE1"/>
    <w:rsid w:val="005615A0"/>
    <w:rsid w:val="00564EC3"/>
    <w:rsid w:val="00573D12"/>
    <w:rsid w:val="00581D2F"/>
    <w:rsid w:val="005865E8"/>
    <w:rsid w:val="00596722"/>
    <w:rsid w:val="005A6415"/>
    <w:rsid w:val="005B77A5"/>
    <w:rsid w:val="005D7A9A"/>
    <w:rsid w:val="005E32A2"/>
    <w:rsid w:val="005F301B"/>
    <w:rsid w:val="00605089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6F361F"/>
    <w:rsid w:val="00706119"/>
    <w:rsid w:val="00711982"/>
    <w:rsid w:val="00725AA5"/>
    <w:rsid w:val="007333CA"/>
    <w:rsid w:val="007436FA"/>
    <w:rsid w:val="00763714"/>
    <w:rsid w:val="007676CD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975F3"/>
    <w:rsid w:val="008A4AAD"/>
    <w:rsid w:val="008B133B"/>
    <w:rsid w:val="008C0739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1F5A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60CFF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96FE8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08CA"/>
    <w:rsid w:val="00CC31B3"/>
    <w:rsid w:val="00CE1FBA"/>
    <w:rsid w:val="00CE4AF5"/>
    <w:rsid w:val="00CF5F48"/>
    <w:rsid w:val="00CF6151"/>
    <w:rsid w:val="00CF682E"/>
    <w:rsid w:val="00D03D76"/>
    <w:rsid w:val="00D13262"/>
    <w:rsid w:val="00D13CED"/>
    <w:rsid w:val="00D36794"/>
    <w:rsid w:val="00D36AA2"/>
    <w:rsid w:val="00D472B4"/>
    <w:rsid w:val="00D576C1"/>
    <w:rsid w:val="00D57CAE"/>
    <w:rsid w:val="00D74C0B"/>
    <w:rsid w:val="00D8789A"/>
    <w:rsid w:val="00D9681B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00C7"/>
    <w:rsid w:val="00EB6B47"/>
    <w:rsid w:val="00EC1E86"/>
    <w:rsid w:val="00EC5336"/>
    <w:rsid w:val="00EC5BAC"/>
    <w:rsid w:val="00EE45B8"/>
    <w:rsid w:val="00EE6D8A"/>
    <w:rsid w:val="00EE7FDD"/>
    <w:rsid w:val="00F04DE8"/>
    <w:rsid w:val="00F17425"/>
    <w:rsid w:val="00F351EF"/>
    <w:rsid w:val="00F476F4"/>
    <w:rsid w:val="00F6601C"/>
    <w:rsid w:val="00F7211C"/>
    <w:rsid w:val="00F84AC0"/>
    <w:rsid w:val="00F871EE"/>
    <w:rsid w:val="00F92F28"/>
    <w:rsid w:val="00F971D9"/>
    <w:rsid w:val="00FA339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DAFD2-445F-4539-BC7A-7BEB3B9DD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64</cp:revision>
  <cp:lastPrinted>2015-10-27T04:23:00Z</cp:lastPrinted>
  <dcterms:created xsi:type="dcterms:W3CDTF">2016-01-19T06:40:00Z</dcterms:created>
  <dcterms:modified xsi:type="dcterms:W3CDTF">2016-10-11T02:28:00Z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