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910653" w:rsidP="006E6B86">
            <w:proofErr w:type="gramStart"/>
            <w:r>
              <w:t>C</w:t>
            </w:r>
            <w:r w:rsidR="00087CD2">
              <w:t>PL(</w:t>
            </w:r>
            <w:proofErr w:type="gramEnd"/>
            <w:r w:rsidR="00087CD2">
              <w:t>H)8.___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AB4A5C" w:rsidP="00771D5A">
            <w:pPr>
              <w:pStyle w:val="tablebullet1"/>
            </w:pPr>
            <w:r>
              <w:t>Conduct circuits at an a</w:t>
            </w:r>
            <w:r w:rsidR="00771D5A">
              <w:t>erodrome</w:t>
            </w:r>
          </w:p>
          <w:p w:rsidR="004D62D6" w:rsidRDefault="004D62D6" w:rsidP="009048D4">
            <w:pPr>
              <w:pStyle w:val="tablebullet1"/>
            </w:pPr>
            <w:r>
              <w:t xml:space="preserve">Consolidate previous </w:t>
            </w:r>
            <w:r w:rsidR="001A4460">
              <w:t>flight techniques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4D62D6">
              <w:t xml:space="preserve">1.0 hour   </w:t>
            </w:r>
            <w:r w:rsidR="001530F0">
              <w:t xml:space="preserve"> Pre-flight</w:t>
            </w:r>
            <w:r w:rsidR="001530F0" w:rsidRPr="008462C8">
              <w:t xml:space="preserve"> Briefing:</w:t>
            </w:r>
            <w:r w:rsidR="004D62D6">
              <w:t xml:space="preserve"> 0.3 hour</w:t>
            </w:r>
          </w:p>
          <w:p w:rsidR="00EE6D8A" w:rsidRPr="008462C8" w:rsidRDefault="00EE6D8A" w:rsidP="008462C8">
            <w:r w:rsidRPr="008462C8">
              <w:t>Underpinning knowledge</w:t>
            </w:r>
            <w:r w:rsidR="00527343" w:rsidRPr="008462C8">
              <w:t xml:space="preserve">: </w:t>
            </w:r>
            <w:r w:rsidR="004D62D6"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771D5A">
              <w:t xml:space="preserve">Circuits </w:t>
            </w:r>
          </w:p>
          <w:p w:rsidR="001A4460" w:rsidRDefault="001A4460" w:rsidP="001A4460">
            <w:pPr>
              <w:pStyle w:val="tablebullet1"/>
            </w:pPr>
            <w:r>
              <w:t>Circuit pattern</w:t>
            </w:r>
          </w:p>
          <w:p w:rsidR="001A4460" w:rsidRDefault="001A4460" w:rsidP="001A4460">
            <w:pPr>
              <w:pStyle w:val="tablebullet1"/>
            </w:pPr>
            <w:r>
              <w:t>Local aerodrome circuit procedures</w:t>
            </w:r>
          </w:p>
          <w:p w:rsidR="001A4460" w:rsidRDefault="001A4460" w:rsidP="001A4460">
            <w:pPr>
              <w:pStyle w:val="tablebullet1"/>
            </w:pPr>
            <w:r>
              <w:t xml:space="preserve">Required radio calls </w:t>
            </w:r>
          </w:p>
          <w:p w:rsidR="001A4460" w:rsidRDefault="001A4460" w:rsidP="001A4460">
            <w:pPr>
              <w:pStyle w:val="tablebullet1"/>
            </w:pPr>
            <w:r>
              <w:t>Pre-landing checks</w:t>
            </w:r>
          </w:p>
          <w:p w:rsidR="001A4460" w:rsidRDefault="001A4460" w:rsidP="001A4460">
            <w:pPr>
              <w:pStyle w:val="tablebullet1"/>
            </w:pPr>
            <w:r>
              <w:t>Traffic management</w:t>
            </w:r>
          </w:p>
          <w:p w:rsidR="001A4460" w:rsidRDefault="001A4460" w:rsidP="001A4460">
            <w:pPr>
              <w:pStyle w:val="tablebullet1"/>
            </w:pPr>
            <w:r>
              <w:t>Interpretation of windsock indications - wind speed and direction</w:t>
            </w:r>
          </w:p>
          <w:p w:rsidR="00C259D4" w:rsidRPr="008462C8" w:rsidRDefault="001A4460" w:rsidP="001A4460">
            <w:pPr>
              <w:pStyle w:val="tablebullet1"/>
            </w:pPr>
            <w:r>
              <w:t>Go-around technique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1A4460" w:rsidRDefault="001A4460" w:rsidP="001A4460">
            <w:pPr>
              <w:pStyle w:val="tablebullet1"/>
            </w:pPr>
            <w:r>
              <w:t>Review/expand previously introduced knowledge as required</w:t>
            </w:r>
          </w:p>
          <w:p w:rsidR="00C84B59" w:rsidRDefault="00C84B59" w:rsidP="00C84B59">
            <w:pPr>
              <w:pStyle w:val="tablebullet1"/>
            </w:pPr>
            <w:r>
              <w:t xml:space="preserve">vortex ring state [H5(b)] </w:t>
            </w:r>
          </w:p>
          <w:p w:rsidR="00C84B59" w:rsidRDefault="00C84B59" w:rsidP="00C84B59">
            <w:pPr>
              <w:pStyle w:val="tablebullet1"/>
            </w:pPr>
            <w:r>
              <w:t>ci</w:t>
            </w:r>
            <w:r w:rsidR="00D24648">
              <w:t>rcuit operating procedures [H5(c</w:t>
            </w:r>
            <w:r>
              <w:t>)]</w:t>
            </w:r>
          </w:p>
          <w:p w:rsidR="00C84B59" w:rsidRDefault="00C84B59" w:rsidP="00C84B59">
            <w:pPr>
              <w:pStyle w:val="tablebullet1"/>
            </w:pPr>
            <w:r>
              <w:t>managing abnormal and e</w:t>
            </w:r>
            <w:r w:rsidR="00D24648">
              <w:t>mergencies in the circuit area [H5(d)]</w:t>
            </w:r>
          </w:p>
          <w:p w:rsidR="00E33F2A" w:rsidRPr="008462C8" w:rsidRDefault="00C84B59" w:rsidP="00C84B59">
            <w:pPr>
              <w:pStyle w:val="tablebullet1"/>
            </w:pPr>
            <w:r>
              <w:t>wind shear, turbulence and wake turbulence</w:t>
            </w:r>
            <w:r w:rsidR="00D24648">
              <w:t xml:space="preserve"> [H5(e)]  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52090A" w:rsidRDefault="0052090A" w:rsidP="0052090A">
            <w:pPr>
              <w:pStyle w:val="tablebullet1"/>
            </w:pPr>
            <w:r>
              <w:t>Effective communication under normal circumstances [NTS1(a)]</w:t>
            </w:r>
          </w:p>
          <w:p w:rsidR="0052090A" w:rsidRDefault="0052090A" w:rsidP="0052090A">
            <w:pPr>
              <w:pStyle w:val="tablebullet1"/>
            </w:pPr>
            <w:r>
              <w:t>Application of situational awareness to identify real or potential environmental or operational threats to flight safety [NTS2(c)]</w:t>
            </w:r>
          </w:p>
          <w:p w:rsidR="0052090A" w:rsidRDefault="0052090A" w:rsidP="0052090A">
            <w:pPr>
              <w:pStyle w:val="tablebullet1"/>
            </w:pPr>
            <w:r>
              <w:t>Developing and implementing plans of action to remove and mitigate threats &amp; errors [NTS2(d)]</w:t>
            </w:r>
          </w:p>
          <w:p w:rsidR="0052090A" w:rsidRDefault="0052090A" w:rsidP="0052090A">
            <w:pPr>
              <w:pStyle w:val="tablebullet1"/>
            </w:pPr>
            <w:r>
              <w:t>Use of checklists to prevent errors [NTS2(h)]</w:t>
            </w:r>
          </w:p>
          <w:p w:rsidR="0052090A" w:rsidRDefault="0052090A" w:rsidP="0052090A">
            <w:pPr>
              <w:pStyle w:val="tablebullet1"/>
            </w:pPr>
            <w:r>
              <w:t>Task mana</w:t>
            </w:r>
            <w:r w:rsidR="00C84B59">
              <w:t>gement, organise workload [NTS2</w:t>
            </w:r>
            <w:r>
              <w:t>(i)]</w:t>
            </w:r>
          </w:p>
          <w:p w:rsidR="0052090A" w:rsidRDefault="0052090A" w:rsidP="0052090A">
            <w:pPr>
              <w:pStyle w:val="tablebullet1"/>
            </w:pPr>
            <w:r>
              <w:t>Visual scan technique - use of clock code, importance of lookout and identification of traffic</w:t>
            </w:r>
          </w:p>
          <w:p w:rsidR="0052090A" w:rsidRDefault="0052090A" w:rsidP="0052090A">
            <w:pPr>
              <w:pStyle w:val="tablebullet1"/>
            </w:pPr>
            <w:r>
              <w:t>Traffic management – speed control, circuit pattern adjustments</w:t>
            </w:r>
          </w:p>
          <w:p w:rsidR="0052090A" w:rsidRDefault="0052090A" w:rsidP="0052090A">
            <w:pPr>
              <w:pStyle w:val="tablebullet1"/>
            </w:pPr>
            <w:r>
              <w:t>Hand over/take over technique (e.g. ‘I have control – you have control’)</w:t>
            </w:r>
          </w:p>
          <w:p w:rsidR="00E33F2A" w:rsidRPr="008462C8" w:rsidRDefault="0052090A" w:rsidP="0052090A">
            <w:pPr>
              <w:pStyle w:val="tablebullet1"/>
            </w:pPr>
            <w:r>
              <w:t>Control technique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Pre-flight briefing</w:t>
            </w:r>
          </w:p>
          <w:p w:rsidR="00C031B6" w:rsidRDefault="00C031B6" w:rsidP="00C031B6">
            <w:pPr>
              <w:pStyle w:val="tablebullet1"/>
            </w:pPr>
            <w:r>
              <w:t>Review flight sequences, what to expect, see &amp; do</w:t>
            </w:r>
          </w:p>
          <w:p w:rsidR="00C031B6" w:rsidRDefault="00C031B6" w:rsidP="00C031B6">
            <w:pPr>
              <w:pStyle w:val="tablebullet1"/>
            </w:pPr>
            <w:r>
              <w:t>Check essential knowledge</w:t>
            </w:r>
          </w:p>
          <w:p w:rsidR="00C031B6" w:rsidRDefault="00C031B6" w:rsidP="00C031B6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C031B6" w:rsidP="00C031B6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957901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8"/>
        <w:gridCol w:w="8345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 [1.0 hour dual]</w:t>
            </w:r>
          </w:p>
        </w:tc>
      </w:tr>
      <w:tr w:rsidR="00121F4A" w:rsidRPr="006E6B86" w:rsidTr="00AB4A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8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AB4A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5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  <w:tcBorders>
              <w:right w:val="nil"/>
            </w:tcBorders>
          </w:tcPr>
          <w:p w:rsidR="00DA515E" w:rsidRDefault="00DA515E" w:rsidP="00DA515E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C1.2</w:t>
            </w:r>
          </w:p>
        </w:tc>
        <w:tc>
          <w:tcPr>
            <w:tcW w:w="8345" w:type="dxa"/>
            <w:tcBorders>
              <w:left w:val="nil"/>
            </w:tcBorders>
          </w:tcPr>
          <w:p w:rsidR="00DA515E" w:rsidRPr="00946041" w:rsidRDefault="00DA515E" w:rsidP="00DA515E">
            <w:pPr>
              <w:pStyle w:val="Heading3"/>
              <w:outlineLvl w:val="2"/>
            </w:pPr>
            <w:r>
              <w:t>Operational communication using an aeronautical radio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DA515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</w:tcPr>
          <w:p w:rsidR="00DA515E" w:rsidRPr="00946041" w:rsidRDefault="00DA515E" w:rsidP="00DA51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5" w:type="dxa"/>
          </w:tcPr>
          <w:p w:rsidR="00DA515E" w:rsidRDefault="00DA515E" w:rsidP="009048D4">
            <w:pPr>
              <w:pStyle w:val="Performancecriteriatext"/>
            </w:pPr>
            <w:r>
              <w:t>maintain effective communication with others on operational matters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</w:tcPr>
          <w:p w:rsidR="00DA515E" w:rsidRPr="00946041" w:rsidRDefault="00DA515E" w:rsidP="00DA515E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5" w:type="dxa"/>
          </w:tcPr>
          <w:p w:rsidR="00DA515E" w:rsidRDefault="00DA515E" w:rsidP="009048D4">
            <w:pPr>
              <w:pStyle w:val="Performancecriteriatext"/>
            </w:pPr>
            <w:r>
              <w:t>communicate effectively in unfamiliar, stressful or non-standard situations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</w:tcPr>
          <w:p w:rsidR="00DA515E" w:rsidRPr="00946041" w:rsidRDefault="00DA515E" w:rsidP="00DA515E">
            <w:pPr>
              <w:pStyle w:val="List-element"/>
              <w:numPr>
                <w:ilvl w:val="0"/>
                <w:numId w:val="0"/>
              </w:numPr>
              <w:ind w:left="284"/>
            </w:pPr>
            <w:r>
              <w:t>(k)</w:t>
            </w:r>
          </w:p>
        </w:tc>
        <w:tc>
          <w:tcPr>
            <w:tcW w:w="8345" w:type="dxa"/>
          </w:tcPr>
          <w:p w:rsidR="00DA515E" w:rsidRDefault="00DA515E" w:rsidP="009048D4">
            <w:pPr>
              <w:pStyle w:val="Performancecriteriatext"/>
            </w:pPr>
            <w:r>
              <w:t>react appropriately to a variety of regional accents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</w:tcPr>
          <w:p w:rsidR="00DA515E" w:rsidRPr="00946041" w:rsidRDefault="00DA515E" w:rsidP="00DA515E">
            <w:pPr>
              <w:pStyle w:val="List-element"/>
              <w:numPr>
                <w:ilvl w:val="0"/>
                <w:numId w:val="0"/>
              </w:numPr>
              <w:ind w:left="284"/>
            </w:pPr>
            <w:r>
              <w:t>(l)</w:t>
            </w:r>
          </w:p>
        </w:tc>
        <w:tc>
          <w:tcPr>
            <w:tcW w:w="8345" w:type="dxa"/>
          </w:tcPr>
          <w:p w:rsidR="00DA515E" w:rsidRDefault="00DA515E" w:rsidP="009048D4">
            <w:pPr>
              <w:pStyle w:val="Performancecriteriatext"/>
            </w:pPr>
            <w:r>
              <w:t>communicate effectively in unexpected, stressful or non-standard situations using standard phraseology or plain English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  <w:tcBorders>
              <w:right w:val="nil"/>
            </w:tcBorders>
          </w:tcPr>
          <w:p w:rsidR="00DA515E" w:rsidRDefault="00DA515E" w:rsidP="00DA515E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C2.1</w:t>
            </w:r>
          </w:p>
        </w:tc>
        <w:tc>
          <w:tcPr>
            <w:tcW w:w="8345" w:type="dxa"/>
            <w:tcBorders>
              <w:left w:val="nil"/>
            </w:tcBorders>
          </w:tcPr>
          <w:p w:rsidR="00DA515E" w:rsidRPr="00946041" w:rsidRDefault="00DA515E" w:rsidP="00DA515E">
            <w:pPr>
              <w:pStyle w:val="Heading3"/>
              <w:outlineLvl w:val="2"/>
            </w:pPr>
            <w:r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DA515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</w:tcPr>
          <w:p w:rsidR="00DA515E" w:rsidRPr="00946041" w:rsidRDefault="00DA515E" w:rsidP="00DA515E">
            <w:pPr>
              <w:pStyle w:val="List-element"/>
              <w:numPr>
                <w:ilvl w:val="0"/>
                <w:numId w:val="0"/>
              </w:numPr>
            </w:pPr>
            <w:r>
              <w:t>(c)</w:t>
            </w:r>
          </w:p>
        </w:tc>
        <w:tc>
          <w:tcPr>
            <w:tcW w:w="8345" w:type="dxa"/>
          </w:tcPr>
          <w:p w:rsidR="00DA515E" w:rsidRDefault="00DA515E" w:rsidP="009048D4">
            <w:pPr>
              <w:pStyle w:val="Performancecriteriatext"/>
            </w:pPr>
            <w:r>
              <w:t>identify special aerodrome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  <w:tcBorders>
              <w:bottom w:val="single" w:sz="4" w:space="0" w:color="auto"/>
            </w:tcBorders>
          </w:tcPr>
          <w:p w:rsidR="00DA515E" w:rsidRPr="00946041" w:rsidRDefault="00DA515E" w:rsidP="00DA515E">
            <w:pPr>
              <w:pStyle w:val="List-element"/>
              <w:numPr>
                <w:ilvl w:val="0"/>
                <w:numId w:val="0"/>
              </w:numPr>
            </w:pPr>
            <w:r>
              <w:t>(e)</w:t>
            </w:r>
          </w:p>
        </w:tc>
        <w:tc>
          <w:tcPr>
            <w:tcW w:w="8345" w:type="dxa"/>
          </w:tcPr>
          <w:p w:rsidR="00DA515E" w:rsidRDefault="00DA515E" w:rsidP="009048D4">
            <w:pPr>
              <w:pStyle w:val="Performancecriteriatext"/>
            </w:pPr>
            <w:r>
              <w:t>determine the suitability of the current and forecast weather conditions for the proposed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  <w:tcBorders>
              <w:right w:val="nil"/>
            </w:tcBorders>
          </w:tcPr>
          <w:p w:rsidR="00DA515E" w:rsidRDefault="00DA515E" w:rsidP="00DA515E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C3.1</w:t>
            </w:r>
          </w:p>
        </w:tc>
        <w:tc>
          <w:tcPr>
            <w:tcW w:w="8345" w:type="dxa"/>
            <w:tcBorders>
              <w:left w:val="nil"/>
            </w:tcBorders>
          </w:tcPr>
          <w:p w:rsidR="00DA515E" w:rsidRPr="00946041" w:rsidRDefault="00DA515E" w:rsidP="00DA515E">
            <w:pPr>
              <w:pStyle w:val="Heading3"/>
              <w:outlineLvl w:val="2"/>
            </w:pPr>
            <w:r w:rsidRPr="008023F2">
              <w:t>Operate radio equipment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DA515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</w:tcPr>
          <w:p w:rsidR="00DA515E" w:rsidRPr="00946041" w:rsidRDefault="00DA515E" w:rsidP="00DA515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DA515E" w:rsidRDefault="00DA515E" w:rsidP="009048D4">
            <w:pPr>
              <w:pStyle w:val="Performancecriteriatext"/>
            </w:pPr>
            <w:r>
              <w:t>confirm serviceability of radio equipment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</w:tcPr>
          <w:p w:rsidR="00DA515E" w:rsidRPr="00946041" w:rsidRDefault="00DA515E" w:rsidP="00DA515E">
            <w:pPr>
              <w:pStyle w:val="List-element"/>
              <w:numPr>
                <w:ilvl w:val="0"/>
                <w:numId w:val="0"/>
              </w:numPr>
            </w:pPr>
            <w:r>
              <w:t>(c)</w:t>
            </w:r>
          </w:p>
        </w:tc>
        <w:tc>
          <w:tcPr>
            <w:tcW w:w="8345" w:type="dxa"/>
          </w:tcPr>
          <w:p w:rsidR="00DA515E" w:rsidRDefault="00DA515E" w:rsidP="009048D4">
            <w:pPr>
              <w:pStyle w:val="Performancecriteriatext"/>
            </w:pPr>
            <w:r>
              <w:t>maintain a listening watch and respond appropriately to applicable transmissions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  <w:tcBorders>
              <w:bottom w:val="single" w:sz="4" w:space="0" w:color="auto"/>
            </w:tcBorders>
          </w:tcPr>
          <w:p w:rsidR="00DA515E" w:rsidRPr="00946041" w:rsidRDefault="00DA515E" w:rsidP="00DA515E">
            <w:pPr>
              <w:pStyle w:val="List-element"/>
              <w:numPr>
                <w:ilvl w:val="0"/>
                <w:numId w:val="0"/>
              </w:numPr>
            </w:pPr>
            <w:r>
              <w:t>(d)</w:t>
            </w:r>
          </w:p>
        </w:tc>
        <w:tc>
          <w:tcPr>
            <w:tcW w:w="8345" w:type="dxa"/>
          </w:tcPr>
          <w:p w:rsidR="00DA515E" w:rsidRDefault="00DA515E" w:rsidP="009048D4">
            <w:pPr>
              <w:pStyle w:val="Performancecriteriatext"/>
            </w:pPr>
            <w:r>
              <w:t>conduct appropriate emergency and urgency transmissions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  <w:tcBorders>
              <w:right w:val="nil"/>
            </w:tcBorders>
          </w:tcPr>
          <w:p w:rsidR="00DA515E" w:rsidRDefault="00DA515E" w:rsidP="00DA515E">
            <w:pPr>
              <w:pStyle w:val="Element"/>
              <w:numPr>
                <w:ilvl w:val="0"/>
                <w:numId w:val="6"/>
              </w:numPr>
              <w:jc w:val="both"/>
            </w:pPr>
            <w:r>
              <w:t>NTS1.1</w:t>
            </w:r>
          </w:p>
        </w:tc>
        <w:tc>
          <w:tcPr>
            <w:tcW w:w="8345" w:type="dxa"/>
            <w:tcBorders>
              <w:left w:val="nil"/>
            </w:tcBorders>
          </w:tcPr>
          <w:p w:rsidR="00DA515E" w:rsidRPr="00946041" w:rsidRDefault="00DA515E" w:rsidP="00DA515E">
            <w:pPr>
              <w:pStyle w:val="Heading3"/>
              <w:outlineLvl w:val="2"/>
            </w:pPr>
            <w:r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DA515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</w:tcPr>
          <w:p w:rsidR="00DA515E" w:rsidRPr="006301CE" w:rsidRDefault="00DA515E" w:rsidP="00DA515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DA515E" w:rsidRPr="00D14578" w:rsidRDefault="00DA515E" w:rsidP="009048D4">
            <w:pPr>
              <w:pStyle w:val="Performancecriteriatext"/>
            </w:pPr>
            <w:r w:rsidRPr="00D14578">
              <w:t>maintain traffic separation using a systematic visual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</w:tcPr>
          <w:p w:rsidR="00DA515E" w:rsidRPr="006301CE" w:rsidRDefault="00DA515E" w:rsidP="00DA515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DA515E" w:rsidRPr="00D14578" w:rsidRDefault="00DA515E" w:rsidP="009048D4">
            <w:pPr>
              <w:pStyle w:val="Performancecriteriatext"/>
            </w:pPr>
            <w:r w:rsidRPr="00D14578">
              <w:t>maintain radio listening watch and interpret transmissions to determine traffic location and intentions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DA515E" w:rsidRPr="00C05437" w:rsidTr="00AB4A5C">
        <w:trPr>
          <w:trHeight w:val="227"/>
        </w:trPr>
        <w:tc>
          <w:tcPr>
            <w:tcW w:w="728" w:type="dxa"/>
            <w:tcBorders>
              <w:bottom w:val="single" w:sz="4" w:space="0" w:color="auto"/>
            </w:tcBorders>
          </w:tcPr>
          <w:p w:rsidR="00DA515E" w:rsidRPr="006301CE" w:rsidRDefault="00DA515E" w:rsidP="00DA515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DA515E" w:rsidRPr="00D14578" w:rsidRDefault="00DA515E" w:rsidP="009048D4">
            <w:pPr>
              <w:pStyle w:val="Performancecriteriatext"/>
            </w:pPr>
            <w:r w:rsidRPr="00D14578">
              <w:t>perform airspace-cleared procedure before commencing any manoeuvre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A515E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A515E" w:rsidRPr="00C05437" w:rsidRDefault="00DA515E" w:rsidP="006E6B86">
            <w:pPr>
              <w:rPr>
                <w:sz w:val="16"/>
                <w:szCs w:val="16"/>
              </w:rPr>
            </w:pPr>
          </w:p>
        </w:tc>
      </w:tr>
      <w:tr w:rsidR="009048D4" w:rsidRPr="00C05437" w:rsidTr="00AB4A5C">
        <w:trPr>
          <w:trHeight w:val="227"/>
        </w:trPr>
        <w:tc>
          <w:tcPr>
            <w:tcW w:w="728" w:type="dxa"/>
            <w:tcBorders>
              <w:right w:val="nil"/>
            </w:tcBorders>
          </w:tcPr>
          <w:p w:rsidR="009048D4" w:rsidRDefault="009048D4" w:rsidP="009048D4">
            <w:pPr>
              <w:pStyle w:val="Element"/>
              <w:numPr>
                <w:ilvl w:val="0"/>
                <w:numId w:val="6"/>
              </w:numPr>
              <w:jc w:val="left"/>
            </w:pPr>
            <w:r>
              <w:lastRenderedPageBreak/>
              <w:t>NTS1.2</w:t>
            </w:r>
          </w:p>
        </w:tc>
        <w:tc>
          <w:tcPr>
            <w:tcW w:w="8345" w:type="dxa"/>
            <w:tcBorders>
              <w:left w:val="nil"/>
            </w:tcBorders>
          </w:tcPr>
          <w:p w:rsidR="009048D4" w:rsidRPr="00946041" w:rsidRDefault="009048D4" w:rsidP="000B0AA6">
            <w:pPr>
              <w:pStyle w:val="Heading3"/>
              <w:outlineLvl w:val="2"/>
            </w:pPr>
            <w:r>
              <w:t>Maintain situational awareness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8D4" w:rsidRPr="00C05437" w:rsidRDefault="009048D4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048D4" w:rsidRPr="00C05437" w:rsidRDefault="009048D4" w:rsidP="006E6B86">
            <w:pPr>
              <w:rPr>
                <w:sz w:val="16"/>
                <w:szCs w:val="16"/>
              </w:rPr>
            </w:pPr>
          </w:p>
        </w:tc>
      </w:tr>
      <w:tr w:rsidR="009048D4" w:rsidRPr="00C05437" w:rsidTr="00AB4A5C">
        <w:trPr>
          <w:trHeight w:val="227"/>
        </w:trPr>
        <w:tc>
          <w:tcPr>
            <w:tcW w:w="728" w:type="dxa"/>
          </w:tcPr>
          <w:p w:rsidR="009048D4" w:rsidRPr="00CB69C0" w:rsidRDefault="009048D4" w:rsidP="009048D4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9048D4" w:rsidRPr="006C6193" w:rsidRDefault="009048D4" w:rsidP="009048D4">
            <w:pPr>
              <w:pStyle w:val="Performancecriteriatext"/>
            </w:pPr>
            <w:r w:rsidRPr="006C6193">
              <w:t>monitor all aircraft systems using a systematic scan technique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8D4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8D4" w:rsidRPr="00C05437" w:rsidRDefault="009048D4" w:rsidP="006E6B86">
            <w:pPr>
              <w:rPr>
                <w:sz w:val="16"/>
                <w:szCs w:val="16"/>
              </w:rPr>
            </w:pPr>
          </w:p>
        </w:tc>
      </w:tr>
      <w:tr w:rsidR="009048D4" w:rsidRPr="00C05437" w:rsidTr="00AB4A5C">
        <w:trPr>
          <w:trHeight w:val="227"/>
        </w:trPr>
        <w:tc>
          <w:tcPr>
            <w:tcW w:w="728" w:type="dxa"/>
          </w:tcPr>
          <w:p w:rsidR="009048D4" w:rsidRPr="00CB69C0" w:rsidRDefault="009048D4" w:rsidP="009048D4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9048D4" w:rsidRPr="006C6193" w:rsidRDefault="009048D4" w:rsidP="009048D4">
            <w:pPr>
              <w:pStyle w:val="Performancecriteriatext"/>
            </w:pPr>
            <w:r w:rsidRPr="006C6193">
              <w:t>collect information to facilitate ongoing system management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8D4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8D4" w:rsidRPr="00C05437" w:rsidRDefault="009048D4" w:rsidP="006E6B86">
            <w:pPr>
              <w:rPr>
                <w:sz w:val="16"/>
                <w:szCs w:val="16"/>
              </w:rPr>
            </w:pPr>
          </w:p>
        </w:tc>
      </w:tr>
      <w:tr w:rsidR="009048D4" w:rsidRPr="00C05437" w:rsidTr="00AB4A5C">
        <w:trPr>
          <w:trHeight w:val="227"/>
        </w:trPr>
        <w:tc>
          <w:tcPr>
            <w:tcW w:w="728" w:type="dxa"/>
          </w:tcPr>
          <w:p w:rsidR="009048D4" w:rsidRPr="00CB69C0" w:rsidRDefault="009048D4" w:rsidP="009048D4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9048D4" w:rsidRPr="006C6193" w:rsidRDefault="009048D4" w:rsidP="009048D4">
            <w:pPr>
              <w:pStyle w:val="Performancecriteriatext"/>
            </w:pPr>
            <w:r w:rsidRPr="006C6193">
              <w:t>monitor flight environment for deviations from planned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8D4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8D4" w:rsidRPr="00C05437" w:rsidRDefault="009048D4" w:rsidP="006E6B86">
            <w:pPr>
              <w:rPr>
                <w:sz w:val="16"/>
                <w:szCs w:val="16"/>
              </w:rPr>
            </w:pPr>
          </w:p>
        </w:tc>
      </w:tr>
      <w:tr w:rsidR="009048D4" w:rsidRPr="00C05437" w:rsidTr="00AB4A5C">
        <w:trPr>
          <w:trHeight w:val="227"/>
        </w:trPr>
        <w:tc>
          <w:tcPr>
            <w:tcW w:w="728" w:type="dxa"/>
            <w:tcBorders>
              <w:bottom w:val="single" w:sz="4" w:space="0" w:color="auto"/>
            </w:tcBorders>
          </w:tcPr>
          <w:p w:rsidR="009048D4" w:rsidRPr="00CB69C0" w:rsidRDefault="009048D4" w:rsidP="009048D4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9048D4" w:rsidRPr="006C6193" w:rsidRDefault="009048D4" w:rsidP="009048D4">
            <w:pPr>
              <w:pStyle w:val="Performancecriteriatext"/>
            </w:pPr>
            <w:r w:rsidRPr="006C6193">
              <w:t>collect flight environment information to update planned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048D4" w:rsidRPr="00C05437" w:rsidRDefault="009048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048D4" w:rsidRPr="00C05437" w:rsidRDefault="009048D4" w:rsidP="006E6B86">
            <w:pPr>
              <w:rPr>
                <w:sz w:val="16"/>
                <w:szCs w:val="16"/>
              </w:rPr>
            </w:pPr>
          </w:p>
        </w:tc>
      </w:tr>
      <w:tr w:rsidR="00AD61CE" w:rsidRPr="00C05437" w:rsidTr="00AB4A5C">
        <w:trPr>
          <w:trHeight w:val="227"/>
        </w:trPr>
        <w:tc>
          <w:tcPr>
            <w:tcW w:w="728" w:type="dxa"/>
            <w:tcBorders>
              <w:right w:val="nil"/>
            </w:tcBorders>
          </w:tcPr>
          <w:p w:rsidR="00AD61CE" w:rsidRPr="00F42ECF" w:rsidRDefault="00AD61CE" w:rsidP="00AD61CE">
            <w:pPr>
              <w:pStyle w:val="Element"/>
              <w:numPr>
                <w:ilvl w:val="0"/>
                <w:numId w:val="6"/>
              </w:numPr>
              <w:jc w:val="left"/>
            </w:pPr>
            <w:r w:rsidRPr="00F42ECF">
              <w:t>H4.4</w:t>
            </w:r>
          </w:p>
        </w:tc>
        <w:tc>
          <w:tcPr>
            <w:tcW w:w="8345" w:type="dxa"/>
            <w:tcBorders>
              <w:left w:val="nil"/>
            </w:tcBorders>
          </w:tcPr>
          <w:p w:rsidR="00AD61CE" w:rsidRPr="00F42ECF" w:rsidRDefault="00AD61CE" w:rsidP="000B0AA6">
            <w:pPr>
              <w:pStyle w:val="Heading3"/>
              <w:outlineLvl w:val="2"/>
            </w:pPr>
            <w:r w:rsidRPr="00F42ECF">
              <w:t>Perform go-</w:t>
            </w:r>
            <w:r w:rsidR="00750C50">
              <w:t>a</w:t>
            </w:r>
            <w:r w:rsidRPr="00F42ECF">
              <w:t>round procedure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D61CE" w:rsidRPr="00C05437" w:rsidRDefault="00AD61CE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D61CE" w:rsidRPr="00C05437" w:rsidRDefault="00AD61CE" w:rsidP="006E6B86">
            <w:pPr>
              <w:rPr>
                <w:sz w:val="16"/>
                <w:szCs w:val="16"/>
              </w:rPr>
            </w:pPr>
          </w:p>
        </w:tc>
      </w:tr>
      <w:tr w:rsidR="00AD61CE" w:rsidRPr="00C05437" w:rsidTr="00AB4A5C">
        <w:trPr>
          <w:trHeight w:val="227"/>
        </w:trPr>
        <w:tc>
          <w:tcPr>
            <w:tcW w:w="728" w:type="dxa"/>
          </w:tcPr>
          <w:p w:rsidR="00AD61CE" w:rsidRPr="00F42ECF" w:rsidRDefault="00AD61CE" w:rsidP="00AD61C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AD61CE" w:rsidRPr="00F42ECF" w:rsidRDefault="00AD61CE" w:rsidP="00750C50">
            <w:pPr>
              <w:pStyle w:val="Performancecriteriatext"/>
            </w:pPr>
            <w:r w:rsidRPr="00F12FDF">
              <w:t>critical situations are recognised and timely decisions are made to go-around in circumstances that require discontin</w:t>
            </w:r>
            <w:r>
              <w:t>uing a</w:t>
            </w:r>
            <w:r w:rsidRPr="00F12FDF">
              <w:t xml:space="preserve"> circuit or approach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D61CE" w:rsidRPr="00C05437" w:rsidRDefault="00AD61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61CE" w:rsidRPr="00C05437" w:rsidRDefault="00AD61CE" w:rsidP="006E6B86">
            <w:pPr>
              <w:rPr>
                <w:sz w:val="16"/>
                <w:szCs w:val="16"/>
              </w:rPr>
            </w:pPr>
          </w:p>
        </w:tc>
      </w:tr>
      <w:tr w:rsidR="00AD61CE" w:rsidRPr="00C05437" w:rsidTr="00AB4A5C">
        <w:trPr>
          <w:trHeight w:val="227"/>
        </w:trPr>
        <w:tc>
          <w:tcPr>
            <w:tcW w:w="728" w:type="dxa"/>
          </w:tcPr>
          <w:p w:rsidR="00AD61CE" w:rsidRPr="00F42ECF" w:rsidRDefault="00AD61CE" w:rsidP="00AD61C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AD61CE" w:rsidRPr="00F42ECF" w:rsidRDefault="00AD61CE" w:rsidP="00750C50">
            <w:r>
              <w:t xml:space="preserve">initiate the go-around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D61CE" w:rsidRPr="00C05437" w:rsidRDefault="00AD61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61CE" w:rsidRPr="00C05437" w:rsidRDefault="00AD61CE" w:rsidP="006E6B86">
            <w:pPr>
              <w:rPr>
                <w:sz w:val="16"/>
                <w:szCs w:val="16"/>
              </w:rPr>
            </w:pPr>
          </w:p>
        </w:tc>
      </w:tr>
      <w:tr w:rsidR="00AD61CE" w:rsidRPr="00C05437" w:rsidTr="00AB4A5C">
        <w:trPr>
          <w:trHeight w:val="227"/>
        </w:trPr>
        <w:tc>
          <w:tcPr>
            <w:tcW w:w="728" w:type="dxa"/>
          </w:tcPr>
          <w:p w:rsidR="00AD61CE" w:rsidRPr="00F42ECF" w:rsidRDefault="00AD61CE" w:rsidP="00AD61C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AD61CE" w:rsidRPr="00F42ECF" w:rsidRDefault="00AD61CE" w:rsidP="00750C50">
            <w:pPr>
              <w:pStyle w:val="Performancecriteriatext"/>
            </w:pPr>
            <w:r w:rsidRPr="00F12FDF">
              <w:t>set power and attitude to initiate safe climb at appropriate IAS from any position in the circuit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D61CE" w:rsidRPr="00C05437" w:rsidRDefault="00AD61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61CE" w:rsidRPr="00C05437" w:rsidRDefault="00AD61CE" w:rsidP="006E6B86">
            <w:pPr>
              <w:rPr>
                <w:sz w:val="16"/>
                <w:szCs w:val="16"/>
              </w:rPr>
            </w:pPr>
          </w:p>
        </w:tc>
      </w:tr>
      <w:tr w:rsidR="00AD61CE" w:rsidRPr="00C05437" w:rsidTr="00AB4A5C">
        <w:trPr>
          <w:trHeight w:val="227"/>
        </w:trPr>
        <w:tc>
          <w:tcPr>
            <w:tcW w:w="728" w:type="dxa"/>
          </w:tcPr>
          <w:p w:rsidR="00AD61CE" w:rsidRPr="00F42ECF" w:rsidRDefault="00AD61CE" w:rsidP="00AD61C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AD61CE" w:rsidRPr="00F42ECF" w:rsidRDefault="00AD61CE" w:rsidP="00750C50">
            <w:pPr>
              <w:pStyle w:val="Performancecriteriatext"/>
            </w:pPr>
            <w:r w:rsidRPr="00F12FDF">
              <w:t>obstructions and traffic are appropriately avoided during the climb following a decision to go-around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D61CE" w:rsidRPr="00C05437" w:rsidRDefault="00AD61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61CE" w:rsidRPr="00C05437" w:rsidRDefault="00AD61CE" w:rsidP="006E6B86">
            <w:pPr>
              <w:rPr>
                <w:sz w:val="16"/>
                <w:szCs w:val="16"/>
              </w:rPr>
            </w:pPr>
          </w:p>
        </w:tc>
      </w:tr>
      <w:tr w:rsidR="00AD61CE" w:rsidRPr="00C05437" w:rsidTr="00AB4A5C">
        <w:trPr>
          <w:trHeight w:val="227"/>
        </w:trPr>
        <w:tc>
          <w:tcPr>
            <w:tcW w:w="728" w:type="dxa"/>
          </w:tcPr>
          <w:p w:rsidR="00AD61CE" w:rsidRPr="00F42ECF" w:rsidRDefault="00AD61CE" w:rsidP="00AD61C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AD61CE" w:rsidRPr="00F42ECF" w:rsidRDefault="00AD61CE" w:rsidP="00750C50">
            <w:pPr>
              <w:pStyle w:val="Performancecriteriatext"/>
            </w:pPr>
            <w:r w:rsidRPr="00F12FDF">
              <w:t>lookout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D61CE" w:rsidRDefault="00AD61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61CE" w:rsidRPr="00C05437" w:rsidRDefault="00AD61CE" w:rsidP="006E6B86">
            <w:pPr>
              <w:rPr>
                <w:sz w:val="16"/>
                <w:szCs w:val="16"/>
              </w:rPr>
            </w:pPr>
          </w:p>
        </w:tc>
      </w:tr>
      <w:tr w:rsidR="00AD61CE" w:rsidRPr="00C05437" w:rsidTr="00AB4A5C">
        <w:trPr>
          <w:trHeight w:val="227"/>
        </w:trPr>
        <w:tc>
          <w:tcPr>
            <w:tcW w:w="728" w:type="dxa"/>
          </w:tcPr>
          <w:p w:rsidR="00AD61CE" w:rsidRPr="00F42ECF" w:rsidRDefault="00AD61CE" w:rsidP="00AD61C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AD61CE" w:rsidRPr="00F42ECF" w:rsidRDefault="00AD61CE" w:rsidP="00750C50">
            <w:pPr>
              <w:pStyle w:val="Performancecriteriatext"/>
            </w:pPr>
            <w:r w:rsidRPr="00F12FDF">
              <w:t xml:space="preserve">situational awareness of circuit traffic </w:t>
            </w:r>
            <w:r>
              <w:t xml:space="preserve">is maintained </w:t>
            </w:r>
            <w:r w:rsidRPr="00F12FDF">
              <w:t>throughout go-round procedure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D61CE" w:rsidRDefault="00AD61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61CE" w:rsidRPr="00C05437" w:rsidRDefault="00AD61CE" w:rsidP="006E6B86">
            <w:pPr>
              <w:rPr>
                <w:sz w:val="16"/>
                <w:szCs w:val="16"/>
              </w:rPr>
            </w:pPr>
          </w:p>
        </w:tc>
      </w:tr>
      <w:tr w:rsidR="00AD61CE" w:rsidRPr="00C05437" w:rsidTr="00AB4A5C">
        <w:trPr>
          <w:trHeight w:val="227"/>
        </w:trPr>
        <w:tc>
          <w:tcPr>
            <w:tcW w:w="728" w:type="dxa"/>
          </w:tcPr>
          <w:p w:rsidR="00AD61CE" w:rsidRPr="00F42ECF" w:rsidRDefault="00AD61CE" w:rsidP="00AD61C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AD61CE" w:rsidRPr="00F42ECF" w:rsidRDefault="00AD61CE" w:rsidP="00750C50">
            <w:pPr>
              <w:pStyle w:val="Performancecriteriatext"/>
            </w:pPr>
            <w:r w:rsidRPr="00C718C0">
              <w:t>after take-off checks are completed in accordance with approved checklist (as required)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D61CE" w:rsidRDefault="00AD61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61CE" w:rsidRPr="00C05437" w:rsidRDefault="00AD61CE" w:rsidP="006E6B86">
            <w:pPr>
              <w:rPr>
                <w:sz w:val="16"/>
                <w:szCs w:val="16"/>
              </w:rPr>
            </w:pPr>
          </w:p>
        </w:tc>
      </w:tr>
      <w:tr w:rsidR="00AD61CE" w:rsidRPr="00C05437" w:rsidTr="00623B0B">
        <w:trPr>
          <w:trHeight w:val="227"/>
        </w:trPr>
        <w:tc>
          <w:tcPr>
            <w:tcW w:w="728" w:type="dxa"/>
            <w:tcBorders>
              <w:bottom w:val="single" w:sz="4" w:space="0" w:color="auto"/>
            </w:tcBorders>
          </w:tcPr>
          <w:p w:rsidR="00AD61CE" w:rsidRPr="00F42ECF" w:rsidRDefault="00AD61CE" w:rsidP="00AD61CE">
            <w:pPr>
              <w:pStyle w:val="List-element"/>
              <w:numPr>
                <w:ilvl w:val="1"/>
                <w:numId w:val="6"/>
              </w:numPr>
              <w:ind w:left="0"/>
            </w:pPr>
          </w:p>
        </w:tc>
        <w:tc>
          <w:tcPr>
            <w:tcW w:w="8345" w:type="dxa"/>
          </w:tcPr>
          <w:p w:rsidR="00AD61CE" w:rsidRPr="00F42ECF" w:rsidRDefault="00AD61CE" w:rsidP="00750C50">
            <w:pPr>
              <w:pStyle w:val="Performancecriteriatext"/>
            </w:pPr>
            <w:r w:rsidRPr="00F12FDF">
              <w:t>local and published noise abatement requirements and curfews are observed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D61CE" w:rsidRDefault="00AD61C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D61CE" w:rsidRPr="00C05437" w:rsidRDefault="00AD61CE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623B0B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AB4A5C" w:rsidRDefault="00AB4A5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H5.6</w:t>
            </w:r>
          </w:p>
        </w:tc>
        <w:tc>
          <w:tcPr>
            <w:tcW w:w="8345" w:type="dxa"/>
            <w:tcBorders>
              <w:left w:val="nil"/>
            </w:tcBorders>
            <w:vAlign w:val="center"/>
          </w:tcPr>
          <w:p w:rsidR="00AB4A5C" w:rsidRDefault="00AB4A5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circuits and approaches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AB4A5C">
        <w:trPr>
          <w:trHeight w:val="227"/>
        </w:trPr>
        <w:tc>
          <w:tcPr>
            <w:tcW w:w="728" w:type="dxa"/>
            <w:vAlign w:val="center"/>
          </w:tcPr>
          <w:p w:rsidR="00AB4A5C" w:rsidRDefault="00AB4A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45" w:type="dxa"/>
            <w:vAlign w:val="center"/>
          </w:tcPr>
          <w:p w:rsidR="00AB4A5C" w:rsidRPr="00AB4A5C" w:rsidRDefault="00AB4A5C">
            <w:pPr>
              <w:rPr>
                <w:rFonts w:cs="Arial"/>
                <w:sz w:val="16"/>
                <w:szCs w:val="16"/>
              </w:rPr>
            </w:pPr>
            <w:r w:rsidRPr="00AB4A5C">
              <w:rPr>
                <w:rFonts w:cs="Arial"/>
                <w:sz w:val="16"/>
                <w:szCs w:val="16"/>
              </w:rPr>
              <w:t>circuits are joined and conducted in accordance with AIP and or local procedures at normal and low altitude appropriate to the helicopter type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AB4A5C">
        <w:trPr>
          <w:trHeight w:val="227"/>
        </w:trPr>
        <w:tc>
          <w:tcPr>
            <w:tcW w:w="728" w:type="dxa"/>
            <w:vAlign w:val="center"/>
          </w:tcPr>
          <w:p w:rsidR="00AB4A5C" w:rsidRDefault="00AB4A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45" w:type="dxa"/>
            <w:vAlign w:val="center"/>
          </w:tcPr>
          <w:p w:rsidR="00AB4A5C" w:rsidRPr="00AB4A5C" w:rsidRDefault="00AB4A5C">
            <w:pPr>
              <w:rPr>
                <w:rFonts w:cs="Arial"/>
                <w:sz w:val="16"/>
                <w:szCs w:val="16"/>
              </w:rPr>
            </w:pPr>
            <w:r w:rsidRPr="00AB4A5C">
              <w:rPr>
                <w:rFonts w:cs="Arial"/>
                <w:sz w:val="16"/>
                <w:szCs w:val="16"/>
              </w:rPr>
              <w:t xml:space="preserve">due allowance is made for the wind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AB4A5C">
        <w:trPr>
          <w:trHeight w:val="227"/>
        </w:trPr>
        <w:tc>
          <w:tcPr>
            <w:tcW w:w="728" w:type="dxa"/>
            <w:vAlign w:val="center"/>
          </w:tcPr>
          <w:p w:rsidR="00AB4A5C" w:rsidRDefault="00AB4A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45" w:type="dxa"/>
            <w:vAlign w:val="center"/>
          </w:tcPr>
          <w:p w:rsidR="00AB4A5C" w:rsidRPr="00AB4A5C" w:rsidRDefault="00AB4A5C">
            <w:pPr>
              <w:rPr>
                <w:rFonts w:cs="Arial"/>
                <w:sz w:val="16"/>
                <w:szCs w:val="16"/>
              </w:rPr>
            </w:pPr>
            <w:r w:rsidRPr="00AB4A5C">
              <w:rPr>
                <w:rFonts w:cs="Arial"/>
                <w:sz w:val="16"/>
                <w:szCs w:val="16"/>
              </w:rPr>
              <w:t>all appropriate checklist items are completed when performing circuits and approaches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AB4A5C">
        <w:trPr>
          <w:trHeight w:val="227"/>
        </w:trPr>
        <w:tc>
          <w:tcPr>
            <w:tcW w:w="728" w:type="dxa"/>
            <w:vAlign w:val="center"/>
          </w:tcPr>
          <w:p w:rsidR="00AB4A5C" w:rsidRDefault="00AB4A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345" w:type="dxa"/>
            <w:vAlign w:val="center"/>
          </w:tcPr>
          <w:p w:rsidR="00AB4A5C" w:rsidRPr="00AB4A5C" w:rsidRDefault="00AB4A5C">
            <w:pPr>
              <w:rPr>
                <w:rFonts w:cs="Arial"/>
                <w:sz w:val="16"/>
                <w:szCs w:val="16"/>
              </w:rPr>
            </w:pPr>
            <w:r w:rsidRPr="00AB4A5C">
              <w:rPr>
                <w:rFonts w:cs="Arial"/>
                <w:sz w:val="16"/>
                <w:szCs w:val="16"/>
              </w:rPr>
              <w:t>radiotelephone procedures are followed during circuit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AB4A5C">
        <w:trPr>
          <w:trHeight w:val="227"/>
        </w:trPr>
        <w:tc>
          <w:tcPr>
            <w:tcW w:w="728" w:type="dxa"/>
            <w:vAlign w:val="center"/>
          </w:tcPr>
          <w:p w:rsidR="00AB4A5C" w:rsidRDefault="00AB4A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345" w:type="dxa"/>
            <w:vAlign w:val="center"/>
          </w:tcPr>
          <w:p w:rsidR="00AB4A5C" w:rsidRPr="00AB4A5C" w:rsidRDefault="00AB4A5C">
            <w:pPr>
              <w:rPr>
                <w:rFonts w:cs="Arial"/>
                <w:sz w:val="16"/>
                <w:szCs w:val="16"/>
              </w:rPr>
            </w:pPr>
            <w:r w:rsidRPr="00AB4A5C">
              <w:rPr>
                <w:rFonts w:cs="Arial"/>
                <w:sz w:val="16"/>
                <w:szCs w:val="16"/>
              </w:rPr>
              <w:t>the approach path applicable to the helicopter type is intercepted and maintained whilst remaining clear of other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AB4A5C">
        <w:trPr>
          <w:trHeight w:val="227"/>
        </w:trPr>
        <w:tc>
          <w:tcPr>
            <w:tcW w:w="728" w:type="dxa"/>
            <w:vAlign w:val="center"/>
          </w:tcPr>
          <w:p w:rsidR="00AB4A5C" w:rsidRDefault="00AB4A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345" w:type="dxa"/>
            <w:vAlign w:val="center"/>
          </w:tcPr>
          <w:p w:rsidR="00AB4A5C" w:rsidRPr="00AB4A5C" w:rsidRDefault="00AB4A5C">
            <w:pPr>
              <w:rPr>
                <w:rFonts w:cs="Arial"/>
                <w:sz w:val="16"/>
                <w:szCs w:val="16"/>
              </w:rPr>
            </w:pPr>
            <w:r w:rsidRPr="00AB4A5C">
              <w:rPr>
                <w:rFonts w:cs="Arial"/>
                <w:sz w:val="16"/>
                <w:szCs w:val="16"/>
              </w:rPr>
              <w:t>helicopter approach is conducted to establish hover or conduct a landing at the nominated termination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AB4A5C">
        <w:trPr>
          <w:trHeight w:val="227"/>
        </w:trPr>
        <w:tc>
          <w:tcPr>
            <w:tcW w:w="728" w:type="dxa"/>
            <w:vAlign w:val="center"/>
          </w:tcPr>
          <w:p w:rsidR="00AB4A5C" w:rsidRDefault="00AB4A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345" w:type="dxa"/>
            <w:vAlign w:val="center"/>
          </w:tcPr>
          <w:p w:rsidR="00AB4A5C" w:rsidRPr="00AB4A5C" w:rsidRDefault="00AB4A5C">
            <w:pPr>
              <w:rPr>
                <w:rFonts w:cs="Arial"/>
                <w:sz w:val="16"/>
                <w:szCs w:val="16"/>
              </w:rPr>
            </w:pPr>
            <w:r w:rsidRPr="00AB4A5C">
              <w:rPr>
                <w:rFonts w:cs="Arial"/>
                <w:sz w:val="16"/>
                <w:szCs w:val="16"/>
              </w:rPr>
              <w:t>lookout is maintained during circuits and approaches using a systematic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AB4A5C">
        <w:trPr>
          <w:trHeight w:val="227"/>
        </w:trPr>
        <w:tc>
          <w:tcPr>
            <w:tcW w:w="728" w:type="dxa"/>
            <w:vAlign w:val="center"/>
          </w:tcPr>
          <w:p w:rsidR="00AB4A5C" w:rsidRDefault="00AB4A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345" w:type="dxa"/>
            <w:vAlign w:val="center"/>
          </w:tcPr>
          <w:p w:rsidR="00AB4A5C" w:rsidRPr="00AB4A5C" w:rsidRDefault="00AB4A5C">
            <w:pPr>
              <w:rPr>
                <w:rFonts w:cs="Arial"/>
                <w:sz w:val="16"/>
                <w:szCs w:val="16"/>
              </w:rPr>
            </w:pPr>
            <w:r w:rsidRPr="00AB4A5C">
              <w:rPr>
                <w:rFonts w:cs="Arial"/>
                <w:sz w:val="16"/>
                <w:szCs w:val="16"/>
              </w:rPr>
              <w:t>conflicting traffic is recognised and appropriate responses are made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AB4A5C">
        <w:trPr>
          <w:trHeight w:val="227"/>
        </w:trPr>
        <w:tc>
          <w:tcPr>
            <w:tcW w:w="728" w:type="dxa"/>
            <w:vAlign w:val="center"/>
          </w:tcPr>
          <w:p w:rsidR="00AB4A5C" w:rsidRDefault="00AB4A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345" w:type="dxa"/>
            <w:vAlign w:val="center"/>
          </w:tcPr>
          <w:p w:rsidR="00AB4A5C" w:rsidRPr="00AB4A5C" w:rsidRDefault="00AB4A5C">
            <w:pPr>
              <w:rPr>
                <w:rFonts w:cs="Arial"/>
                <w:sz w:val="16"/>
                <w:szCs w:val="16"/>
              </w:rPr>
            </w:pPr>
            <w:r w:rsidRPr="00AB4A5C">
              <w:rPr>
                <w:rFonts w:cs="Arial"/>
                <w:sz w:val="16"/>
                <w:szCs w:val="16"/>
              </w:rPr>
              <w:t>right of way rules are applied and compliance with the rules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AB4A5C">
        <w:trPr>
          <w:trHeight w:val="227"/>
        </w:trPr>
        <w:tc>
          <w:tcPr>
            <w:tcW w:w="728" w:type="dxa"/>
            <w:vAlign w:val="center"/>
          </w:tcPr>
          <w:p w:rsidR="00AB4A5C" w:rsidRDefault="00AB4A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(j) </w:t>
            </w:r>
          </w:p>
        </w:tc>
        <w:tc>
          <w:tcPr>
            <w:tcW w:w="8345" w:type="dxa"/>
            <w:vAlign w:val="center"/>
          </w:tcPr>
          <w:p w:rsidR="00AB4A5C" w:rsidRPr="00AB4A5C" w:rsidRDefault="00AB4A5C">
            <w:pPr>
              <w:rPr>
                <w:rFonts w:cs="Arial"/>
                <w:sz w:val="16"/>
                <w:szCs w:val="16"/>
              </w:rPr>
            </w:pPr>
            <w:r w:rsidRPr="00AB4A5C">
              <w:rPr>
                <w:rFonts w:cs="Arial"/>
                <w:sz w:val="16"/>
                <w:szCs w:val="16"/>
              </w:rPr>
              <w:t>weather conditions are monitored and appropriate responses are made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  <w:tr w:rsidR="00AB4A5C" w:rsidRPr="00C05437" w:rsidTr="00AB4A5C">
        <w:trPr>
          <w:trHeight w:val="227"/>
        </w:trPr>
        <w:tc>
          <w:tcPr>
            <w:tcW w:w="728" w:type="dxa"/>
            <w:vAlign w:val="center"/>
          </w:tcPr>
          <w:p w:rsidR="00AB4A5C" w:rsidRDefault="00AB4A5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(k) </w:t>
            </w:r>
          </w:p>
        </w:tc>
        <w:tc>
          <w:tcPr>
            <w:tcW w:w="8345" w:type="dxa"/>
            <w:vAlign w:val="center"/>
          </w:tcPr>
          <w:p w:rsidR="00AB4A5C" w:rsidRPr="00AB4A5C" w:rsidRDefault="00AB4A5C">
            <w:pPr>
              <w:rPr>
                <w:rFonts w:cs="Arial"/>
                <w:sz w:val="16"/>
                <w:szCs w:val="16"/>
              </w:rPr>
            </w:pPr>
            <w:r w:rsidRPr="00AB4A5C">
              <w:rPr>
                <w:rFonts w:cs="Arial"/>
                <w:sz w:val="16"/>
                <w:szCs w:val="16"/>
              </w:rPr>
              <w:t>fuel status is monitored and appropriate responses are made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B4A5C" w:rsidRDefault="00AB4A5C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B4A5C" w:rsidRPr="00C05437" w:rsidRDefault="00AB4A5C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AD61CE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AB4A5C" w:rsidRDefault="00AB4A5C" w:rsidP="006E6B86">
      <w:pPr>
        <w:rPr>
          <w:rStyle w:val="Emphasis"/>
        </w:rPr>
      </w:pPr>
    </w:p>
    <w:p w:rsidR="00AB4A5C" w:rsidRDefault="00AB4A5C" w:rsidP="006E6B86">
      <w:pPr>
        <w:rPr>
          <w:rStyle w:val="Emphasis"/>
        </w:rPr>
      </w:pPr>
    </w:p>
    <w:p w:rsidR="00AB4A5C" w:rsidRDefault="00AB4A5C" w:rsidP="006E6B86">
      <w:pPr>
        <w:rPr>
          <w:rStyle w:val="Emphasis"/>
        </w:rPr>
      </w:pPr>
    </w:p>
    <w:p w:rsidR="00AB4A5C" w:rsidRDefault="00AB4A5C" w:rsidP="006E6B86">
      <w:pPr>
        <w:rPr>
          <w:rStyle w:val="Emphasis"/>
        </w:rPr>
      </w:pPr>
    </w:p>
    <w:p w:rsidR="00AB4A5C" w:rsidRDefault="00AB4A5C" w:rsidP="006E6B86">
      <w:pPr>
        <w:rPr>
          <w:rStyle w:val="Emphasis"/>
        </w:rPr>
      </w:pPr>
    </w:p>
    <w:p w:rsidR="00AB4A5C" w:rsidRDefault="00AB4A5C" w:rsidP="006E6B86">
      <w:pPr>
        <w:rPr>
          <w:rStyle w:val="Emphasis"/>
        </w:rPr>
      </w:pPr>
    </w:p>
    <w:p w:rsidR="00AB4A5C" w:rsidRDefault="00AB4A5C" w:rsidP="006E6B86">
      <w:pPr>
        <w:rPr>
          <w:rStyle w:val="Emphasis"/>
        </w:rPr>
      </w:pPr>
    </w:p>
    <w:p w:rsidR="00957901" w:rsidRDefault="00957901">
      <w:pPr>
        <w:spacing w:after="200" w:line="276" w:lineRule="auto"/>
        <w:rPr>
          <w:rStyle w:val="Emphasis"/>
        </w:rPr>
      </w:pPr>
      <w:r>
        <w:rPr>
          <w:rStyle w:val="Emphasis"/>
        </w:rP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bookmarkStart w:id="0" w:name="_GoBack"/>
            <w:bookmarkEnd w:id="0"/>
            <w:r w:rsidRPr="006E6B86">
              <w:lastRenderedPageBreak/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AB4A5C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  <w:shd w:val="clear" w:color="auto" w:fill="FFFFFF" w:themeFill="background1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426BF1" w:rsidRPr="006E6B86" w:rsidTr="009F30D5">
        <w:trPr>
          <w:trHeight w:val="227"/>
        </w:trPr>
        <w:tc>
          <w:tcPr>
            <w:tcW w:w="709" w:type="dxa"/>
          </w:tcPr>
          <w:p w:rsidR="00426BF1" w:rsidRPr="006E6B86" w:rsidRDefault="00426BF1" w:rsidP="006E6B86"/>
        </w:tc>
        <w:tc>
          <w:tcPr>
            <w:tcW w:w="8363" w:type="dxa"/>
          </w:tcPr>
          <w:p w:rsidR="00426BF1" w:rsidRPr="006E6B86" w:rsidRDefault="00426BF1" w:rsidP="006E6B86"/>
        </w:tc>
        <w:tc>
          <w:tcPr>
            <w:tcW w:w="426" w:type="dxa"/>
            <w:shd w:val="clear" w:color="auto" w:fill="F2F2F2" w:themeFill="background1" w:themeFillShade="F2"/>
          </w:tcPr>
          <w:p w:rsidR="00426BF1" w:rsidRPr="006E6B86" w:rsidRDefault="00426BF1" w:rsidP="006E6B86"/>
        </w:tc>
        <w:tc>
          <w:tcPr>
            <w:tcW w:w="709" w:type="dxa"/>
          </w:tcPr>
          <w:p w:rsidR="00426BF1" w:rsidRPr="006E6B86" w:rsidRDefault="00426BF1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C50" w:rsidRDefault="00750C50" w:rsidP="00061457">
      <w:r>
        <w:separator/>
      </w:r>
    </w:p>
  </w:endnote>
  <w:endnote w:type="continuationSeparator" w:id="0">
    <w:p w:rsidR="00750C50" w:rsidRDefault="00750C50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C50" w:rsidRDefault="00910653">
    <w:pPr>
      <w:pStyle w:val="Footer"/>
    </w:pPr>
    <w:proofErr w:type="gramStart"/>
    <w:r>
      <w:t>C</w:t>
    </w:r>
    <w:r w:rsidR="00750C50">
      <w:t>PL(</w:t>
    </w:r>
    <w:proofErr w:type="gramEnd"/>
    <w:r w:rsidR="00750C50">
      <w:t xml:space="preserve">H) 8 </w:t>
    </w:r>
    <w:r w:rsidR="00957901">
      <w:fldChar w:fldCharType="begin"/>
    </w:r>
    <w:r w:rsidR="00957901">
      <w:instrText xml:space="preserve"> DOCPROPERTY  Version  \* MERGEFORMAT </w:instrText>
    </w:r>
    <w:r w:rsidR="00957901">
      <w:fldChar w:fldCharType="separate"/>
    </w:r>
    <w:r w:rsidR="00957901">
      <w:t>v1.1</w:t>
    </w:r>
    <w:r w:rsidR="00957901">
      <w:fldChar w:fldCharType="end"/>
    </w:r>
    <w:r w:rsidR="00750C50">
      <w:tab/>
    </w:r>
    <w:r w:rsidR="00750C50" w:rsidRPr="00200FF0">
      <w:fldChar w:fldCharType="begin" w:fldLock="1"/>
    </w:r>
    <w:r w:rsidR="00750C50" w:rsidRPr="00200FF0">
      <w:instrText xml:space="preserve"> DATE  \@ "MMMM yyyy" </w:instrText>
    </w:r>
    <w:r w:rsidR="00750C50" w:rsidRPr="00200FF0">
      <w:fldChar w:fldCharType="separate"/>
    </w:r>
    <w:r w:rsidR="00957901">
      <w:rPr>
        <w:noProof/>
      </w:rPr>
      <w:t>October 2016</w:t>
    </w:r>
    <w:r w:rsidR="00750C50" w:rsidRPr="00200FF0">
      <w:fldChar w:fldCharType="end"/>
    </w:r>
    <w:r w:rsidR="00750C50">
      <w:tab/>
      <w:t xml:space="preserve">Page </w:t>
    </w:r>
    <w:r w:rsidR="00750C50">
      <w:fldChar w:fldCharType="begin"/>
    </w:r>
    <w:r w:rsidR="00750C50">
      <w:instrText xml:space="preserve"> PAGE </w:instrText>
    </w:r>
    <w:r w:rsidR="00750C50">
      <w:fldChar w:fldCharType="separate"/>
    </w:r>
    <w:r w:rsidR="00957901">
      <w:rPr>
        <w:noProof/>
      </w:rPr>
      <w:t>4</w:t>
    </w:r>
    <w:r w:rsidR="00750C50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C50" w:rsidRPr="00AB198B" w:rsidRDefault="00910653" w:rsidP="00682F97">
    <w:pPr>
      <w:pStyle w:val="Footer"/>
      <w:tabs>
        <w:tab w:val="left" w:pos="8010"/>
      </w:tabs>
    </w:pPr>
    <w:proofErr w:type="gramStart"/>
    <w:r>
      <w:t>C</w:t>
    </w:r>
    <w:r w:rsidR="00750C50">
      <w:t>PL(</w:t>
    </w:r>
    <w:proofErr w:type="gramEnd"/>
    <w:r w:rsidR="00750C50">
      <w:t xml:space="preserve">H) 8 </w:t>
    </w:r>
    <w:r w:rsidR="00957901">
      <w:fldChar w:fldCharType="begin"/>
    </w:r>
    <w:r w:rsidR="00957901">
      <w:instrText xml:space="preserve"> DOCPROPERTY  Version  \* MERGEFORMAT </w:instrText>
    </w:r>
    <w:r w:rsidR="00957901">
      <w:fldChar w:fldCharType="separate"/>
    </w:r>
    <w:r w:rsidR="00957901">
      <w:t>v1.1</w:t>
    </w:r>
    <w:r w:rsidR="00957901">
      <w:fldChar w:fldCharType="end"/>
    </w:r>
    <w:r w:rsidR="00750C50">
      <w:tab/>
    </w:r>
    <w:r w:rsidR="00750C50" w:rsidRPr="00200FF0">
      <w:fldChar w:fldCharType="begin" w:fldLock="1"/>
    </w:r>
    <w:r w:rsidR="00750C50" w:rsidRPr="00200FF0">
      <w:instrText xml:space="preserve"> DATE  \@ "MMMM yyyy" </w:instrText>
    </w:r>
    <w:r w:rsidR="00750C50" w:rsidRPr="00200FF0">
      <w:fldChar w:fldCharType="separate"/>
    </w:r>
    <w:r w:rsidR="00957901">
      <w:rPr>
        <w:noProof/>
      </w:rPr>
      <w:t>October 2016</w:t>
    </w:r>
    <w:r w:rsidR="00750C50" w:rsidRPr="00200FF0">
      <w:fldChar w:fldCharType="end"/>
    </w:r>
    <w:r w:rsidR="00750C50">
      <w:tab/>
    </w:r>
    <w:r w:rsidR="00750C50">
      <w:tab/>
      <w:t xml:space="preserve">Page </w:t>
    </w:r>
    <w:r w:rsidR="00750C50">
      <w:fldChar w:fldCharType="begin"/>
    </w:r>
    <w:r w:rsidR="00750C50">
      <w:instrText xml:space="preserve"> PAGE </w:instrText>
    </w:r>
    <w:r w:rsidR="00750C50">
      <w:fldChar w:fldCharType="separate"/>
    </w:r>
    <w:r w:rsidR="00957901">
      <w:rPr>
        <w:noProof/>
      </w:rPr>
      <w:t>1</w:t>
    </w:r>
    <w:r w:rsidR="00750C50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C50" w:rsidRDefault="00750C50" w:rsidP="00061457">
      <w:r>
        <w:separator/>
      </w:r>
    </w:p>
  </w:footnote>
  <w:footnote w:type="continuationSeparator" w:id="0">
    <w:p w:rsidR="00750C50" w:rsidRDefault="00750C50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C50" w:rsidRDefault="00750C50" w:rsidP="00682F97">
    <w:pPr>
      <w:pStyle w:val="Syllabuslessonplan"/>
    </w:pPr>
    <w:r>
      <w:t>LESSON PLAN and TRAINING Record</w:t>
    </w:r>
  </w:p>
  <w:p w:rsidR="00750C50" w:rsidRPr="006E6B86" w:rsidRDefault="00910653" w:rsidP="00087CD2">
    <w:pPr>
      <w:pStyle w:val="Syllabuslessonplan"/>
    </w:pPr>
    <w:proofErr w:type="gramStart"/>
    <w:r>
      <w:t>C</w:t>
    </w:r>
    <w:r w:rsidR="00750C50">
      <w:t>PL(</w:t>
    </w:r>
    <w:proofErr w:type="gramEnd"/>
    <w:r w:rsidR="00750C50">
      <w:t>H) 8: circuits</w:t>
    </w:r>
  </w:p>
  <w:p w:rsidR="00750C50" w:rsidRPr="00324A25" w:rsidRDefault="00750C50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C50" w:rsidRDefault="00910653" w:rsidP="00276D1F">
    <w:pPr>
      <w:pStyle w:val="TrainingCoursetitle"/>
    </w:pPr>
    <w:r>
      <w:t>Commercial</w:t>
    </w:r>
    <w:r w:rsidR="00750C50">
      <w:t xml:space="preserve"> Pilot Licence – Helicopter Category Rating</w:t>
    </w:r>
  </w:p>
  <w:p w:rsidR="00750C50" w:rsidRPr="006E6B86" w:rsidRDefault="00750C50" w:rsidP="006E6B86"/>
  <w:p w:rsidR="00750C50" w:rsidRPr="006E6B86" w:rsidRDefault="00750C50" w:rsidP="00161953">
    <w:pPr>
      <w:pStyle w:val="Syllabuslessonplan"/>
    </w:pPr>
    <w:r w:rsidRPr="006E6B86">
      <w:t>LESSON PLAN AND TRAINING record</w:t>
    </w:r>
  </w:p>
  <w:p w:rsidR="00750C50" w:rsidRPr="006E6B86" w:rsidRDefault="00910653" w:rsidP="00161953">
    <w:pPr>
      <w:pStyle w:val="Syllabuslessonplan"/>
    </w:pPr>
    <w:proofErr w:type="gramStart"/>
    <w:r>
      <w:t>C</w:t>
    </w:r>
    <w:r w:rsidR="00750C50">
      <w:t>PL(</w:t>
    </w:r>
    <w:proofErr w:type="gramEnd"/>
    <w:r w:rsidR="00750C50">
      <w:t>H) 8: circuits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284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87CD2"/>
    <w:rsid w:val="0009440C"/>
    <w:rsid w:val="00096A4D"/>
    <w:rsid w:val="000A3240"/>
    <w:rsid w:val="000B0AA6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A4460"/>
    <w:rsid w:val="001D0F1E"/>
    <w:rsid w:val="001F453B"/>
    <w:rsid w:val="0020144A"/>
    <w:rsid w:val="00210CAD"/>
    <w:rsid w:val="0021460D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76D1F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235B2"/>
    <w:rsid w:val="00426BF1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D62D6"/>
    <w:rsid w:val="004E4069"/>
    <w:rsid w:val="004F488E"/>
    <w:rsid w:val="0052090A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23B0B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431A"/>
    <w:rsid w:val="00725AA5"/>
    <w:rsid w:val="007333CA"/>
    <w:rsid w:val="00750C50"/>
    <w:rsid w:val="00763714"/>
    <w:rsid w:val="00771D5A"/>
    <w:rsid w:val="00790FAE"/>
    <w:rsid w:val="007A3AE7"/>
    <w:rsid w:val="007A6430"/>
    <w:rsid w:val="007C3F63"/>
    <w:rsid w:val="007D67A5"/>
    <w:rsid w:val="007E1FE1"/>
    <w:rsid w:val="007E6348"/>
    <w:rsid w:val="007E73EC"/>
    <w:rsid w:val="007E7EDF"/>
    <w:rsid w:val="007F0B46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9010A3"/>
    <w:rsid w:val="009048D4"/>
    <w:rsid w:val="00904F5C"/>
    <w:rsid w:val="00910653"/>
    <w:rsid w:val="00930032"/>
    <w:rsid w:val="00937EA8"/>
    <w:rsid w:val="009507BD"/>
    <w:rsid w:val="009535A8"/>
    <w:rsid w:val="00954DF4"/>
    <w:rsid w:val="00955CC0"/>
    <w:rsid w:val="00957901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7BFC"/>
    <w:rsid w:val="00A87AF1"/>
    <w:rsid w:val="00AB198B"/>
    <w:rsid w:val="00AB4A5C"/>
    <w:rsid w:val="00AB5E25"/>
    <w:rsid w:val="00AC5A6B"/>
    <w:rsid w:val="00AD08B7"/>
    <w:rsid w:val="00AD0ACB"/>
    <w:rsid w:val="00AD3C85"/>
    <w:rsid w:val="00AD61CE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31B6"/>
    <w:rsid w:val="00C05437"/>
    <w:rsid w:val="00C250F6"/>
    <w:rsid w:val="00C254B4"/>
    <w:rsid w:val="00C259D4"/>
    <w:rsid w:val="00C35FAB"/>
    <w:rsid w:val="00C60E41"/>
    <w:rsid w:val="00C84B59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24648"/>
    <w:rsid w:val="00D36794"/>
    <w:rsid w:val="00D36AA2"/>
    <w:rsid w:val="00D40827"/>
    <w:rsid w:val="00D576C1"/>
    <w:rsid w:val="00D57CAE"/>
    <w:rsid w:val="00D74C0B"/>
    <w:rsid w:val="00D8789A"/>
    <w:rsid w:val="00D9681B"/>
    <w:rsid w:val="00DA515E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76F4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DA515E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DA515E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5E60E-0E47-4FAE-9719-92420FFE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4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60</cp:revision>
  <cp:lastPrinted>2016-04-20T06:42:00Z</cp:lastPrinted>
  <dcterms:created xsi:type="dcterms:W3CDTF">2016-01-19T06:40:00Z</dcterms:created>
  <dcterms:modified xsi:type="dcterms:W3CDTF">2016-10-11T01:17:00Z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