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82ACA" w:rsidP="006E6B86">
            <w:proofErr w:type="gramStart"/>
            <w:r>
              <w:t>PPL(</w:t>
            </w:r>
            <w:proofErr w:type="gramEnd"/>
            <w:r>
              <w:t>H) 45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13B7" w:rsidRDefault="00782ACA" w:rsidP="00CB13B7">
            <w:pPr>
              <w:pStyle w:val="tablebullet1"/>
            </w:pPr>
            <w:r>
              <w:t>Preparation for the PPL(H) flight test</w:t>
            </w:r>
          </w:p>
          <w:p w:rsidR="00976951" w:rsidRDefault="00976951" w:rsidP="00CB13B7">
            <w:pPr>
              <w:pStyle w:val="tablebullet1"/>
            </w:pPr>
            <w:r>
              <w:t>General revision of all flying sequences taught to date</w:t>
            </w:r>
          </w:p>
          <w:p w:rsidR="00782ACA" w:rsidRDefault="00782ACA" w:rsidP="00CB13B7">
            <w:pPr>
              <w:pStyle w:val="tablebullet1"/>
            </w:pPr>
            <w:r>
              <w:t>Revision of navigation skills.</w:t>
            </w:r>
          </w:p>
          <w:p w:rsidR="00973626" w:rsidRDefault="00973626" w:rsidP="00CB13B7">
            <w:pPr>
              <w:pStyle w:val="tablebullet1"/>
            </w:pPr>
            <w:r>
              <w:t>Assessment of any deferred assessments from previous lessons</w:t>
            </w:r>
          </w:p>
          <w:p w:rsidR="00CB13B7" w:rsidRDefault="00CB13B7" w:rsidP="00CB13B7">
            <w:pPr>
              <w:pStyle w:val="tablebullet1"/>
            </w:pPr>
            <w:r>
              <w:t>Assessment of :</w:t>
            </w:r>
          </w:p>
          <w:p w:rsidR="00973626" w:rsidRDefault="00CB13B7" w:rsidP="00782ACA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 xml:space="preserve">- </w:t>
            </w:r>
            <w:r w:rsidR="00782ACA">
              <w:t>Threat and error management</w:t>
            </w:r>
          </w:p>
          <w:p w:rsidR="00973626" w:rsidRDefault="00973626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Autorotation</w:t>
            </w:r>
          </w:p>
          <w:p w:rsidR="003D03C7" w:rsidRDefault="00973626" w:rsidP="00782ACA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</w:t>
            </w:r>
            <w:r w:rsidR="00A01854">
              <w:t xml:space="preserve"> </w:t>
            </w:r>
            <w:r w:rsidR="00782ACA">
              <w:t>Full instrument panel manoeuvers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5D3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D74E7D">
              <w:t>As required.</w:t>
            </w:r>
            <w:r w:rsidR="00205EA1">
              <w:t xml:space="preserve"> </w:t>
            </w:r>
            <w:r>
              <w:t>Pre-flight</w:t>
            </w:r>
            <w:r w:rsidRPr="008462C8">
              <w:t xml:space="preserve"> Briefing:</w:t>
            </w:r>
            <w:r w:rsidR="00205EA1">
              <w:t xml:space="preserve"> 0.3</w:t>
            </w:r>
            <w:r w:rsidR="001C49BE">
              <w:t xml:space="preserve"> 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5D3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5D3CA4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</w:t>
            </w:r>
            <w:r w:rsidR="00797D99">
              <w:t>Revision as required</w:t>
            </w:r>
          </w:p>
          <w:p w:rsidR="00F61541" w:rsidRPr="008462C8" w:rsidRDefault="00F61541" w:rsidP="00797D99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  <w:tr w:rsidR="00E33F2A" w:rsidRPr="008462C8" w:rsidTr="005D3CA4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8144F5" w:rsidRPr="008462C8" w:rsidRDefault="008144F5" w:rsidP="00782ACA">
            <w:pPr>
              <w:pStyle w:val="tablebullet1"/>
            </w:pPr>
            <w:r>
              <w:t>Review</w:t>
            </w:r>
            <w:r w:rsidR="00782ACA">
              <w:t xml:space="preserve"> and assess flight test knowledge requirements</w:t>
            </w:r>
          </w:p>
        </w:tc>
      </w:tr>
      <w:tr w:rsidR="00E33F2A" w:rsidRPr="008462C8" w:rsidTr="005D3CA4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5B53D1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5D3CA4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5D3CA4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D3CA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4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CB13B7">
              <w:t>light time [1.</w:t>
            </w:r>
            <w:r w:rsidR="00BD089F">
              <w:t>5</w:t>
            </w:r>
            <w:r w:rsidR="005E32A2" w:rsidRPr="006E6B86">
              <w:t xml:space="preserve"> hour dual]</w:t>
            </w:r>
          </w:p>
        </w:tc>
      </w:tr>
      <w:tr w:rsidR="00121F4A" w:rsidRPr="006E6B86" w:rsidTr="00BD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4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BD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4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 w:rsidP="00BD089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NTS2.1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 w:rsidP="00BD089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NTS2.2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 w:rsidP="00BD089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NTS2.3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H6.2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autorotative flight</w:t>
            </w:r>
            <w:r w:rsidR="00BD375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(excluding performance criterion (g))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D089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  <w:tr w:rsidR="00BD089F" w:rsidRPr="00C05437" w:rsidTr="00B62203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BD089F" w:rsidRDefault="00BD089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4" w:type="dxa"/>
            <w:tcBorders>
              <w:left w:val="nil"/>
            </w:tcBorders>
            <w:vAlign w:val="center"/>
          </w:tcPr>
          <w:p w:rsidR="00BD089F" w:rsidRDefault="00BD089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D089F" w:rsidRDefault="00BD089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89F" w:rsidRPr="00C05437" w:rsidRDefault="00BD089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BD3756" w:rsidRPr="006E6B86" w:rsidTr="005C2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BD3756" w:rsidRPr="006E6B86" w:rsidRDefault="00BD3756" w:rsidP="005C20CA">
            <w:r w:rsidRPr="006E6B86">
              <w:t>CONSOLIDATION AND/OR REMEDIAL TRAINING</w:t>
            </w:r>
          </w:p>
        </w:tc>
      </w:tr>
      <w:tr w:rsidR="00BD3756" w:rsidRPr="006E6B86" w:rsidTr="005C2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BD3756" w:rsidRPr="00DF23CC" w:rsidRDefault="00BD3756" w:rsidP="005C20CA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BD3756" w:rsidRDefault="00BD3756" w:rsidP="005C20CA"/>
          <w:p w:rsidR="00BD3756" w:rsidRDefault="00BD3756" w:rsidP="005C20CA"/>
          <w:p w:rsidR="00BD3756" w:rsidRDefault="00BD3756" w:rsidP="005C20CA"/>
          <w:p w:rsidR="00BD3756" w:rsidRDefault="00BD3756" w:rsidP="005C20CA"/>
          <w:p w:rsidR="00BD3756" w:rsidRDefault="00BD3756" w:rsidP="005C20CA"/>
          <w:p w:rsidR="00BD3756" w:rsidRPr="006E6B86" w:rsidRDefault="00BD3756" w:rsidP="005C20CA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BD3756" w:rsidRPr="00350FFA" w:rsidRDefault="00BD3756" w:rsidP="005C20C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BD3756" w:rsidRPr="006E6B86" w:rsidRDefault="00BD3756" w:rsidP="005C20C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BD3756" w:rsidRPr="006E6B86" w:rsidTr="005C2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BD3756" w:rsidRPr="006E6B86" w:rsidRDefault="00BD3756" w:rsidP="005C20CA"/>
        </w:tc>
        <w:tc>
          <w:tcPr>
            <w:tcW w:w="8363" w:type="dxa"/>
            <w:vMerge/>
            <w:shd w:val="clear" w:color="auto" w:fill="EEECE1" w:themeFill="background2"/>
          </w:tcPr>
          <w:p w:rsidR="00BD3756" w:rsidRPr="006E6B86" w:rsidRDefault="00BD3756" w:rsidP="005C20CA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BD3756" w:rsidRPr="006E6B86" w:rsidRDefault="00BD3756" w:rsidP="005C20CA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BD3756" w:rsidRPr="006E6B86" w:rsidRDefault="00BD3756" w:rsidP="005C20CA">
            <w:pPr>
              <w:pStyle w:val="SubNormal"/>
            </w:pPr>
            <w:r w:rsidRPr="006E6B86">
              <w:t>Achieved</w:t>
            </w:r>
          </w:p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/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/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/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/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  <w:tr w:rsidR="00BD3756" w:rsidRPr="006E6B86" w:rsidTr="005C20CA">
        <w:trPr>
          <w:trHeight w:val="227"/>
        </w:trPr>
        <w:tc>
          <w:tcPr>
            <w:tcW w:w="709" w:type="dxa"/>
          </w:tcPr>
          <w:p w:rsidR="00BD3756" w:rsidRPr="006E6B86" w:rsidRDefault="00BD3756" w:rsidP="005C20CA"/>
        </w:tc>
        <w:tc>
          <w:tcPr>
            <w:tcW w:w="8363" w:type="dxa"/>
          </w:tcPr>
          <w:p w:rsidR="00BD3756" w:rsidRPr="006E6B86" w:rsidRDefault="00BD3756" w:rsidP="005C20CA"/>
        </w:tc>
        <w:tc>
          <w:tcPr>
            <w:tcW w:w="426" w:type="dxa"/>
            <w:shd w:val="clear" w:color="auto" w:fill="F2F2F2" w:themeFill="background1" w:themeFillShade="F2"/>
          </w:tcPr>
          <w:p w:rsidR="00BD3756" w:rsidRPr="006E6B86" w:rsidRDefault="00BD3756" w:rsidP="005C20CA"/>
        </w:tc>
        <w:tc>
          <w:tcPr>
            <w:tcW w:w="709" w:type="dxa"/>
          </w:tcPr>
          <w:p w:rsidR="00BD3756" w:rsidRPr="006E6B86" w:rsidRDefault="00BD3756" w:rsidP="005C20CA"/>
        </w:tc>
      </w:tr>
    </w:tbl>
    <w:p w:rsidR="00BD3756" w:rsidRPr="006E6B86" w:rsidRDefault="00BD3756" w:rsidP="00BD3756"/>
    <w:p w:rsidR="00BD3756" w:rsidRPr="006E6B86" w:rsidRDefault="00BD3756" w:rsidP="00BD375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BD3756" w:rsidRPr="006E6B86" w:rsidTr="005C2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BD3756" w:rsidRPr="006E6B86" w:rsidRDefault="00BD3756" w:rsidP="005C20CA">
            <w:r w:rsidRPr="006E6B86">
              <w:t>DEBRIEFING</w:t>
            </w:r>
          </w:p>
        </w:tc>
      </w:tr>
      <w:tr w:rsidR="00BD3756" w:rsidRPr="006E6B86" w:rsidTr="005C2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BD3756" w:rsidRPr="006E6B86" w:rsidRDefault="00BD3756" w:rsidP="005C20CA">
            <w:r w:rsidRPr="006E6B86">
              <w:t>Content</w:t>
            </w:r>
          </w:p>
        </w:tc>
      </w:tr>
      <w:tr w:rsidR="00BD3756" w:rsidRPr="006E6B86" w:rsidTr="005C20CA">
        <w:tc>
          <w:tcPr>
            <w:tcW w:w="10206" w:type="dxa"/>
          </w:tcPr>
          <w:p w:rsidR="00BD3756" w:rsidRPr="006E6B86" w:rsidRDefault="00BD3756" w:rsidP="005C20CA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BD3756" w:rsidRPr="006E6B86" w:rsidRDefault="00BD3756" w:rsidP="005C20CA">
            <w:pPr>
              <w:pStyle w:val="tablebullet1"/>
            </w:pPr>
            <w:r w:rsidRPr="006E6B86">
              <w:t xml:space="preserve">Recommendations for next lesson </w:t>
            </w:r>
            <w:r>
              <w:t>(if required)</w:t>
            </w:r>
          </w:p>
          <w:p w:rsidR="00BD3756" w:rsidRPr="006E6B86" w:rsidRDefault="00BD3756" w:rsidP="005C20CA">
            <w:pPr>
              <w:pStyle w:val="tablebullet1"/>
            </w:pPr>
            <w:r w:rsidRPr="006E6B86">
              <w:t>Trainee preparation for next lesson</w:t>
            </w:r>
            <w:r>
              <w:t xml:space="preserve"> (if required)</w:t>
            </w:r>
          </w:p>
          <w:p w:rsidR="00BD3756" w:rsidRPr="006E6B86" w:rsidRDefault="00BD3756" w:rsidP="005C20CA">
            <w:pPr>
              <w:pStyle w:val="tablebullet1"/>
            </w:pPr>
            <w:r w:rsidRPr="006E6B86">
              <w:t>Training record completion and sign off</w:t>
            </w:r>
          </w:p>
        </w:tc>
      </w:tr>
    </w:tbl>
    <w:p w:rsidR="00AB198B" w:rsidRPr="006E6B86" w:rsidRDefault="00AB198B" w:rsidP="006E6B86"/>
    <w:p w:rsidR="005D3CA4" w:rsidRDefault="005D3CA4">
      <w:pPr>
        <w:spacing w:after="200" w:line="276" w:lineRule="auto"/>
      </w:pPr>
      <w:r>
        <w:br w:type="page"/>
      </w:r>
    </w:p>
    <w:p w:rsidR="007E7EDF" w:rsidRPr="006E6B86" w:rsidRDefault="007E7EDF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BD3756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proofErr w:type="gramStart"/>
            <w:r w:rsidR="00BD3756">
              <w:rPr>
                <w:rStyle w:val="Strong"/>
                <w:sz w:val="22"/>
              </w:rPr>
              <w:t>PPL(</w:t>
            </w:r>
            <w:proofErr w:type="gramEnd"/>
            <w:r w:rsidR="00BD3756">
              <w:rPr>
                <w:rStyle w:val="Strong"/>
                <w:sz w:val="22"/>
              </w:rPr>
              <w:t xml:space="preserve">H) Flight Test 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ACA" w:rsidRDefault="00782ACA" w:rsidP="00061457">
      <w:r>
        <w:separator/>
      </w:r>
    </w:p>
  </w:endnote>
  <w:endnote w:type="continuationSeparator" w:id="0">
    <w:p w:rsidR="00782ACA" w:rsidRDefault="00782AC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CA" w:rsidRDefault="00782ACA">
    <w:pPr>
      <w:pStyle w:val="Footer"/>
    </w:pPr>
    <w:proofErr w:type="gramStart"/>
    <w:r>
      <w:t>PPL(</w:t>
    </w:r>
    <w:proofErr w:type="gramEnd"/>
    <w:r>
      <w:t xml:space="preserve">H) 45  </w:t>
    </w:r>
    <w:r w:rsidR="005D3CA4">
      <w:fldChar w:fldCharType="begin"/>
    </w:r>
    <w:r w:rsidR="005D3CA4">
      <w:instrText xml:space="preserve"> DOCPROPERTY  Version  \* MERGEFORMAT </w:instrText>
    </w:r>
    <w:r w:rsidR="005D3CA4">
      <w:fldChar w:fldCharType="separate"/>
    </w:r>
    <w:r w:rsidR="005D3CA4">
      <w:t>v1.1</w:t>
    </w:r>
    <w:r w:rsidR="005D3CA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D3CA4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D3CA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CA" w:rsidRPr="00AB198B" w:rsidRDefault="00782ACA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45  </w:t>
    </w:r>
    <w:r w:rsidR="005D3CA4">
      <w:fldChar w:fldCharType="begin"/>
    </w:r>
    <w:r w:rsidR="005D3CA4">
      <w:instrText xml:space="preserve"> DOCPROPERTY  Version  \* MERGEFORMAT </w:instrText>
    </w:r>
    <w:r w:rsidR="005D3CA4">
      <w:fldChar w:fldCharType="separate"/>
    </w:r>
    <w:r w:rsidR="005D3CA4">
      <w:t>v1.1</w:t>
    </w:r>
    <w:r w:rsidR="005D3CA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D3CA4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D3CA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ACA" w:rsidRDefault="00782ACA" w:rsidP="00061457">
      <w:r>
        <w:separator/>
      </w:r>
    </w:p>
  </w:footnote>
  <w:footnote w:type="continuationSeparator" w:id="0">
    <w:p w:rsidR="00782ACA" w:rsidRDefault="00782AC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CA" w:rsidRPr="006E6B86" w:rsidRDefault="00782ACA" w:rsidP="00782ACA">
    <w:pPr>
      <w:pStyle w:val="Syllabuslessonplan"/>
    </w:pPr>
    <w:r w:rsidRPr="006E6B86">
      <w:t>LESSON PLAN AND TRAINING record</w:t>
    </w:r>
  </w:p>
  <w:p w:rsidR="00782ACA" w:rsidRPr="006E6B86" w:rsidRDefault="00782ACA" w:rsidP="00782ACA">
    <w:pPr>
      <w:pStyle w:val="Syllabuslessonplan"/>
    </w:pPr>
    <w:proofErr w:type="gramStart"/>
    <w:r>
      <w:t>PPL(</w:t>
    </w:r>
    <w:proofErr w:type="gramEnd"/>
    <w:r>
      <w:t>H)  45</w:t>
    </w:r>
    <w:r w:rsidRPr="006E6B86">
      <w:t xml:space="preserve">: </w:t>
    </w:r>
    <w:r>
      <w:t>Pre PPL(H)</w:t>
    </w:r>
  </w:p>
  <w:p w:rsidR="00782ACA" w:rsidRPr="00324A25" w:rsidRDefault="00782AC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CA" w:rsidRDefault="00782ACA" w:rsidP="0021700B">
    <w:pPr>
      <w:pStyle w:val="TrainingCoursetitle"/>
    </w:pPr>
    <w:r>
      <w:t>Private Pilot Licence – Helicopter Category Rating</w:t>
    </w:r>
  </w:p>
  <w:p w:rsidR="00782ACA" w:rsidRPr="006E6B86" w:rsidRDefault="00782ACA" w:rsidP="006E6B86"/>
  <w:p w:rsidR="00782ACA" w:rsidRPr="006E6B86" w:rsidRDefault="00782ACA" w:rsidP="00161953">
    <w:pPr>
      <w:pStyle w:val="Syllabuslessonplan"/>
    </w:pPr>
    <w:r w:rsidRPr="006E6B86">
      <w:t>LESSON PLAN AND TRAINING record</w:t>
    </w:r>
  </w:p>
  <w:p w:rsidR="00782ACA" w:rsidRPr="006E6B86" w:rsidRDefault="00782ACA" w:rsidP="00161953">
    <w:pPr>
      <w:pStyle w:val="Syllabuslessonplan"/>
    </w:pPr>
    <w:proofErr w:type="gramStart"/>
    <w:r>
      <w:t>PPL(</w:t>
    </w:r>
    <w:proofErr w:type="gramEnd"/>
    <w:r>
      <w:t>H)  45</w:t>
    </w:r>
    <w:r w:rsidRPr="006E6B86">
      <w:t xml:space="preserve">: </w:t>
    </w:r>
    <w:r>
      <w:t>Pre PPL(H)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A3ACE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C49BE"/>
    <w:rsid w:val="001C5A87"/>
    <w:rsid w:val="001D0F1E"/>
    <w:rsid w:val="001F453B"/>
    <w:rsid w:val="0020144A"/>
    <w:rsid w:val="00205EA1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03C7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59CB"/>
    <w:rsid w:val="00497F3B"/>
    <w:rsid w:val="004A0603"/>
    <w:rsid w:val="004A6A0B"/>
    <w:rsid w:val="004D02AF"/>
    <w:rsid w:val="004D1B17"/>
    <w:rsid w:val="004E4069"/>
    <w:rsid w:val="004F488E"/>
    <w:rsid w:val="00506B71"/>
    <w:rsid w:val="00512168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53D1"/>
    <w:rsid w:val="005B77A5"/>
    <w:rsid w:val="005D3CA4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532"/>
    <w:rsid w:val="00763714"/>
    <w:rsid w:val="00782ACA"/>
    <w:rsid w:val="00790FAE"/>
    <w:rsid w:val="00797D99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73626"/>
    <w:rsid w:val="00976951"/>
    <w:rsid w:val="00981612"/>
    <w:rsid w:val="009863ED"/>
    <w:rsid w:val="00991BC7"/>
    <w:rsid w:val="009B3C00"/>
    <w:rsid w:val="009E2FA9"/>
    <w:rsid w:val="009E6D94"/>
    <w:rsid w:val="009F30D5"/>
    <w:rsid w:val="009F7265"/>
    <w:rsid w:val="00A01854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D089F"/>
    <w:rsid w:val="00BD3756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13B7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13FA3"/>
    <w:rsid w:val="00D36794"/>
    <w:rsid w:val="00D36AA2"/>
    <w:rsid w:val="00D576C1"/>
    <w:rsid w:val="00D57CAE"/>
    <w:rsid w:val="00D74C0B"/>
    <w:rsid w:val="00D74E7D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D2BE7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8CC59-922C-4029-951F-04DF0FC8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69</cp:revision>
  <cp:lastPrinted>2015-10-27T04:23:00Z</cp:lastPrinted>
  <dcterms:created xsi:type="dcterms:W3CDTF">2016-01-19T06:40:00Z</dcterms:created>
  <dcterms:modified xsi:type="dcterms:W3CDTF">2016-10-11T00:22:00Z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