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276D1F" w:rsidP="006E6B86">
            <w:proofErr w:type="gramStart"/>
            <w:r>
              <w:t>P</w:t>
            </w:r>
            <w:r w:rsidR="00087CD2">
              <w:t>PL(</w:t>
            </w:r>
            <w:proofErr w:type="gramEnd"/>
            <w:r w:rsidR="00087CD2">
              <w:t>H)8.___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AB4A5C" w:rsidP="00771D5A">
            <w:pPr>
              <w:pStyle w:val="tablebullet1"/>
            </w:pPr>
            <w:r>
              <w:t>Conduct circuits at an a</w:t>
            </w:r>
            <w:r w:rsidR="00771D5A">
              <w:t>erodrome</w:t>
            </w:r>
          </w:p>
          <w:p w:rsidR="004D62D6" w:rsidRDefault="004D62D6" w:rsidP="009048D4">
            <w:pPr>
              <w:pStyle w:val="tablebullet1"/>
            </w:pPr>
            <w:r>
              <w:t xml:space="preserve">Consolidate previous </w:t>
            </w:r>
            <w:r w:rsidR="001A4460">
              <w:t>flight techniques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4D62D6">
              <w:t xml:space="preserve">1.0 hour   </w:t>
            </w:r>
            <w:r w:rsidR="001530F0">
              <w:t xml:space="preserve"> Pre-flight</w:t>
            </w:r>
            <w:r w:rsidR="001530F0" w:rsidRPr="008462C8">
              <w:t xml:space="preserve"> Briefing:</w:t>
            </w:r>
            <w:r w:rsidR="004D62D6">
              <w:t xml:space="preserve">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4D62D6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771D5A">
              <w:t xml:space="preserve">Circuits </w:t>
            </w:r>
            <w:bookmarkStart w:id="0" w:name="_GoBack"/>
            <w:bookmarkEnd w:id="0"/>
          </w:p>
          <w:p w:rsidR="001A4460" w:rsidRDefault="001A4460" w:rsidP="001A4460">
            <w:pPr>
              <w:pStyle w:val="tablebullet1"/>
            </w:pPr>
            <w:r>
              <w:t>Circuit pattern</w:t>
            </w:r>
          </w:p>
          <w:p w:rsidR="001A4460" w:rsidRDefault="001A4460" w:rsidP="001A4460">
            <w:pPr>
              <w:pStyle w:val="tablebullet1"/>
            </w:pPr>
            <w:r>
              <w:t>Local aerodrome circuit procedures</w:t>
            </w:r>
          </w:p>
          <w:p w:rsidR="001A4460" w:rsidRDefault="001A4460" w:rsidP="001A4460">
            <w:pPr>
              <w:pStyle w:val="tablebullet1"/>
            </w:pPr>
            <w:r>
              <w:t xml:space="preserve">Required radio calls </w:t>
            </w:r>
          </w:p>
          <w:p w:rsidR="001A4460" w:rsidRDefault="001A4460" w:rsidP="001A4460">
            <w:pPr>
              <w:pStyle w:val="tablebullet1"/>
            </w:pPr>
            <w:r>
              <w:t>Pre-landing checks</w:t>
            </w:r>
          </w:p>
          <w:p w:rsidR="001A4460" w:rsidRDefault="001A4460" w:rsidP="001A4460">
            <w:pPr>
              <w:pStyle w:val="tablebullet1"/>
            </w:pPr>
            <w:r>
              <w:t>Traffic management</w:t>
            </w:r>
          </w:p>
          <w:p w:rsidR="001A4460" w:rsidRDefault="001A4460" w:rsidP="001A4460">
            <w:pPr>
              <w:pStyle w:val="tablebullet1"/>
            </w:pPr>
            <w:r>
              <w:t>Interpretation of windsock indications - wind speed and direction</w:t>
            </w:r>
          </w:p>
          <w:p w:rsidR="00C259D4" w:rsidRPr="008462C8" w:rsidRDefault="001A4460" w:rsidP="001A4460">
            <w:pPr>
              <w:pStyle w:val="tablebullet1"/>
            </w:pPr>
            <w:r>
              <w:t>Go-around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1A4460" w:rsidRDefault="001A4460" w:rsidP="001A4460">
            <w:pPr>
              <w:pStyle w:val="tablebullet1"/>
            </w:pPr>
            <w:r>
              <w:t>Review/expand previously introduced knowledge as required</w:t>
            </w:r>
          </w:p>
          <w:p w:rsidR="00C84B59" w:rsidRDefault="00C84B59" w:rsidP="00C84B59">
            <w:pPr>
              <w:pStyle w:val="tablebullet1"/>
            </w:pPr>
            <w:r>
              <w:t xml:space="preserve">vortex ring state [H5(b)] </w:t>
            </w:r>
          </w:p>
          <w:p w:rsidR="00C84B59" w:rsidRDefault="00C84B59" w:rsidP="00C84B59">
            <w:pPr>
              <w:pStyle w:val="tablebullet1"/>
            </w:pPr>
            <w:r>
              <w:t>ci</w:t>
            </w:r>
            <w:r w:rsidR="00D24648">
              <w:t>rcuit operating procedures [H5(c</w:t>
            </w:r>
            <w:r>
              <w:t>)]</w:t>
            </w:r>
          </w:p>
          <w:p w:rsidR="00C84B59" w:rsidRDefault="00C84B59" w:rsidP="00C84B59">
            <w:pPr>
              <w:pStyle w:val="tablebullet1"/>
            </w:pPr>
            <w:r>
              <w:t>managing abnormal and e</w:t>
            </w:r>
            <w:r w:rsidR="00D24648">
              <w:t>mergencies in the circuit area [H5(d)]</w:t>
            </w:r>
          </w:p>
          <w:p w:rsidR="00E33F2A" w:rsidRPr="008462C8" w:rsidRDefault="00C84B59" w:rsidP="00C84B59">
            <w:pPr>
              <w:pStyle w:val="tablebullet1"/>
            </w:pPr>
            <w:r>
              <w:t>wind shear, turbulence and wake turbulence</w:t>
            </w:r>
            <w:r w:rsidR="00D24648">
              <w:t xml:space="preserve"> [H5(e)] 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52090A" w:rsidRDefault="0052090A" w:rsidP="0052090A">
            <w:pPr>
              <w:pStyle w:val="tablebullet1"/>
            </w:pPr>
            <w:r>
              <w:t>Effective communication under normal circumstances [NTS1(a)]</w:t>
            </w:r>
          </w:p>
          <w:p w:rsidR="0052090A" w:rsidRDefault="0052090A" w:rsidP="0052090A">
            <w:pPr>
              <w:pStyle w:val="tablebullet1"/>
            </w:pPr>
            <w:r>
              <w:t>Application of situational awareness to identify real or potential environmental or operational threats to flight safety [NTS2(c)]</w:t>
            </w:r>
          </w:p>
          <w:p w:rsidR="0052090A" w:rsidRDefault="0052090A" w:rsidP="0052090A">
            <w:pPr>
              <w:pStyle w:val="tablebullet1"/>
            </w:pPr>
            <w:r>
              <w:t>Developing and implementing plans of action to remove and mitigate threats &amp; errors [NTS2(d)]</w:t>
            </w:r>
          </w:p>
          <w:p w:rsidR="0052090A" w:rsidRDefault="0052090A" w:rsidP="0052090A">
            <w:pPr>
              <w:pStyle w:val="tablebullet1"/>
            </w:pPr>
            <w:r>
              <w:t>Use of checklists to prevent errors [NTS2(h)]</w:t>
            </w:r>
          </w:p>
          <w:p w:rsidR="0052090A" w:rsidRDefault="0052090A" w:rsidP="0052090A">
            <w:pPr>
              <w:pStyle w:val="tablebullet1"/>
            </w:pPr>
            <w:r>
              <w:t>Task mana</w:t>
            </w:r>
            <w:r w:rsidR="00C84B59">
              <w:t>gement, organise workload [NTS2</w:t>
            </w:r>
            <w:r>
              <w:t>(i)]</w:t>
            </w:r>
          </w:p>
          <w:p w:rsidR="0052090A" w:rsidRDefault="0052090A" w:rsidP="0052090A">
            <w:pPr>
              <w:pStyle w:val="tablebullet1"/>
            </w:pPr>
            <w:r>
              <w:t>Visual scan technique - use of clock code, importance of lookout and identification of traffic</w:t>
            </w:r>
          </w:p>
          <w:p w:rsidR="0052090A" w:rsidRDefault="0052090A" w:rsidP="0052090A">
            <w:pPr>
              <w:pStyle w:val="tablebullet1"/>
            </w:pPr>
            <w:r>
              <w:t>Traffic management – speed control, circuit pattern adjustments</w:t>
            </w:r>
          </w:p>
          <w:p w:rsidR="0052090A" w:rsidRDefault="0052090A" w:rsidP="0052090A">
            <w:pPr>
              <w:pStyle w:val="tablebullet1"/>
            </w:pPr>
            <w:r>
              <w:t>Hand over/take over technique (e.g. ‘I have control – you have control’)</w:t>
            </w:r>
          </w:p>
          <w:p w:rsidR="00E33F2A" w:rsidRPr="008462C8" w:rsidRDefault="0052090A" w:rsidP="0052090A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C031B6" w:rsidRDefault="00C031B6" w:rsidP="00C031B6">
            <w:pPr>
              <w:pStyle w:val="tablebullet1"/>
            </w:pPr>
            <w:r>
              <w:t>Review flight sequences, what to expect, see &amp; do</w:t>
            </w:r>
          </w:p>
          <w:p w:rsidR="00C031B6" w:rsidRDefault="00C031B6" w:rsidP="00C031B6">
            <w:pPr>
              <w:pStyle w:val="tablebullet1"/>
            </w:pPr>
            <w:r>
              <w:t>Check essential knowledge</w:t>
            </w:r>
          </w:p>
          <w:p w:rsidR="00C031B6" w:rsidRDefault="00C031B6" w:rsidP="00C031B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031B6" w:rsidP="00C031B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8F096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B4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B4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C1.2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maintain effective communication with others on operational matters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communicate effectively in unfamiliar, stressful or non-standard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  <w:ind w:left="284"/>
            </w:pPr>
            <w:r>
              <w:t>(k)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react appropriately to a variety of regional accents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  <w:ind w:left="284"/>
            </w:pPr>
            <w:r>
              <w:t>(l)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communicate effectively in unexpected, stressful or non-standard situations using standard phraseology or plain English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C2.1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C3.1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 w:rsidRPr="008023F2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maintain a listening watch and respond appropriately to applicable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conduct appropriate emergency and urgency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both"/>
            </w:pPr>
            <w:r>
              <w:t>NTS1.1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9048D4" w:rsidRDefault="009048D4" w:rsidP="009048D4">
            <w:pPr>
              <w:pStyle w:val="Element"/>
              <w:numPr>
                <w:ilvl w:val="0"/>
                <w:numId w:val="6"/>
              </w:numPr>
              <w:jc w:val="left"/>
            </w:pPr>
            <w:r>
              <w:lastRenderedPageBreak/>
              <w:t>NTS1.2</w:t>
            </w:r>
          </w:p>
        </w:tc>
        <w:tc>
          <w:tcPr>
            <w:tcW w:w="8345" w:type="dxa"/>
            <w:tcBorders>
              <w:left w:val="nil"/>
            </w:tcBorders>
          </w:tcPr>
          <w:p w:rsidR="009048D4" w:rsidRPr="00946041" w:rsidRDefault="009048D4" w:rsidP="000B0AA6">
            <w:pPr>
              <w:pStyle w:val="Heading3"/>
              <w:outlineLvl w:val="2"/>
            </w:pPr>
            <w:r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monitor all aircraft systems using a systematic scan technique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collect information to facilitate ongoing system management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monitor flight environment for deviations from planned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collect flight environment information to update planned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AD61CE" w:rsidRPr="00F42ECF" w:rsidRDefault="00AD61CE" w:rsidP="00AD61CE">
            <w:pPr>
              <w:pStyle w:val="Element"/>
              <w:numPr>
                <w:ilvl w:val="0"/>
                <w:numId w:val="6"/>
              </w:numPr>
              <w:jc w:val="left"/>
            </w:pPr>
            <w:r w:rsidRPr="00F42ECF">
              <w:t>H4.4</w:t>
            </w:r>
          </w:p>
        </w:tc>
        <w:tc>
          <w:tcPr>
            <w:tcW w:w="8345" w:type="dxa"/>
            <w:tcBorders>
              <w:left w:val="nil"/>
            </w:tcBorders>
          </w:tcPr>
          <w:p w:rsidR="00AD61CE" w:rsidRPr="00F42ECF" w:rsidRDefault="00AD61CE" w:rsidP="000B0AA6">
            <w:pPr>
              <w:pStyle w:val="Heading3"/>
              <w:outlineLvl w:val="2"/>
            </w:pPr>
            <w:r w:rsidRPr="00F42ECF">
              <w:t>Perform go-</w:t>
            </w:r>
            <w:r w:rsidR="00750C50">
              <w:t>a</w:t>
            </w:r>
            <w:r w:rsidRPr="00F42ECF">
              <w:t>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critical situations are recognised and timely decisions are made to go-around in circumstances that require discontin</w:t>
            </w:r>
            <w:r>
              <w:t>uing a</w:t>
            </w:r>
            <w:r w:rsidRPr="00F12FDF">
              <w:t xml:space="preserve"> circuit or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r>
              <w:t xml:space="preserve">initiate the go-around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set power and attitude to initiate safe climb at appropriate IAS from any position in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obstructions and traffic are appropriately avoided during the climb following a decision to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 xml:space="preserve">situational awareness of circuit traffic </w:t>
            </w:r>
            <w:r>
              <w:t xml:space="preserve">is maintained </w:t>
            </w:r>
            <w:r w:rsidRPr="00F12FDF">
              <w:t>throughout go-round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C718C0">
              <w:t>after take-off checks are completed in accordance with approved checklist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623B0B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623B0B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AB4A5C" w:rsidRDefault="00AB4A5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345" w:type="dxa"/>
            <w:tcBorders>
              <w:left w:val="nil"/>
            </w:tcBorders>
            <w:vAlign w:val="center"/>
          </w:tcPr>
          <w:p w:rsidR="00AB4A5C" w:rsidRDefault="00AB4A5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circuits are joined and conducted in accordance with AIP and or local procedures at normal and low altitude appropriate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 xml:space="preserve">due allowance is made for the wind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all appropriate checklist items are completed when performing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radiotelephone procedures are followed during circuit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the approach path applicable to the helicopter type is intercepted and maintained whilst remaining clear of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helicopter approach is conducted to establish hover or conduct a landing at the nominated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lookout is maintained during circuits and approaches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conflicting traffic is recognised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right of way rules are applied and compliance with the rules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(j) 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weather conditions are monitored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fuel status is monitored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B37A0D" w:rsidRPr="006E6B86" w:rsidRDefault="00B37A0D" w:rsidP="006E6B86"/>
    <w:p w:rsidR="00AD61CE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Pr="00AB4A5C" w:rsidRDefault="00AB4A5C" w:rsidP="006E6B86">
      <w:pPr>
        <w:rPr>
          <w:i/>
          <w:iCs/>
          <w:sz w:val="18"/>
        </w:rPr>
      </w:pPr>
    </w:p>
    <w:p w:rsidR="00AD61CE" w:rsidRPr="006E6B86" w:rsidRDefault="00AD61CE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AB4A5C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  <w:shd w:val="clear" w:color="auto" w:fill="FFFFFF" w:themeFill="background1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426BF1" w:rsidRPr="006E6B86" w:rsidTr="009F30D5">
        <w:trPr>
          <w:trHeight w:val="227"/>
        </w:trPr>
        <w:tc>
          <w:tcPr>
            <w:tcW w:w="709" w:type="dxa"/>
          </w:tcPr>
          <w:p w:rsidR="00426BF1" w:rsidRPr="006E6B86" w:rsidRDefault="00426BF1" w:rsidP="006E6B86"/>
        </w:tc>
        <w:tc>
          <w:tcPr>
            <w:tcW w:w="8363" w:type="dxa"/>
          </w:tcPr>
          <w:p w:rsidR="00426BF1" w:rsidRPr="006E6B86" w:rsidRDefault="00426BF1" w:rsidP="006E6B86"/>
        </w:tc>
        <w:tc>
          <w:tcPr>
            <w:tcW w:w="426" w:type="dxa"/>
            <w:shd w:val="clear" w:color="auto" w:fill="F2F2F2" w:themeFill="background1" w:themeFillShade="F2"/>
          </w:tcPr>
          <w:p w:rsidR="00426BF1" w:rsidRPr="006E6B86" w:rsidRDefault="00426BF1" w:rsidP="006E6B86"/>
        </w:tc>
        <w:tc>
          <w:tcPr>
            <w:tcW w:w="709" w:type="dxa"/>
          </w:tcPr>
          <w:p w:rsidR="00426BF1" w:rsidRPr="006E6B86" w:rsidRDefault="00426BF1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50" w:rsidRDefault="00750C50" w:rsidP="00061457">
      <w:r>
        <w:separator/>
      </w:r>
    </w:p>
  </w:endnote>
  <w:endnote w:type="continuationSeparator" w:id="0">
    <w:p w:rsidR="00750C50" w:rsidRDefault="00750C5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750C50">
    <w:pPr>
      <w:pStyle w:val="Footer"/>
    </w:pPr>
    <w:proofErr w:type="gramStart"/>
    <w:r>
      <w:t>PPL(</w:t>
    </w:r>
    <w:proofErr w:type="gramEnd"/>
    <w:r>
      <w:t xml:space="preserve">H) 8 </w:t>
    </w:r>
    <w:fldSimple w:instr=" DOCPROPERTY  Version  \* MERGEFORMAT ">
      <w:r w:rsidR="008F0960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F0960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B615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Pr="00AB198B" w:rsidRDefault="00750C50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8 </w:t>
    </w:r>
    <w:fldSimple w:instr=" DOCPROPERTY  Version  \* MERGEFORMAT ">
      <w:r w:rsidR="008F0960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F0960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B615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50" w:rsidRDefault="00750C50" w:rsidP="00061457">
      <w:r>
        <w:separator/>
      </w:r>
    </w:p>
  </w:footnote>
  <w:footnote w:type="continuationSeparator" w:id="0">
    <w:p w:rsidR="00750C50" w:rsidRDefault="00750C5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750C50" w:rsidP="00682F97">
    <w:pPr>
      <w:pStyle w:val="Syllabuslessonplan"/>
    </w:pPr>
    <w:r>
      <w:t>LESSON PLAN and TRAINING Record</w:t>
    </w:r>
  </w:p>
  <w:p w:rsidR="00750C50" w:rsidRPr="006E6B86" w:rsidRDefault="00750C50" w:rsidP="00087CD2">
    <w:pPr>
      <w:pStyle w:val="Syllabuslessonplan"/>
    </w:pPr>
    <w:proofErr w:type="gramStart"/>
    <w:r>
      <w:t>PPL(</w:t>
    </w:r>
    <w:proofErr w:type="gramEnd"/>
    <w:r>
      <w:t>H) 8: circuits</w:t>
    </w:r>
  </w:p>
  <w:p w:rsidR="00750C50" w:rsidRPr="00324A25" w:rsidRDefault="00750C5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750C50" w:rsidP="00276D1F">
    <w:pPr>
      <w:pStyle w:val="TrainingCoursetitle"/>
    </w:pPr>
    <w:r>
      <w:t>Private Pilot Licence – Helicopter Category Rating</w:t>
    </w:r>
  </w:p>
  <w:p w:rsidR="00750C50" w:rsidRPr="006E6B86" w:rsidRDefault="00750C50" w:rsidP="006E6B86"/>
  <w:p w:rsidR="00750C50" w:rsidRPr="006E6B86" w:rsidRDefault="00750C50" w:rsidP="00161953">
    <w:pPr>
      <w:pStyle w:val="Syllabuslessonplan"/>
    </w:pPr>
    <w:r w:rsidRPr="006E6B86">
      <w:t>LESSON PLAN AND TRAINING record</w:t>
    </w:r>
  </w:p>
  <w:p w:rsidR="00750C50" w:rsidRPr="006E6B86" w:rsidRDefault="00750C50" w:rsidP="00161953">
    <w:pPr>
      <w:pStyle w:val="Syllabuslessonplan"/>
    </w:pPr>
    <w:proofErr w:type="gramStart"/>
    <w:r>
      <w:t>PPL(</w:t>
    </w:r>
    <w:proofErr w:type="gramEnd"/>
    <w:r>
      <w:t>H) 8: circuits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87CD2"/>
    <w:rsid w:val="0009440C"/>
    <w:rsid w:val="00096A4D"/>
    <w:rsid w:val="000A3240"/>
    <w:rsid w:val="000B0AA6"/>
    <w:rsid w:val="000B615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A4460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76D1F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6BF1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D62D6"/>
    <w:rsid w:val="004E4069"/>
    <w:rsid w:val="004F488E"/>
    <w:rsid w:val="0052090A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23B0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50C50"/>
    <w:rsid w:val="00763714"/>
    <w:rsid w:val="00771D5A"/>
    <w:rsid w:val="00790FAE"/>
    <w:rsid w:val="007A3AE7"/>
    <w:rsid w:val="007A6430"/>
    <w:rsid w:val="007C3F63"/>
    <w:rsid w:val="007D67A5"/>
    <w:rsid w:val="007E1FE1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0960"/>
    <w:rsid w:val="009010A3"/>
    <w:rsid w:val="009048D4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4A5C"/>
    <w:rsid w:val="00AB5E25"/>
    <w:rsid w:val="00AC5A6B"/>
    <w:rsid w:val="00AD08B7"/>
    <w:rsid w:val="00AD0ACB"/>
    <w:rsid w:val="00AD3C85"/>
    <w:rsid w:val="00AD61CE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31B6"/>
    <w:rsid w:val="00C05437"/>
    <w:rsid w:val="00C250F6"/>
    <w:rsid w:val="00C254B4"/>
    <w:rsid w:val="00C259D4"/>
    <w:rsid w:val="00C35FAB"/>
    <w:rsid w:val="00C60E41"/>
    <w:rsid w:val="00C84B59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24648"/>
    <w:rsid w:val="00D36794"/>
    <w:rsid w:val="00D36AA2"/>
    <w:rsid w:val="00D40827"/>
    <w:rsid w:val="00D576C1"/>
    <w:rsid w:val="00D57CAE"/>
    <w:rsid w:val="00D74C0B"/>
    <w:rsid w:val="00D8789A"/>
    <w:rsid w:val="00D9681B"/>
    <w:rsid w:val="00DA515E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A515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A515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49F6-39E2-4430-829E-0F17FEAA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59</cp:revision>
  <cp:lastPrinted>2016-02-14T23:01:00Z</cp:lastPrinted>
  <dcterms:created xsi:type="dcterms:W3CDTF">2016-01-19T06:40:00Z</dcterms:created>
  <dcterms:modified xsi:type="dcterms:W3CDTF">2016-10-11T00:05:00Z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